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自由选择</w:t>
      </w:r>
      <w:r>
        <w:rPr>
          <w:rFonts w:ascii="Calibri" w:hAnsi="Calibri" w:cs="Calibri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29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23:40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价格制度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例子：</w:t>
      </w:r>
    </w:p>
    <w:p w:rsidR="00000000" w:rsidRDefault="003C52BB">
      <w:pPr>
        <w:numPr>
          <w:ilvl w:val="0"/>
          <w:numId w:val="1"/>
        </w:numPr>
        <w:ind w:left="540"/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石油价格上涨，增加了链锯的使用成本，使情况对手锯有利</w:t>
      </w:r>
    </w:p>
    <w:p w:rsidR="00000000" w:rsidRDefault="003C52BB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石油价格上涨，烧柴油和烧汽油卡车的抉择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贝叶斯思维</w:t>
      </w:r>
      <w:r>
        <w:rPr>
          <w:rFonts w:ascii="Calibri Light" w:hAnsi="Calibri Light" w:cs="Calibri Light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10:33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书名：贝叶斯思维：统计建模的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学习法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作者：</w:t>
      </w:r>
      <w:r>
        <w:rPr>
          <w:rFonts w:ascii="微软雅黑" w:eastAsia="微软雅黑" w:hAnsi="微软雅黑" w:cs="Calibri" w:hint="eastAsia"/>
          <w:sz w:val="22"/>
          <w:szCs w:val="22"/>
        </w:rPr>
        <w:t>Allen B. Downey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出版社：人民邮电出版社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全概率公式</w:t>
      </w:r>
    </w:p>
    <w:p w:rsidR="00000000" w:rsidRDefault="003C52BB">
      <w:pPr>
        <w:pStyle w:val="a3"/>
        <w:spacing w:before="0" w:beforeAutospacing="0" w:after="0" w:afterAutospacing="0"/>
        <w:rPr>
          <w:rFonts w:ascii="Cambria Math" w:hAnsi="Cambria Math" w:cs="Calibri" w:hint="eastAsia"/>
          <w:sz w:val="22"/>
          <w:szCs w:val="22"/>
          <w:lang w:val=""/>
        </w:rPr>
      </w:pPr>
      <w:r>
        <w:rPr>
          <w:rFonts w:ascii="Cambria Math" w:hAnsi="Cambria Math" w:cs="Calibri"/>
          <w:noProof/>
          <w:sz w:val="22"/>
          <w:szCs w:val="22"/>
          <w:lang w:val=""/>
        </w:rPr>
        <w:drawing>
          <wp:inline distT="0" distB="0" distL="0" distR="0">
            <wp:extent cx="2914650" cy="171450"/>
            <wp:effectExtent l="0" t="0" r="0" b="0"/>
            <wp:docPr id="1" name="图片 1" descr="C:\6D99D065\45ABB7D2-5C04-4B7A-B4A1-F5612005822B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6D99D065\45ABB7D2-5C04-4B7A-B4A1-F5612005822B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所有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叶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统计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方法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都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基于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贝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叶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斯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定理，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如果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有条件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概率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的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学习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基础，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意识到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这一点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很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自然。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Python</w:t>
      </w:r>
      <w:r>
        <w:rPr>
          <w:rFonts w:ascii="微软雅黑" w:eastAsia="微软雅黑" w:hAnsi="微软雅黑" w:cs="Calibri" w:hint="eastAsia"/>
          <w:sz w:val="40"/>
          <w:szCs w:val="40"/>
        </w:rPr>
        <w:t>金融大数据分析</w:t>
      </w:r>
      <w:r>
        <w:rPr>
          <w:rFonts w:ascii="微软雅黑" w:eastAsia="微软雅黑" w:hAnsi="微软雅黑" w:cs="Calibri" w:hint="eastAsia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14:32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引入</w:t>
      </w:r>
    </w:p>
    <w:p w:rsidR="00000000" w:rsidRDefault="003C52BB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import</w:t>
      </w:r>
      <w:r>
        <w:rPr>
          <w:rStyle w:val="HTML"/>
          <w:rFonts w:ascii="Consolas" w:hAnsi="Consolas"/>
          <w:sz w:val="22"/>
          <w:szCs w:val="22"/>
        </w:rPr>
        <w:t xml:space="preserve"> pandas as pd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from pandas import Series, DataFrame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3C52BB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读取文本格式的数据</w:t>
      </w:r>
    </w:p>
    <w:p w:rsidR="00000000" w:rsidRDefault="003C52BB">
      <w:pPr>
        <w:pStyle w:val="3"/>
        <w:spacing w:before="0" w:beforeAutospacing="0" w:after="0" w:afterAutospacing="0"/>
        <w:rPr>
          <w:rFonts w:ascii="微软雅黑" w:eastAsia="微软雅黑" w:hAnsi="微软雅黑" w:cs="Calibri" w:hint="eastAsia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函数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66"/>
        <w:gridCol w:w="7020"/>
      </w:tblGrid>
      <w:tr w:rsidR="00000000">
        <w:trPr>
          <w:divId w:val="1414625249"/>
        </w:trPr>
        <w:tc>
          <w:tcPr>
            <w:tcW w:w="12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read_csv</w:t>
            </w:r>
          </w:p>
        </w:tc>
        <w:tc>
          <w:tcPr>
            <w:tcW w:w="79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从文件、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URL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、文件型对象中加载带分隔符的数据。默认分隔符为逗号</w:t>
            </w:r>
          </w:p>
        </w:tc>
      </w:tr>
      <w:tr w:rsidR="00000000">
        <w:trPr>
          <w:divId w:val="1414625249"/>
        </w:trPr>
        <w:tc>
          <w:tcPr>
            <w:tcW w:w="12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read_table</w:t>
            </w:r>
          </w:p>
        </w:tc>
        <w:tc>
          <w:tcPr>
            <w:tcW w:w="80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从文件、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URL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、文件型对象中加载带分隔符的数据。默认分隔符为制表符（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"\t"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）</w:t>
            </w:r>
          </w:p>
        </w:tc>
      </w:tr>
    </w:tbl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52BB">
      <w:pPr>
        <w:pStyle w:val="2"/>
        <w:spacing w:before="0" w:beforeAutospacing="0" w:after="0" w:afterAutospacing="0"/>
        <w:rPr>
          <w:rFonts w:ascii="Calibri" w:hAnsi="Calibri" w:cs="Calibri" w:hint="eastAsia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python2 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与</w:t>
      </w:r>
      <w:r>
        <w:rPr>
          <w:rFonts w:ascii="Calibri" w:hAnsi="Calibri" w:cs="Calibri"/>
          <w:color w:val="2E75B5"/>
          <w:sz w:val="28"/>
          <w:szCs w:val="28"/>
        </w:rPr>
        <w:t xml:space="preserve"> python3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差异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23"/>
        <w:gridCol w:w="3454"/>
        <w:gridCol w:w="3109"/>
      </w:tblGrid>
      <w:tr w:rsidR="00000000">
        <w:trPr>
          <w:divId w:val="1537543949"/>
        </w:trPr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微软雅黑" w:eastAsia="微软雅黑" w:hAnsi="微软雅黑" w:hint="eastAsia"/>
                <w:sz w:val="22"/>
                <w:szCs w:val="22"/>
              </w:rPr>
              <w:t>变更</w:t>
            </w:r>
          </w:p>
        </w:tc>
        <w:tc>
          <w:tcPr>
            <w:tcW w:w="3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python2</w:t>
            </w:r>
            <w:r>
              <w:rPr>
                <w:rStyle w:val="HTML"/>
                <w:rFonts w:ascii="微软雅黑" w:eastAsia="微软雅黑" w:hAnsi="微软雅黑" w:hint="eastAsia"/>
                <w:sz w:val="22"/>
                <w:szCs w:val="22"/>
              </w:rPr>
              <w:t>用法</w:t>
            </w:r>
          </w:p>
        </w:tc>
        <w:tc>
          <w:tcPr>
            <w:tcW w:w="4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python3</w:t>
            </w:r>
            <w:r>
              <w:rPr>
                <w:rStyle w:val="HTML"/>
                <w:rFonts w:ascii="微软雅黑" w:eastAsia="微软雅黑" w:hAnsi="微软雅黑" w:hint="eastAsia"/>
                <w:sz w:val="22"/>
                <w:szCs w:val="22"/>
              </w:rPr>
              <w:t>用法</w:t>
            </w:r>
          </w:p>
        </w:tc>
      </w:tr>
      <w:tr w:rsidR="00000000">
        <w:trPr>
          <w:divId w:val="1537543949"/>
        </w:trPr>
        <w:tc>
          <w:tcPr>
            <w:tcW w:w="2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pandas</w:t>
            </w:r>
            <w:r>
              <w:rPr>
                <w:rStyle w:val="HTML"/>
                <w:rFonts w:ascii="微软雅黑" w:eastAsia="微软雅黑" w:hAnsi="微软雅黑" w:hint="eastAsia"/>
                <w:sz w:val="22"/>
                <w:szCs w:val="22"/>
              </w:rPr>
              <w:t>库滚动窗口</w:t>
            </w:r>
          </w:p>
        </w:tc>
        <w:tc>
          <w:tcPr>
            <w:tcW w:w="3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rolling_mean()</w:t>
            </w:r>
          </w:p>
        </w:tc>
        <w:tc>
          <w:tcPr>
            <w:tcW w:w="46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(window).mean()</w:t>
            </w:r>
          </w:p>
        </w:tc>
      </w:tr>
      <w:tr w:rsidR="00000000">
        <w:trPr>
          <w:divId w:val="1537543949"/>
        </w:trPr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DataReader</w:t>
            </w:r>
          </w:p>
        </w:tc>
        <w:tc>
          <w:tcPr>
            <w:tcW w:w="39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pandas.io.data.DataReader</w:t>
            </w:r>
          </w:p>
        </w:tc>
        <w:tc>
          <w:tcPr>
            <w:tcW w:w="46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pandas_datereader</w:t>
            </w:r>
          </w:p>
        </w:tc>
      </w:tr>
      <w:tr w:rsidR="00000000">
        <w:trPr>
          <w:divId w:val="1537543949"/>
        </w:trPr>
        <w:tc>
          <w:tcPr>
            <w:tcW w:w="21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urlretrieve</w:t>
            </w:r>
          </w:p>
        </w:tc>
        <w:tc>
          <w:tcPr>
            <w:tcW w:w="39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from urllib import urlretrieve</w:t>
            </w:r>
          </w:p>
        </w:tc>
        <w:tc>
          <w:tcPr>
            <w:tcW w:w="48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after="0"/>
            </w:pPr>
            <w:r>
              <w:rPr>
                <w:rStyle w:val="HTML"/>
                <w:rFonts w:ascii="Consolas" w:hAnsi="Consolas"/>
                <w:sz w:val="22"/>
                <w:szCs w:val="22"/>
              </w:rPr>
              <w:t>from urllib.request import urlretrieve</w:t>
            </w:r>
          </w:p>
        </w:tc>
      </w:tr>
    </w:tbl>
    <w:p w:rsidR="00000000" w:rsidRDefault="003C52BB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 </w:t>
      </w:r>
    </w:p>
    <w:p w:rsidR="00000000" w:rsidRDefault="003C52BB">
      <w:pPr>
        <w:pStyle w:val="1"/>
        <w:spacing w:before="0" w:beforeAutospacing="0" w:after="0" w:afterAutospacing="0"/>
        <w:rPr>
          <w:rFonts w:ascii="Calibri" w:hAnsi="Calibri" w:cs="Calibri"/>
          <w:color w:val="1E4E79"/>
          <w:sz w:val="32"/>
          <w:szCs w:val="32"/>
        </w:rPr>
      </w:pPr>
      <w:r>
        <w:rPr>
          <w:rFonts w:ascii="Calibri" w:hAnsi="Calibri" w:cs="Calibri"/>
          <w:color w:val="1E4E79"/>
          <w:sz w:val="32"/>
          <w:szCs w:val="32"/>
        </w:rPr>
        <w:t>matplotlib</w:t>
      </w:r>
    </w:p>
    <w:p w:rsidR="00000000" w:rsidRDefault="003C52BB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约定引入</w:t>
      </w:r>
    </w:p>
    <w:p w:rsidR="00000000" w:rsidRDefault="003C52BB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import matplotlib.pyplot as plt</w:t>
      </w:r>
    </w:p>
    <w:p w:rsidR="00000000" w:rsidRDefault="003C52BB">
      <w:pPr>
        <w:pStyle w:val="2"/>
        <w:spacing w:before="0" w:beforeAutospacing="0" w:after="0" w:afterAutospacing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color w:val="2E75B5"/>
          <w:sz w:val="28"/>
          <w:szCs w:val="28"/>
        </w:rPr>
        <w:t>Figure</w:t>
      </w: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和</w:t>
      </w:r>
      <w:r>
        <w:rPr>
          <w:rFonts w:ascii="Calibri" w:hAnsi="Calibri" w:cs="Calibri"/>
          <w:color w:val="2E75B5"/>
          <w:sz w:val="28"/>
          <w:szCs w:val="28"/>
        </w:rPr>
        <w:t>Subplot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fig = plt.figure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ax1 = fig.add_subplot(2,2,1)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 xml:space="preserve">ax2 </w:t>
      </w:r>
      <w:r>
        <w:rPr>
          <w:rStyle w:val="HTML"/>
          <w:rFonts w:ascii="Consolas" w:hAnsi="Consolas"/>
          <w:sz w:val="22"/>
          <w:szCs w:val="22"/>
        </w:rPr>
        <w:t>= fig.add_subplot(2,2,2)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ax3 = fig.add_subplot(2,2,3)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# 'k--'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是线型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from numpy.random import randn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plt.plot(randn(50).cumsum(), 'k--')</w:t>
      </w:r>
    </w:p>
    <w:p w:rsidR="00000000" w:rsidRDefault="003C52BB">
      <w:pPr>
        <w:pStyle w:val="3"/>
        <w:spacing w:before="0" w:beforeAutospacing="0" w:after="0" w:afterAutospacing="0"/>
        <w:rPr>
          <w:rFonts w:ascii="Calibri" w:hAnsi="Calibri" w:cs="Calibri"/>
          <w:color w:val="5B9BD5"/>
          <w:sz w:val="24"/>
          <w:szCs w:val="24"/>
        </w:rPr>
      </w:pP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调整</w:t>
      </w:r>
      <w:r>
        <w:rPr>
          <w:rFonts w:ascii="Calibri" w:hAnsi="Calibri" w:cs="Calibri"/>
          <w:color w:val="5B9BD5"/>
          <w:sz w:val="24"/>
          <w:szCs w:val="24"/>
        </w:rPr>
        <w:t>subplot</w:t>
      </w:r>
      <w:r>
        <w:rPr>
          <w:rFonts w:ascii="微软雅黑" w:eastAsia="微软雅黑" w:hAnsi="微软雅黑" w:cs="Calibri" w:hint="eastAsia"/>
          <w:color w:val="5B9BD5"/>
          <w:sz w:val="24"/>
          <w:szCs w:val="24"/>
        </w:rPr>
        <w:t>周围的间距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plt.subplots_adjust(left=None, bottom=None, right=None, top=None, wspace=None, hspace=None)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 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lastRenderedPageBreak/>
        <w:t>回归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Consolas" w:hAnsi="Consolas"/>
          <w:sz w:val="22"/>
          <w:szCs w:val="22"/>
        </w:rPr>
        <w:t>pandas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中取消了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ol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s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库，换用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 xml:space="preserve"> import statsmodels.api as sm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pandas where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和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mask</w:t>
      </w:r>
      <w:r>
        <w:rPr>
          <w:rStyle w:val="HTML"/>
          <w:rFonts w:ascii="微软雅黑" w:eastAsia="微软雅黑" w:hAnsi="微软雅黑" w:hint="eastAsia"/>
          <w:sz w:val="22"/>
          <w:szCs w:val="22"/>
        </w:rPr>
        <w:t>区别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where </w:t>
      </w:r>
      <w:r>
        <w:rPr>
          <w:rFonts w:ascii="微软雅黑" w:eastAsia="微软雅黑" w:hAnsi="微软雅黑" w:cs="Calibri" w:hint="eastAsia"/>
          <w:sz w:val="22"/>
          <w:szCs w:val="22"/>
        </w:rPr>
        <w:t>：替换条件（</w:t>
      </w:r>
      <w:r>
        <w:rPr>
          <w:rFonts w:ascii="微软雅黑" w:eastAsia="微软雅黑" w:hAnsi="微软雅黑" w:cs="Calibri" w:hint="eastAsia"/>
          <w:sz w:val="22"/>
          <w:szCs w:val="22"/>
        </w:rPr>
        <w:t>condition</w:t>
      </w:r>
      <w:r>
        <w:rPr>
          <w:rFonts w:ascii="微软雅黑" w:eastAsia="微软雅黑" w:hAnsi="微软雅黑" w:cs="Calibri" w:hint="eastAsia"/>
          <w:sz w:val="22"/>
          <w:szCs w:val="22"/>
        </w:rPr>
        <w:t>）为</w:t>
      </w:r>
      <w:r>
        <w:rPr>
          <w:rFonts w:ascii="微软雅黑" w:eastAsia="微软雅黑" w:hAnsi="微软雅黑" w:cs="Calibri" w:hint="eastAsia"/>
          <w:sz w:val="22"/>
          <w:szCs w:val="22"/>
        </w:rPr>
        <w:t>Flase</w:t>
      </w:r>
      <w:r>
        <w:rPr>
          <w:rFonts w:ascii="微软雅黑" w:eastAsia="微软雅黑" w:hAnsi="微软雅黑" w:cs="Calibri" w:hint="eastAsia"/>
          <w:sz w:val="22"/>
          <w:szCs w:val="22"/>
        </w:rPr>
        <w:t>处的值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mask </w:t>
      </w:r>
      <w:r>
        <w:rPr>
          <w:rFonts w:ascii="微软雅黑" w:eastAsia="微软雅黑" w:hAnsi="微软雅黑" w:cs="Calibri" w:hint="eastAsia"/>
          <w:sz w:val="22"/>
          <w:szCs w:val="22"/>
        </w:rPr>
        <w:t>：替换条件（</w:t>
      </w:r>
      <w:r>
        <w:rPr>
          <w:rFonts w:ascii="微软雅黑" w:eastAsia="微软雅黑" w:hAnsi="微软雅黑" w:cs="Calibri" w:hint="eastAsia"/>
          <w:sz w:val="22"/>
          <w:szCs w:val="22"/>
        </w:rPr>
        <w:t>condition</w:t>
      </w:r>
      <w:r>
        <w:rPr>
          <w:rFonts w:ascii="微软雅黑" w:eastAsia="微软雅黑" w:hAnsi="微软雅黑" w:cs="Calibri" w:hint="eastAsia"/>
          <w:sz w:val="22"/>
          <w:szCs w:val="22"/>
        </w:rPr>
        <w:t>）为</w:t>
      </w:r>
      <w:r>
        <w:rPr>
          <w:rFonts w:ascii="微软雅黑" w:eastAsia="微软雅黑" w:hAnsi="微软雅黑" w:cs="Calibri" w:hint="eastAsia"/>
          <w:sz w:val="22"/>
          <w:szCs w:val="22"/>
        </w:rPr>
        <w:t>True</w:t>
      </w:r>
      <w:r>
        <w:rPr>
          <w:rFonts w:ascii="微软雅黑" w:eastAsia="微软雅黑" w:hAnsi="微软雅黑" w:cs="Calibri" w:hint="eastAsia"/>
          <w:sz w:val="22"/>
          <w:szCs w:val="22"/>
        </w:rPr>
        <w:t>处的值</w:t>
      </w:r>
    </w:p>
    <w:p w:rsidR="00000000" w:rsidRDefault="003C52BB">
      <w:pPr>
        <w:pStyle w:val="a3"/>
        <w:spacing w:before="0" w:after="0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3C52BB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ascii="微软雅黑" w:eastAsia="微软雅黑" w:hAnsi="微软雅黑" w:hint="eastAsia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连续时间金融</w:t>
      </w:r>
      <w:r>
        <w:rPr>
          <w:rFonts w:ascii="Calibri" w:hAnsi="Calibri" w:cs="Calibri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16:34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符号定义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3200"/>
      </w:tblGrid>
      <w:tr w:rsidR="00000000">
        <w:trPr>
          <w:divId w:val="9490456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微软雅黑" w:eastAsia="微软雅黑" w:hAnsi="微软雅黑"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Z</w:t>
            </w:r>
          </w:p>
        </w:tc>
        <w:tc>
          <w:tcPr>
            <w:tcW w:w="3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美元单期投资收益率随机变量</w:t>
            </w:r>
          </w:p>
        </w:tc>
      </w:tr>
      <w:tr w:rsidR="00000000">
        <w:trPr>
          <w:divId w:val="9490456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U(W)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冯·诺伊曼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摩根斯顿效用函数</w:t>
            </w:r>
          </w:p>
        </w:tc>
      </w:tr>
      <w:tr w:rsidR="00000000">
        <w:trPr>
          <w:divId w:val="949045695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投资者的期末财富值</w:t>
            </w:r>
          </w:p>
        </w:tc>
      </w:tr>
    </w:tbl>
    <w:p w:rsidR="00000000" w:rsidRDefault="003C52BB">
      <w:pPr>
        <w:pStyle w:val="2"/>
        <w:spacing w:before="0" w:beforeAutospacing="0" w:after="0" w:afterAutospacing="0"/>
        <w:rPr>
          <w:rFonts w:ascii="微软雅黑" w:eastAsia="微软雅黑" w:hAnsi="微软雅黑" w:cs="Calibri" w:hint="eastAsia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名词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079"/>
        <w:gridCol w:w="4768"/>
      </w:tblGrid>
      <w:tr w:rsidR="00000000">
        <w:trPr>
          <w:divId w:val="408576762"/>
        </w:trPr>
        <w:tc>
          <w:tcPr>
            <w:tcW w:w="30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hint="eastAsi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>冯·诺伊曼</w:t>
            </w:r>
            <w:r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摩根斯顿效用函数</w:t>
            </w:r>
          </w:p>
        </w:tc>
        <w:tc>
          <w:tcPr>
            <w:tcW w:w="47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3C52BB">
            <w:pPr>
              <w:pStyle w:val="a3"/>
              <w:spacing w:before="0" w:beforeAutospacing="0" w:after="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sz w:val="22"/>
                <w:szCs w:val="22"/>
              </w:rPr>
              <w:t xml:space="preserve">von </w:t>
            </w:r>
            <w:r>
              <w:rPr>
                <w:rFonts w:ascii="微软雅黑" w:eastAsia="微软雅黑" w:hAnsi="微软雅黑" w:hint="eastAsia"/>
                <w:sz w:val="22"/>
                <w:szCs w:val="22"/>
              </w:rPr>
              <w:t>Neumann-Morgenstern utility function</w:t>
            </w:r>
          </w:p>
        </w:tc>
      </w:tr>
    </w:tbl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宽客人生</w:t>
      </w:r>
      <w:r>
        <w:rPr>
          <w:rFonts w:ascii="Calibri" w:hAnsi="Calibri" w:cs="Calibri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10:10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无论是物理问题还是期权理论，我每遇到一个需要解决的新问题，第一个主要的挑战就是要找到如何推进工作的直觉；第二个挑战就是把这种直觉转化为规范性的东西，</w:t>
      </w: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变成任何人都可以照着去做的一套规则，这些规则已经不再需要最初的那些深刻的洞察力。——</w:t>
      </w:r>
      <w:r>
        <w:rPr>
          <w:rFonts w:ascii="微软雅黑" w:eastAsia="微软雅黑" w:hAnsi="微软雅黑" w:cs="Calibri" w:hint="eastAsia"/>
          <w:sz w:val="22"/>
          <w:szCs w:val="22"/>
        </w:rPr>
        <w:t>P49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证券分析</w:t>
      </w:r>
      <w:r>
        <w:rPr>
          <w:rFonts w:ascii="Calibri" w:hAnsi="Calibri" w:cs="Calibri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12:44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after="0"/>
        <w:ind w:left="35"/>
        <w:rPr>
          <w:rFonts w:ascii="Calibri" w:hAnsi="Calibri" w:cs="Calibri"/>
          <w:sz w:val="22"/>
          <w:szCs w:val="22"/>
        </w:rPr>
      </w:pPr>
      <w:r>
        <w:rPr>
          <w:rStyle w:val="HTML0"/>
          <w:rFonts w:ascii="微软雅黑" w:eastAsia="微软雅黑" w:hAnsi="微软雅黑" w:cs="Calibri" w:hint="eastAsia"/>
          <w:color w:val="595959"/>
          <w:sz w:val="18"/>
          <w:szCs w:val="18"/>
        </w:rPr>
        <w:t>公司好但是证券的条款不好的，可以放弃，公司不好但是证券的条款很好的可以选择。</w:t>
      </w:r>
    </w:p>
    <w:p w:rsidR="00000000" w:rsidRDefault="003C52BB">
      <w:pPr>
        <w:pStyle w:val="1"/>
        <w:spacing w:before="0" w:beforeAutospacing="0" w:after="0" w:afterAutospacing="0"/>
        <w:ind w:left="35"/>
        <w:rPr>
          <w:rFonts w:ascii="微软雅黑" w:eastAsia="微软雅黑" w:hAnsi="微软雅黑" w:cs="Calibri"/>
          <w:color w:val="1E4E79"/>
          <w:sz w:val="32"/>
          <w:szCs w:val="32"/>
        </w:rPr>
      </w:pPr>
      <w:r>
        <w:rPr>
          <w:rFonts w:ascii="微软雅黑" w:eastAsia="微软雅黑" w:hAnsi="微软雅黑" w:cs="Calibri" w:hint="eastAsia"/>
          <w:color w:val="1E4E79"/>
          <w:sz w:val="32"/>
          <w:szCs w:val="32"/>
        </w:rPr>
        <w:t>固定价值投资选择的原则</w:t>
      </w:r>
    </w:p>
    <w:p w:rsidR="00000000" w:rsidRDefault="003C52BB">
      <w:pPr>
        <w:numPr>
          <w:ilvl w:val="1"/>
          <w:numId w:val="3"/>
        </w:numPr>
        <w:ind w:left="575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安全性不以抵押权衡量</w:t>
      </w:r>
    </w:p>
    <w:p w:rsidR="00000000" w:rsidRDefault="003C52BB">
      <w:pPr>
        <w:numPr>
          <w:ilvl w:val="1"/>
          <w:numId w:val="3"/>
        </w:numPr>
        <w:ind w:left="575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购买债券应以经济萧条时期的表现为准</w:t>
      </w:r>
    </w:p>
    <w:p w:rsidR="00000000" w:rsidRDefault="003C52BB">
      <w:pPr>
        <w:numPr>
          <w:ilvl w:val="1"/>
          <w:numId w:val="3"/>
        </w:numPr>
        <w:ind w:left="575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以牺牲安全性换取收益得不偿失</w:t>
      </w:r>
    </w:p>
    <w:p w:rsidR="00000000" w:rsidRDefault="003C52BB">
      <w:pPr>
        <w:numPr>
          <w:ilvl w:val="1"/>
          <w:numId w:val="3"/>
        </w:numPr>
        <w:ind w:left="575"/>
        <w:textAlignment w:val="center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必须适用有关安全性的明确标准</w:t>
      </w:r>
    </w:p>
    <w:p w:rsidR="00000000" w:rsidRDefault="003C52BB">
      <w:pPr>
        <w:pStyle w:val="a3"/>
        <w:spacing w:before="0" w:beforeAutospacing="0" w:after="0" w:afterAutospacing="0"/>
        <w:ind w:left="35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52BB">
      <w:pPr>
        <w:pStyle w:val="5"/>
        <w:spacing w:before="0" w:beforeAutospacing="0" w:after="0" w:afterAutospacing="0"/>
        <w:ind w:left="35"/>
        <w:rPr>
          <w:rFonts w:ascii="微软雅黑" w:eastAsia="微软雅黑" w:hAnsi="微软雅黑" w:cs="Calibri" w:hint="eastAsia"/>
          <w:color w:val="2E75B5"/>
          <w:sz w:val="22"/>
          <w:szCs w:val="22"/>
        </w:rPr>
      </w:pPr>
      <w:r>
        <w:rPr>
          <w:rFonts w:ascii="微软雅黑" w:eastAsia="微软雅黑" w:hAnsi="微软雅黑" w:cs="Calibri" w:hint="eastAsia"/>
          <w:color w:val="2E75B5"/>
          <w:sz w:val="22"/>
          <w:szCs w:val="22"/>
        </w:rPr>
        <w:t>不应因较早到期而放宽安全标准</w:t>
      </w:r>
    </w:p>
    <w:p w:rsidR="00000000" w:rsidRDefault="003C52BB">
      <w:pPr>
        <w:pStyle w:val="a3"/>
        <w:spacing w:before="0" w:beforeAutospacing="0" w:after="0" w:afterAutospacing="0"/>
        <w:ind w:left="35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我们建议不对长期债券和短期债券进行区分，因为这样可能导致我们在选择短期债券时放宽安全标准。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数量金融</w:t>
      </w:r>
      <w:r>
        <w:rPr>
          <w:rFonts w:ascii="Calibri" w:hAnsi="Calibri" w:cs="Calibri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17:14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2"/>
        <w:spacing w:before="0" w:beforeAutospacing="0" w:after="0" w:afterAutospacing="0"/>
        <w:rPr>
          <w:rFonts w:ascii="微软雅黑" w:eastAsia="微软雅黑" w:hAnsi="微软雅黑" w:cs="Calibri"/>
          <w:color w:val="2E75B5"/>
          <w:sz w:val="28"/>
          <w:szCs w:val="28"/>
        </w:rPr>
      </w:pPr>
      <w:r>
        <w:rPr>
          <w:rFonts w:ascii="微软雅黑" w:eastAsia="微软雅黑" w:hAnsi="微软雅黑" w:cs="Calibri" w:hint="eastAsia"/>
          <w:color w:val="2E75B5"/>
          <w:sz w:val="28"/>
          <w:szCs w:val="28"/>
        </w:rPr>
        <w:t>重要章节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是否能通过增加合约使组合达到最优价值？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60</w:t>
      </w:r>
      <w:r>
        <w:rPr>
          <w:rFonts w:ascii="微软雅黑" w:eastAsia="微软雅黑" w:hAnsi="微软雅黑" w:cs="Calibri" w:hint="eastAsia"/>
          <w:sz w:val="22"/>
          <w:szCs w:val="22"/>
        </w:rPr>
        <w:t>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鞅方法推导</w:t>
      </w:r>
      <w:r>
        <w:rPr>
          <w:rFonts w:ascii="微软雅黑" w:eastAsia="微软雅黑" w:hAnsi="微软雅黑" w:cs="Calibri" w:hint="eastAsia"/>
          <w:sz w:val="22"/>
          <w:szCs w:val="22"/>
        </w:rPr>
        <w:t>BS</w:t>
      </w:r>
      <w:r>
        <w:rPr>
          <w:rFonts w:ascii="微软雅黑" w:eastAsia="微软雅黑" w:hAnsi="微软雅黑" w:cs="Calibri" w:hint="eastAsia"/>
          <w:sz w:val="22"/>
          <w:szCs w:val="22"/>
        </w:rPr>
        <w:t>方程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10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80</w:t>
      </w:r>
      <w:r>
        <w:rPr>
          <w:rFonts w:ascii="微软雅黑" w:eastAsia="微软雅黑" w:hAnsi="微软雅黑" w:cs="Calibri" w:hint="eastAsia"/>
          <w:sz w:val="22"/>
          <w:szCs w:val="22"/>
        </w:rPr>
        <w:t>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BS</w:t>
      </w:r>
      <w:r>
        <w:rPr>
          <w:rFonts w:ascii="微软雅黑" w:eastAsia="微软雅黑" w:hAnsi="微软雅黑" w:cs="Calibri" w:hint="eastAsia"/>
          <w:sz w:val="22"/>
          <w:szCs w:val="22"/>
        </w:rPr>
        <w:t>方程数值解法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15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77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78</w:t>
      </w:r>
      <w:r>
        <w:rPr>
          <w:rFonts w:ascii="微软雅黑" w:eastAsia="微软雅黑" w:hAnsi="微软雅黑" w:cs="Calibri" w:hint="eastAsia"/>
          <w:sz w:val="22"/>
          <w:szCs w:val="22"/>
        </w:rPr>
        <w:t>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求解偏微分方程的有限差分法、数值积分、蒙特卡罗模拟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第六部分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有关在险值的章节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19</w:t>
      </w:r>
      <w:r>
        <w:rPr>
          <w:rFonts w:ascii="微软雅黑" w:eastAsia="微软雅黑" w:hAnsi="微软雅黑" w:cs="Calibri" w:hint="eastAsia"/>
          <w:sz w:val="22"/>
          <w:szCs w:val="22"/>
        </w:rPr>
        <w:t>、</w:t>
      </w:r>
      <w:r>
        <w:rPr>
          <w:rFonts w:ascii="微软雅黑" w:eastAsia="微软雅黑" w:hAnsi="微软雅黑" w:cs="Calibri" w:hint="eastAsia"/>
          <w:sz w:val="22"/>
          <w:szCs w:val="22"/>
        </w:rPr>
        <w:t>42</w:t>
      </w:r>
      <w:r>
        <w:rPr>
          <w:rFonts w:ascii="微软雅黑" w:eastAsia="微软雅黑" w:hAnsi="微软雅黑" w:cs="Calibri" w:hint="eastAsia"/>
          <w:sz w:val="22"/>
          <w:szCs w:val="22"/>
        </w:rPr>
        <w:t>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蒙特卡罗模拟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80</w:t>
      </w:r>
      <w:r>
        <w:rPr>
          <w:rFonts w:ascii="微软雅黑" w:eastAsia="微软雅黑" w:hAnsi="微软雅黑" w:cs="Calibri" w:hint="eastAsia"/>
          <w:sz w:val="22"/>
          <w:szCs w:val="22"/>
        </w:rPr>
        <w:t>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效用学习</w:t>
      </w:r>
      <w:r>
        <w:rPr>
          <w:rFonts w:ascii="Calibri" w:hAnsi="Calibri" w:cs="Calibri"/>
          <w:sz w:val="40"/>
          <w:szCs w:val="40"/>
        </w:rPr>
        <w:t>-</w:t>
      </w:r>
      <w:r>
        <w:rPr>
          <w:rFonts w:ascii="微软雅黑" w:eastAsia="微软雅黑" w:hAnsi="微软雅黑" w:cs="Calibri" w:hint="eastAsia"/>
          <w:sz w:val="40"/>
          <w:szCs w:val="40"/>
        </w:rPr>
        <w:t>笔记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11:16</w:t>
      </w:r>
    </w:p>
    <w:p w:rsidR="00000000" w:rsidRDefault="003C52BB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相关概念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效用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边际效用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期望效用函数理论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相关资料</w:t>
      </w:r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8" w:anchor="期望效用函数理论及其应用%20-%20MBA智库文档&amp;section-id={605A8367-B519-4AAA-BD72-28C6EF148ADF}&amp;page-id={3D9A4189-68DD-41A6-B0CD-448ADA6B8BB8}&amp;end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期望效用函数理论及其应用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 xml:space="preserve"> - MBA</w:t>
        </w:r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智库文档</w:t>
        </w:r>
      </w:hyperlink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hyperlink r:id="rId9" w:history="1">
        <w:r>
          <w:rPr>
            <w:rStyle w:val="a4"/>
            <w:rFonts w:ascii="微软雅黑" w:eastAsia="微软雅黑" w:hAnsi="微软雅黑" w:cs="Calibri" w:hint="eastAsia"/>
            <w:sz w:val="22"/>
            <w:szCs w:val="22"/>
          </w:rPr>
          <w:t>效用论</w:t>
        </w:r>
      </w:hyperlink>
    </w:p>
    <w:p w:rsidR="00000000" w:rsidRDefault="003C52BB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52BB" w:rsidRDefault="003C52BB" w:rsidP="003C52BB">
      <w:r>
        <w:separator/>
      </w:r>
    </w:p>
  </w:endnote>
  <w:endnote w:type="continuationSeparator" w:id="0">
    <w:p w:rsidR="003C52BB" w:rsidRDefault="003C52BB" w:rsidP="003C52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52BB" w:rsidRDefault="003C52BB" w:rsidP="003C52BB">
      <w:r>
        <w:separator/>
      </w:r>
    </w:p>
  </w:footnote>
  <w:footnote w:type="continuationSeparator" w:id="0">
    <w:p w:rsidR="003C52BB" w:rsidRDefault="003C52BB" w:rsidP="003C52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5C65"/>
    <w:multiLevelType w:val="multilevel"/>
    <w:tmpl w:val="A6823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540B61"/>
    <w:multiLevelType w:val="multilevel"/>
    <w:tmpl w:val="85F0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2BB"/>
    <w:rsid w:val="003C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E41C858-EC27-4C68-AF71-C3669913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styleId="HTML0">
    <w:name w:val="HTML Cite"/>
    <w:basedOn w:val="a0"/>
    <w:uiPriority w:val="99"/>
    <w:semiHidden/>
    <w:unhideWhenUsed/>
    <w:rPr>
      <w:i/>
      <w:iCs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3C5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52B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5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52B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5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onenote:https://d.docs.live.net/d20e030886dac3aa/&#25991;&#26723;/&#20581;%20&#30340;&#31508;&#35760;&#26412;/&#24555;&#36895;&#31508;&#35760;.o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.mbalib.com/view/1a0e3cd1e9764c299bcc15a7c229c2c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宋健</dc:creator>
  <cp:keywords/>
  <dc:description/>
  <cp:lastModifiedBy>宋健</cp:lastModifiedBy>
  <cp:revision>2</cp:revision>
  <dcterms:created xsi:type="dcterms:W3CDTF">2021-04-13T07:02:00Z</dcterms:created>
  <dcterms:modified xsi:type="dcterms:W3CDTF">2021-04-13T07:02:00Z</dcterms:modified>
</cp:coreProperties>
</file>