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ApiStation FinOps 产品与技术设计</w:t>
      </w:r>
    </w:p>
    <w:p>
      <w:pPr>
        <w:spacing w:after="40"/>
      </w:pPr>
      <w:r>
        <w:rPr>
          <w:b/>
          <w:color w:val="667085"/>
          <w:sz w:val="21"/>
        </w:rPr>
        <w:t>文档版本：</w:t>
      </w:r>
      <w:r>
        <w:rPr>
          <w:color w:val="344054"/>
          <w:sz w:val="21"/>
        </w:rPr>
        <w:t>v0.1（实施同步稿）</w:t>
      </w:r>
    </w:p>
    <w:p>
      <w:pPr>
        <w:spacing w:after="40"/>
      </w:pPr>
      <w:r>
        <w:rPr>
          <w:b/>
          <w:color w:val="667085"/>
          <w:sz w:val="21"/>
        </w:rPr>
        <w:t>日期：</w:t>
      </w:r>
      <w:r>
        <w:rPr>
          <w:color w:val="344054"/>
          <w:sz w:val="21"/>
        </w:rPr>
        <w:t>2026-07-26</w:t>
      </w:r>
    </w:p>
    <w:p>
      <w:pPr>
        <w:spacing w:after="40"/>
      </w:pPr>
      <w:r>
        <w:rPr>
          <w:b/>
          <w:color w:val="667085"/>
          <w:sz w:val="21"/>
        </w:rPr>
        <w:t>项目目录：</w:t>
      </w:r>
      <w:r>
        <w:rPr>
          <w:rFonts w:ascii="Consolas" w:hAnsi="Consolas" w:eastAsia="Microsoft YaHei"/>
          <w:color w:val="1F4D78"/>
          <w:sz w:val="20"/>
        </w:rPr>
        <w:t>apistation-finops</w:t>
      </w:r>
    </w:p>
    <w:p>
      <w:pPr>
        <w:spacing w:after="40"/>
      </w:pPr>
      <w:r>
        <w:rPr>
          <w:b/>
          <w:color w:val="667085"/>
          <w:sz w:val="21"/>
        </w:rPr>
        <w:t>适用对象：</w:t>
      </w:r>
      <w:r>
        <w:rPr>
          <w:color w:val="344054"/>
          <w:sz w:val="21"/>
        </w:rPr>
        <w:t>站长、运营、财务核算人员、开发与运维人员</w:t>
      </w:r>
    </w:p>
    <w:p>
      <w:pPr>
        <w:spacing w:before="200" w:after="240" w:line="276" w:lineRule="auto"/>
        <w:ind w:left="259" w:right="115"/>
        <w:shd w:fill="EEF5FB"/>
        <w:pBdr>
          <w:left w:val="single" w:sz="18" w:space="8" w:color="2E74B5"/>
        </w:pBdr>
      </w:pPr>
      <w:r>
        <w:rPr>
          <w:color w:val="0B2545"/>
          <w:sz w:val="21"/>
        </w:rPr>
        <w:t xml:space="preserve">结论先行：建议建设一个独立的 ApiStation FinOps 管理服务。它不参与 API 转发和扣费主链路，只读同步 ApiStation 的用量、充值、用户、账号和分组数据，并维护独立的采购成本、费用、汇率、分摊与对账台账。在当前约 98 个用户、25 个上游账号、近 24 小时约 9,470 次请求的规模下，2C4G/30M 可以承载，但必须使用增量同步和预聚合，禁止在看板请求中反复全表扫描 </w:t>
      </w:r>
      <w:r>
        <w:rPr>
          <w:rFonts w:ascii="Consolas" w:hAnsi="Consolas" w:eastAsia="Microsoft YaHei"/>
          <w:color w:val="1F4D78"/>
          <w:sz w:val="20"/>
        </w:rPr>
        <w:t>usage_logs</w:t>
      </w:r>
      <w:r>
        <w:rPr>
          <w:color w:val="0B2545"/>
          <w:sz w:val="21"/>
        </w:rPr>
        <w:t>。</w:t>
      </w:r>
    </w:p>
    <w:p>
      <w:pPr>
        <w:pStyle w:val="Heading1"/>
      </w:pPr>
      <w:r>
        <w:t>1. 背景与决策</w:t>
      </w:r>
    </w:p>
    <w:p>
      <w:pPr>
        <w:pStyle w:val="Heading2"/>
      </w:pPr>
      <w:r>
        <w:t>1.1 当前真正缺少的不是“统计图”，而是统一核算口径</w:t>
      </w:r>
    </w:p>
    <w:p>
      <w:r>
        <w:t>现有 ApiStation 已经保存了请求、Token、用户扣费、账号、分组倍率、支付订单等大量原始数据，也有模型、分组、账号、用户等维度的用量统计。然而当前界面主要展示“实际、成本、标准”等技术计费字段，尚未把以下业务事实串成一套可以核对的经营账：</w:t>
      </w:r>
    </w:p>
    <w:p>
      <w:pPr>
        <w:numPr>
          <w:ilvl w:val="0"/>
          <w:numId w:val="10"/>
        </w:numPr>
      </w:pPr>
      <w:r>
        <w:t>用户付了多少钱，支付渠道实际到账多少；</w:t>
      </w:r>
    </w:p>
    <w:p>
      <w:pPr>
        <w:numPr>
          <w:ilvl w:val="0"/>
          <w:numId w:val="10"/>
        </w:numPr>
      </w:pPr>
      <w:r>
        <w:t>给用户增加了多少余额，其中多少是现金充值、赠送、兑换码、返利或人工调整；</w:t>
      </w:r>
    </w:p>
    <w:p>
      <w:pPr>
        <w:numPr>
          <w:ilvl w:val="0"/>
          <w:numId w:val="10"/>
        </w:numPr>
      </w:pPr>
      <w:r>
        <w:t>用户已经消耗了多少余额，形成了多少管理口径收入；</w:t>
      </w:r>
    </w:p>
    <w:p>
      <w:pPr>
        <w:numPr>
          <w:ilvl w:val="0"/>
          <w:numId w:val="10"/>
        </w:numPr>
      </w:pPr>
      <w:r>
        <w:t>上游账号是按量付费、预付余额、月租订阅还是一次性购买；</w:t>
      </w:r>
    </w:p>
    <w:p>
      <w:pPr>
        <w:numPr>
          <w:ilvl w:val="0"/>
          <w:numId w:val="10"/>
        </w:numPr>
      </w:pPr>
      <w:r>
        <w:t>每个账号真实花了多少钱，费用覆盖哪个期间，如何分摊给用户和模型；</w:t>
      </w:r>
    </w:p>
    <w:p>
      <w:pPr>
        <w:numPr>
          <w:ilvl w:val="0"/>
          <w:numId w:val="10"/>
        </w:numPr>
      </w:pPr>
      <w:r>
        <w:t>某个用户、账号、分组或模型到底贡献了多少毛利，哪些业务正在亏损；</w:t>
      </w:r>
    </w:p>
    <w:p>
      <w:pPr>
        <w:numPr>
          <w:ilvl w:val="0"/>
          <w:numId w:val="10"/>
        </w:numPr>
      </w:pPr>
      <w:r>
        <w:t>ApiStation 的扣费结果、用户余额、支付订单和 FinOps 台账是否一致。</w:t>
      </w:r>
    </w:p>
    <w:p>
      <w:r>
        <w:t>因此，新系统的定位应是“经营核算与用量分析系统”，而不是简单增加几个图表。</w:t>
      </w:r>
    </w:p>
    <w:p>
      <w:pPr>
        <w:pStyle w:val="Heading2"/>
      </w:pPr>
      <w:r>
        <w:t>1.2 建议决策</w:t>
      </w:r>
    </w:p>
    <w:p>
      <w:r>
        <w:t xml:space="preserve">建设独立项目 </w:t>
      </w:r>
      <w:r>
        <w:rPr>
          <w:b/>
        </w:rPr>
        <w:t>ApiStation FinOps</w:t>
      </w:r>
      <w:r>
        <w:t>，采用旁路架构：</w:t>
      </w:r>
    </w:p>
    <w:p>
      <w:pPr>
        <w:numPr>
          <w:ilvl w:val="0"/>
          <w:numId w:val="11"/>
        </w:numPr>
      </w:pPr>
      <w:r>
        <w:t>ApiStation 继续作为用户、账号、请求路由、用量记录和余额扣减的唯一业务主系统。</w:t>
      </w:r>
    </w:p>
    <w:p>
      <w:pPr>
        <w:numPr>
          <w:ilvl w:val="0"/>
          <w:numId w:val="11"/>
        </w:numPr>
      </w:pPr>
      <w:r>
        <w:t>FinOps 只读同步 ApiStation 数据，不修改用户余额、不改变路由、不阻塞请求。</w:t>
      </w:r>
    </w:p>
    <w:p>
      <w:pPr>
        <w:numPr>
          <w:ilvl w:val="0"/>
          <w:numId w:val="11"/>
        </w:numPr>
      </w:pPr>
      <w:r>
        <w:t>FinOps 自己维护账号采购成本、其他费用、汇率、成本规则、分摊结果和经营报表。</w:t>
      </w:r>
    </w:p>
    <w:p>
      <w:pPr>
        <w:numPr>
          <w:ilvl w:val="0"/>
          <w:numId w:val="11"/>
        </w:numPr>
      </w:pPr>
      <w:r>
        <w:t>第一阶段按分钟增量同步；第二阶段若需要秒级和强一致，再在 ApiStation 中增加事务型 Outbox 事件。</w:t>
      </w:r>
    </w:p>
    <w:p>
      <w:pPr>
        <w:numPr>
          <w:ilvl w:val="0"/>
          <w:numId w:val="11"/>
        </w:numPr>
      </w:pPr>
      <w:r>
        <w:t>经营看板全部查询 FinOps 聚合表，不直接扫描 ApiStation 大表。</w:t>
      </w:r>
    </w:p>
    <w:p>
      <w:pPr>
        <w:pStyle w:val="Heading2"/>
      </w:pPr>
      <w:r>
        <w:t>1.3 项目目标</w:t>
      </w:r>
    </w:p>
    <w:p>
      <w:pPr>
        <w:numPr>
          <w:ilvl w:val="0"/>
          <w:numId w:val="10"/>
        </w:numPr>
      </w:pPr>
      <w:r>
        <w:t>让站长在 1 分钟内回答“今天收了多少、消耗了多少、花了多少、赚了多少”。</w:t>
      </w:r>
    </w:p>
    <w:p>
      <w:pPr>
        <w:numPr>
          <w:ilvl w:val="0"/>
          <w:numId w:val="10"/>
        </w:numPr>
      </w:pPr>
      <w:r>
        <w:t>支持用户、API Key、账号、供应商、分组、渠道、模型、端点、计费模式、时间等维度分析。</w:t>
      </w:r>
    </w:p>
    <w:p>
      <w:pPr>
        <w:numPr>
          <w:ilvl w:val="0"/>
          <w:numId w:val="10"/>
        </w:numPr>
      </w:pPr>
      <w:r>
        <w:t>对每个上游账号标记成本类型、采购批次、价格、币种、生效期、供应商和标签。</w:t>
      </w:r>
    </w:p>
    <w:p>
      <w:pPr>
        <w:numPr>
          <w:ilvl w:val="0"/>
          <w:numId w:val="10"/>
        </w:numPr>
      </w:pPr>
      <w:r>
        <w:t>同时展示现金口径、消耗口径、估算成本口径和完全成本口径，避免混算。</w:t>
      </w:r>
    </w:p>
    <w:p>
      <w:pPr>
        <w:numPr>
          <w:ilvl w:val="0"/>
          <w:numId w:val="10"/>
        </w:numPr>
      </w:pPr>
      <w:r>
        <w:t>支持充值、退款、返利、赠送、人工调账、账号采购和其他支出的可追溯台账。</w:t>
      </w:r>
    </w:p>
    <w:p>
      <w:pPr>
        <w:numPr>
          <w:ilvl w:val="0"/>
          <w:numId w:val="10"/>
        </w:numPr>
      </w:pPr>
      <w:r>
        <w:t>通过对账中心发现漏单、重复扣费、余额异常、成本规则缺失和数据同步延迟。</w:t>
      </w:r>
    </w:p>
    <w:p>
      <w:pPr>
        <w:pStyle w:val="Heading2"/>
      </w:pPr>
      <w:r>
        <w:t>1.4 非目标</w:t>
      </w:r>
    </w:p>
    <w:p>
      <w:pPr>
        <w:numPr>
          <w:ilvl w:val="0"/>
          <w:numId w:val="10"/>
        </w:numPr>
      </w:pPr>
      <w:r>
        <w:t>v1 不替代 ApiStation 的支付、余额、扣费、账号调度或认证功能。</w:t>
      </w:r>
    </w:p>
    <w:p>
      <w:pPr>
        <w:numPr>
          <w:ilvl w:val="0"/>
          <w:numId w:val="10"/>
        </w:numPr>
      </w:pPr>
      <w:r>
        <w:t>v1 不作为法定财务会计系统，不生成税务凭证或法定利润表。</w:t>
      </w:r>
    </w:p>
    <w:p>
      <w:pPr>
        <w:numPr>
          <w:ilvl w:val="0"/>
          <w:numId w:val="10"/>
        </w:numPr>
      </w:pPr>
      <w:r>
        <w:t>v1 不承诺从所有上游平台自动拉取账单；没有接口的供应商先支持人工录入或文件导入。</w:t>
      </w:r>
    </w:p>
    <w:p>
      <w:pPr>
        <w:numPr>
          <w:ilvl w:val="0"/>
          <w:numId w:val="10"/>
        </w:numPr>
      </w:pPr>
      <w:r>
        <w:t xml:space="preserve">v1 不修改历史 </w:t>
      </w:r>
      <w:r>
        <w:rPr>
          <w:rFonts w:ascii="Consolas" w:hAnsi="Consolas" w:eastAsia="Microsoft YaHei"/>
          <w:color w:val="1F4D78"/>
          <w:sz w:val="19"/>
        </w:rPr>
        <w:t>usage_logs</w:t>
      </w:r>
      <w:r>
        <w:t>，所有成本修订通过版本化规则和冲正记录完成。</w:t>
      </w:r>
    </w:p>
    <w:p>
      <w:pPr>
        <w:pStyle w:val="Heading1"/>
      </w:pPr>
      <w:r>
        <w:t>2. 现状评估</w:t>
      </w:r>
    </w:p>
    <w:p>
      <w:pPr>
        <w:pStyle w:val="Heading2"/>
      </w:pPr>
      <w:r>
        <w:t>2.1 截图反映出的信息断层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界面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已有能力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目前无法直接回答的问题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管理仪表盘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请求、Token、模型分布、账号数、用户数、三种费用数字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三种费用的业务含义、现金收入、采购支出、毛利及差异来源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用户管理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余额、今日/近 30 天用量、充值入口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累计现金充值、赠送余额、已确认消耗、服务成本、用户毛利、余额对账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分组管理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用户计费倍率、账号数量、今日/累计用量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分组收入、上游成本、折扣影响、毛利率是否低于阈值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账号管理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使用窗口、请求和 Token、系统估算扣费、调度信息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账号购买价、供应商、采购日期、有效期、剩余额度、摊销、闲置成本和回本情况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返利记录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邀请人、被邀请人、充值、支付、返利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返利是否计入获客成本，返利后该用户的真实贡献利润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使用记录汇总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模型/分组/端点的请求、Token 和费用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费用与充值、采购台账之间的桥接，无法形成经营闭环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请求明细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用户、Key、账号、模型、Token、两套费用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标签含义不够清楚，无法追溯对应成本规则和成本版本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2.2 代码中可复用的数据基础</w:t>
      </w:r>
    </w:p>
    <w:p>
      <w:r>
        <w:t>现有代码已提供良好基础，主要包括：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usage_logs</w:t>
      </w:r>
      <w:r>
        <w:t xml:space="preserve"> 是只追加用量事实表，保存用户、API Key、账号、请求、模型、分组、订阅、输入/输出/缓存 Token、图片/视频用量、耗时和时间戳。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total_cost</w:t>
      </w:r>
      <w:r>
        <w:t xml:space="preserve"> 表示模型标准价计算结果；</w:t>
      </w:r>
      <w:r>
        <w:rPr>
          <w:rFonts w:ascii="Consolas" w:hAnsi="Consolas" w:eastAsia="Microsoft YaHei"/>
          <w:color w:val="1F4D78"/>
          <w:sz w:val="19"/>
        </w:rPr>
        <w:t>actual_cost</w:t>
      </w:r>
      <w:r>
        <w:t xml:space="preserve"> 表示受分组或用户专属倍率影响的用户实际扣费。</w:t>
      </w:r>
    </w:p>
    <w:p>
      <w:pPr>
        <w:numPr>
          <w:ilvl w:val="0"/>
          <w:numId w:val="10"/>
        </w:numPr>
      </w:pPr>
      <w:r>
        <w:t xml:space="preserve">账号维度成本采用 </w:t>
      </w:r>
      <w:r>
        <w:rPr>
          <w:rFonts w:ascii="Consolas" w:hAnsi="Consolas" w:eastAsia="Microsoft YaHei"/>
          <w:color w:val="1F4D78"/>
          <w:sz w:val="19"/>
        </w:rPr>
        <w:t>COALESCE(account_stats_cost, total_cost) * COALESCE(account_rate_multiplier, 1)</w:t>
      </w:r>
      <w:r>
        <w:t xml:space="preserve">；其中 </w:t>
      </w:r>
      <w:r>
        <w:rPr>
          <w:rFonts w:ascii="Consolas" w:hAnsi="Consolas" w:eastAsia="Microsoft YaHei"/>
          <w:color w:val="1F4D78"/>
          <w:sz w:val="19"/>
        </w:rPr>
        <w:t>account_stats_cost</w:t>
      </w:r>
      <w:r>
        <w:t xml:space="preserve"> 支持渠道自定义成本定价规则。</w:t>
      </w:r>
    </w:p>
    <w:p>
      <w:pPr>
        <w:numPr>
          <w:ilvl w:val="0"/>
          <w:numId w:val="10"/>
        </w:numPr>
      </w:pPr>
      <w:r>
        <w:t xml:space="preserve">账号 </w:t>
      </w:r>
      <w:r>
        <w:rPr>
          <w:rFonts w:ascii="Consolas" w:hAnsi="Consolas" w:eastAsia="Microsoft YaHei"/>
          <w:color w:val="1F4D78"/>
          <w:sz w:val="19"/>
        </w:rPr>
        <w:t>rate_multiplier</w:t>
      </w:r>
      <w:r>
        <w:t xml:space="preserve"> 已在请求产生时保存快照，能够避免后续修改倍率时污染历史数据。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payment_orders</w:t>
      </w:r>
      <w:r>
        <w:t xml:space="preserve"> 保存充值面额、实际支付金额、费率、支付方式、订单状态、支付时间、退款金额及供应商快照。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redeem_codes</w:t>
      </w:r>
      <w:r>
        <w:t xml:space="preserve"> 和余额历史可以识别兑换码、管理员加减余额等非在线支付变动。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users.total_recharged</w:t>
      </w:r>
      <w:r>
        <w:t>、用户余额、API Key 配额与用量可用于总量核对。</w:t>
      </w:r>
    </w:p>
    <w:p>
      <w:pPr>
        <w:numPr>
          <w:ilvl w:val="0"/>
          <w:numId w:val="10"/>
        </w:numPr>
      </w:pPr>
      <w:r>
        <w:t>已有小时/日仪表盘聚合表和大量统计查询，可以参考，但现有代码也明确标记了大表全量扫描的性能风险。</w:t>
      </w:r>
    </w:p>
    <w:p>
      <w:pPr>
        <w:pStyle w:val="Heading2"/>
      </w:pPr>
      <w:r>
        <w:t>2.3 当前字段的命名风险</w:t>
      </w:r>
    </w:p>
    <w:p>
      <w:r>
        <w:t>现有前后端语境中“实际成本”可能指账号口径费用，也可能指用户实际扣费。新系统不沿用模糊名称，统一采用以下显示文案：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ApiStation 原字段/公式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FinOps 显示名称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total_cost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标准目录价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按模型标准定价计算，仅用于基准、折扣和权重分析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actual_cost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用户应扣金额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本次请求从用户余额或订阅额度中确认的消费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COALESCE(account_stats_cost,total_cost) * account_rate_multiplier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上游估算成本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按系统成本规则计算，不等同于真实付款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payment_orders.amount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入账余额面额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给用户增加的计费余额/权益面额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payment_orders.pay_amount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用户实付金额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用户在支付渠道支付的原币金额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refund_amount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退款金额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已退回用户的现金或支付金额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3. 可行性分析</w:t>
      </w:r>
    </w:p>
    <w:p>
      <w:pPr>
        <w:pStyle w:val="Heading2"/>
      </w:pPr>
      <w:r>
        <w:t>3.1 结论</w:t>
      </w:r>
    </w:p>
    <w:p>
      <w:r>
        <w:rPr>
          <w:b/>
        </w:rPr>
        <w:t>有条件可行。</w:t>
      </w:r>
      <w:r>
        <w:t xml:space="preserve"> 当前规模较小，新增一个轻量 Node.js 管理服务不会成为主要负担；30M 带宽对统计元数据足够。主要风险是 2 核 CPU 与 4GB 内存下，统计查询和 ApiStation 转发争抢 PostgreSQL、CPU 和磁盘 I/O。</w:t>
      </w:r>
    </w:p>
    <w:p>
      <w:r>
        <w:t>满足以下条件后可以在同一台服务器部署：</w:t>
      </w:r>
    </w:p>
    <w:p>
      <w:pPr>
        <w:numPr>
          <w:ilvl w:val="0"/>
          <w:numId w:val="10"/>
        </w:numPr>
      </w:pPr>
      <w:r>
        <w:t>FinOps 不部署第二套 PostgreSQL 和 Redis；</w:t>
      </w:r>
    </w:p>
    <w:p>
      <w:pPr>
        <w:numPr>
          <w:ilvl w:val="0"/>
          <w:numId w:val="10"/>
        </w:numPr>
      </w:pPr>
      <w:r>
        <w:t>FinOps 应用为一个 Node.js 单服务容器，前端静态文件由同一进程托管；</w:t>
      </w:r>
    </w:p>
    <w:p>
      <w:pPr>
        <w:numPr>
          <w:ilvl w:val="0"/>
          <w:numId w:val="10"/>
        </w:numPr>
      </w:pPr>
      <w:r>
        <w:t>连接池最大 5 个连接，后台同步批量化且限速；</w:t>
      </w:r>
    </w:p>
    <w:p>
      <w:pPr>
        <w:numPr>
          <w:ilvl w:val="0"/>
          <w:numId w:val="10"/>
        </w:numPr>
      </w:pPr>
      <w:r>
        <w:t>看板只查小时/日聚合，不在请求时扫描原始用量表；</w:t>
      </w:r>
    </w:p>
    <w:p>
      <w:pPr>
        <w:numPr>
          <w:ilvl w:val="0"/>
          <w:numId w:val="10"/>
        </w:numPr>
      </w:pPr>
      <w:r>
        <w:t>PostgreSQL 与 FinOps 表按时间建立索引，明细表按月分区；</w:t>
      </w:r>
    </w:p>
    <w:p>
      <w:pPr>
        <w:numPr>
          <w:ilvl w:val="0"/>
          <w:numId w:val="10"/>
        </w:numPr>
      </w:pPr>
      <w:r>
        <w:t>至少保留 20GB 可用磁盘，配置异机备份；</w:t>
      </w:r>
    </w:p>
    <w:p>
      <w:pPr>
        <w:numPr>
          <w:ilvl w:val="0"/>
          <w:numId w:val="10"/>
        </w:numPr>
      </w:pPr>
      <w:r>
        <w:t>建议增加 2GB swap 作为 OOM 保护，但不把 swap 当正常内存使用；</w:t>
      </w:r>
    </w:p>
    <w:p>
      <w:pPr>
        <w:numPr>
          <w:ilvl w:val="0"/>
          <w:numId w:val="10"/>
        </w:numPr>
      </w:pPr>
      <w:r>
        <w:t>上线前压测需确认 ApiStation P95 延迟没有明显回退。</w:t>
      </w:r>
    </w:p>
    <w:p>
      <w:pPr>
        <w:pStyle w:val="Heading2"/>
      </w:pPr>
      <w:r>
        <w:t>3.2 建议资源预算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3000"/>
        <w:gridCol w:w="2200"/>
        <w:gridCol w:w="26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组件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建议常态内存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CPU 策略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PostgreSQL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900-1,200MB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优先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同时服务主系统与 FinOps，保留页缓存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ApiStation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800-1,300MB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优先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API 转发和计费主链路，不受统计任务阻塞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Redis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128-256MB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低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 xml:space="preserve">设置合理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maxmemory</w:t>
            </w:r>
            <w:r>
              <w:rPr>
                <w:color w:val="344054"/>
                <w:sz w:val="17"/>
              </w:rPr>
              <w:t>；复用现有实例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FinOps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150-300MB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上限约 0.5 核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连接池 5，增量同步和聚合限速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反向代理、Docker、系统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700-1,000MB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-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7"/>
              </w:rPr>
              <w:t>包含内核页缓存和运维余量</w:t>
            </w:r>
          </w:p>
        </w:tc>
      </w:tr>
    </w:tbl>
    <w:p>
      <w:pPr>
        <w:spacing w:after="40" w:before="0"/>
      </w:pPr>
    </w:p>
    <w:p>
      <w:r>
        <w:t>以上是目标预算而非硬性保证。若 ApiStation 高峰时内存已超过约 2.5GB，或原始用量超过每日 20 万请求，应优先扩容到 4C8G 或拆分数据库，不建议硬塞第二个服务。</w:t>
      </w:r>
    </w:p>
    <w:p>
      <w:pPr>
        <w:pStyle w:val="Heading2"/>
      </w:pPr>
      <w:r>
        <w:t>3.3 存储与保留策略</w:t>
      </w:r>
    </w:p>
    <w:p>
      <w:pPr>
        <w:numPr>
          <w:ilvl w:val="0"/>
          <w:numId w:val="10"/>
        </w:numPr>
      </w:pPr>
      <w:r>
        <w:t>不复制用户代理、IP、请求体、响应体和账号凭证等无关大字段。</w:t>
      </w:r>
    </w:p>
    <w:p>
      <w:pPr>
        <w:numPr>
          <w:ilvl w:val="0"/>
          <w:numId w:val="10"/>
        </w:numPr>
      </w:pPr>
      <w:r>
        <w:t>请求级 FinOps 明细默认保留 180 天，按月分区；超过期限可归档或删除。</w:t>
      </w:r>
    </w:p>
    <w:p>
      <w:pPr>
        <w:numPr>
          <w:ilvl w:val="0"/>
          <w:numId w:val="10"/>
        </w:numPr>
      </w:pPr>
      <w:r>
        <w:t>小时聚合保留 400 天；日聚合和财务台账长期保留。</w:t>
      </w:r>
    </w:p>
    <w:p>
      <w:pPr>
        <w:numPr>
          <w:ilvl w:val="0"/>
          <w:numId w:val="10"/>
        </w:numPr>
      </w:pPr>
      <w:r>
        <w:t>以当前约 1 万请求/天估算，年请求级数据约 365 万行，采用精简字段和正确索引可以承受。</w:t>
      </w:r>
    </w:p>
    <w:p>
      <w:pPr>
        <w:numPr>
          <w:ilvl w:val="0"/>
          <w:numId w:val="10"/>
        </w:numPr>
      </w:pPr>
      <w:r>
        <w:t>磁盘空间是尚未提供的关键前提，部署前必须实际检查，而不能仅依据 2C4G/30M 判断。</w:t>
      </w:r>
    </w:p>
    <w:p>
      <w:pPr>
        <w:pStyle w:val="Heading2"/>
      </w:pPr>
      <w:r>
        <w:t>3.4 风险与措施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措施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 xml:space="preserve">FinOps 全表扫描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usage_logs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转发延迟、CPU/IO 飙升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游标增量同步、预聚合、查询超时、低峰补数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直接写 ApiStation 表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余额或计费事故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独立只读数据库账号；FinOps 永不写源表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成本规则修改污染历史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报表前后不一致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成本规则版本、生效区间、请求快照、冲正而非覆盖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支付币种与美元余额混算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利润失真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原币、计费币、报表本位币三层金额与汇率快照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固定订阅账号无请求时成本丢失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高估利润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记录期间采购成本与未分摊闲置成本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支付订单、兑换码、人工调账分散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无法对账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统一来源事件和经营台账，保留来源表与来源 ID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源项目升级改表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同步中断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Schema 兼容检查、启动自检、迁移版本白名单和告警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4. 核算口径设计</w:t>
      </w:r>
    </w:p>
    <w:p>
      <w:pPr>
        <w:pStyle w:val="Heading2"/>
      </w:pPr>
      <w:r>
        <w:t>4.1 三本账必须分开</w:t>
      </w:r>
    </w:p>
    <w:p>
      <w:r>
        <w:rPr>
          <w:b/>
        </w:rPr>
        <w:t>现金账：</w:t>
      </w:r>
      <w:r>
        <w:t xml:space="preserve"> 记录真实收到和支付的现金。充值成功是现金流入，账号购买、供应商充值、支付手续费和退款是现金流出。</w:t>
      </w:r>
    </w:p>
    <w:p>
      <w:r>
        <w:rPr>
          <w:b/>
        </w:rPr>
        <w:t>余额/权益账：</w:t>
      </w:r>
      <w:r>
        <w:t xml:space="preserve"> 记录给用户增加或扣减的美元计费余额、订阅权益、赠送和返利。它不等于现金，例如 ¥2 支付可能增加 $2 余额，也可能有赠送额度。</w:t>
      </w:r>
    </w:p>
    <w:p>
      <w:r>
        <w:rPr>
          <w:b/>
        </w:rPr>
        <w:t>经营损益账：</w:t>
      </w:r>
      <w:r>
        <w:t xml:space="preserve"> 用户实际使用服务时，按 </w:t>
      </w:r>
      <w:r>
        <w:rPr>
          <w:rFonts w:ascii="Consolas" w:hAnsi="Consolas" w:eastAsia="Microsoft YaHei"/>
          <w:color w:val="1F4D78"/>
          <w:sz w:val="19"/>
        </w:rPr>
        <w:t>actual_cost</w:t>
      </w:r>
      <w:r>
        <w:t xml:space="preserve"> 确认“已消耗收入”；同时确认上游估算成本或采购成本分摊。充值当天不把全部充值额当作已赚收入。</w:t>
      </w:r>
    </w:p>
    <w:p>
      <w:pPr>
        <w:pStyle w:val="Heading2"/>
      </w:pPr>
      <w:r>
        <w:t>4.2 核心指标与公式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建议公式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现金净流入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用户实付 - 现金退款 - 支付通道手续费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看资金是否增加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新增余额面额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充值面额 + 赠送 + 兑换码 + 人工增加 - 人工扣减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看承担了多少服务义务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已消耗收入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SUM(actual_cost)</w:t>
            </w:r>
            <w:r>
              <w:rPr>
                <w:color w:val="344054"/>
                <w:sz w:val="18"/>
              </w:rPr>
              <w:t>，按币种规则换算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管理口径收入，不称法定营业收入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上游估算成本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SUM(COALESCE(account_stats_cost,total_cost) * account_rate_multiplier)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请求级边际成本估算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采购完全成本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账号采购/订阅/充值/手续费/税费按期间与用量分摊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回答真实花费由谁承担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贡献毛利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已消耗收入 - 上游估算成本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判断定价和路由是否合理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完全毛利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已消耗收入 - 已分摊采购成本 - 可归属其他成本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判断真实经营结果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毛利率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毛利 / 已消耗收入；收入为 0 时显示不可计算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排序与告警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未消耗余额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期初余额 + 新增余额 - 已消耗 - 退款/扣减 ± 调整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用户余额对账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闲置成本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期间采购成本 - 已分摊成本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暴露空置账号、浪费和过度采购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4.3 币种规则</w:t>
      </w:r>
    </w:p>
    <w:p>
      <w:pPr>
        <w:numPr>
          <w:ilvl w:val="0"/>
          <w:numId w:val="10"/>
        </w:numPr>
      </w:pPr>
      <w:r>
        <w:t>每笔金额保存三层信息：原始金额与原币、计费金额与计费币、报表金额与本位币。</w:t>
      </w:r>
    </w:p>
    <w:p>
      <w:pPr>
        <w:numPr>
          <w:ilvl w:val="0"/>
          <w:numId w:val="10"/>
        </w:numPr>
      </w:pPr>
      <w:r>
        <w:t xml:space="preserve">建议当前系统把美元余额记为 </w:t>
      </w:r>
      <w:r>
        <w:rPr>
          <w:rFonts w:ascii="Consolas" w:hAnsi="Consolas" w:eastAsia="Microsoft YaHei"/>
          <w:color w:val="1F4D78"/>
          <w:sz w:val="19"/>
        </w:rPr>
        <w:t>USD_CREDIT</w:t>
      </w:r>
      <w:r>
        <w:t xml:space="preserve"> 计费单位；支付可为 CNY、USD 等真实货币。</w:t>
      </w:r>
    </w:p>
    <w:p>
      <w:pPr>
        <w:numPr>
          <w:ilvl w:val="0"/>
          <w:numId w:val="10"/>
        </w:numPr>
      </w:pPr>
      <w:r>
        <w:t>本位币由站长配置，建议默认 CNY；报表可切换查看 USD。</w:t>
      </w:r>
    </w:p>
    <w:p>
      <w:pPr>
        <w:numPr>
          <w:ilvl w:val="0"/>
          <w:numId w:val="10"/>
        </w:numPr>
      </w:pPr>
      <w:r>
        <w:t>每笔交易保存汇率来源、汇率值和生效时间，不使用今天汇率回算历史。</w:t>
      </w:r>
    </w:p>
    <w:p>
      <w:pPr>
        <w:numPr>
          <w:ilvl w:val="0"/>
          <w:numId w:val="10"/>
        </w:numPr>
      </w:pPr>
      <w:r>
        <w:t>未配置汇率的记录进入“待核算”，不得悄悄按 1:1 合并。</w:t>
      </w:r>
    </w:p>
    <w:p>
      <w:pPr>
        <w:pStyle w:val="Heading2"/>
      </w:pPr>
      <w:r>
        <w:t>4.4 账号成本类型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成本类型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必填信息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推荐核算方式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上游按量后付费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供应商、币种、账单周期、单价/账单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优先导入账单；无账单时使用上游估算成本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上游预付余额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充值金额、获得额度、汇率、手续费、日期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按供应商扣减或估算成本确认；余额另行对账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固定周期订阅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购买金额、开始/结束、套餐、账号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日均摊销形成期间成本，再按用量权重分配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一次性购买账号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购买金额、预计可用期/到期日、残值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在可用期间摊销；提前失效时确认剩余损失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免费/自有资源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成本 0、原因、有效期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保留 0 成本依据，不与“未配置”混淆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混合成本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固定费 + 超额按量费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分别记录固定和变量成本后汇总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4.5 固定成本分摊</w:t>
      </w:r>
    </w:p>
    <w:p>
      <w:r>
        <w:t>一个固定订阅账号既有“每天真实发生的采购成本”，又有“每个请求的占用贡献”。系统应同时保留两个视角：</w:t>
      </w:r>
    </w:p>
    <w:p>
      <w:pPr>
        <w:numPr>
          <w:ilvl w:val="0"/>
          <w:numId w:val="11"/>
        </w:numPr>
      </w:pPr>
      <w:r>
        <w:rPr>
          <w:b/>
        </w:rPr>
        <w:t>边际视角：</w:t>
      </w:r>
      <w:r>
        <w:t xml:space="preserve"> 请求沿用 ApiStation 上游估算成本，用于路由和实时毛利判断。</w:t>
      </w:r>
    </w:p>
    <w:p>
      <w:pPr>
        <w:numPr>
          <w:ilvl w:val="0"/>
          <w:numId w:val="11"/>
        </w:numPr>
      </w:pPr>
      <w:r>
        <w:rPr>
          <w:b/>
        </w:rPr>
        <w:t>完全成本视角：</w:t>
      </w:r>
      <w:r>
        <w:t xml:space="preserve"> 将账号期间采购成本按天摊销，再按该账号当天各请求的标准目录价权重分配给用户、模型和分组。</w:t>
      </w:r>
    </w:p>
    <w:p>
      <w:r>
        <w:t>默认公式：</w:t>
      </w:r>
    </w:p>
    <w:p>
      <w:pPr>
        <w:ind w:left="288"/>
        <w:shd w:fill="F8FAFC"/>
      </w:pPr>
      <w:r>
        <w:rPr>
          <w:rFonts w:ascii="Consolas" w:hAnsi="Consolas" w:eastAsia="Microsoft YaHei"/>
          <w:color w:val="1F4D78"/>
          <w:sz w:val="19"/>
        </w:rPr>
        <w:t>请求分摊成本 = 当日账号摊销成本 × 本请求标准目录价 / 当日该账号标准目录价合计</w:t>
      </w:r>
    </w:p>
    <w:p>
      <w:r>
        <w:t>当账号当天没有请求时，当日成本全部进入“闲置成本”，不强行分给用户。管理员可选择 Token 权重、请求数权重或自定义权重，但修改只对新成本版本生效。</w:t>
      </w:r>
    </w:p>
    <w:p>
      <w:pPr>
        <w:pStyle w:val="Heading2"/>
      </w:pPr>
      <w:r>
        <w:t>4.6 更正原则</w:t>
      </w:r>
    </w:p>
    <w:p>
      <w:pPr>
        <w:numPr>
          <w:ilvl w:val="0"/>
          <w:numId w:val="10"/>
        </w:numPr>
      </w:pPr>
      <w:r>
        <w:t>财务与成本记录只追加，不直接删除或覆盖已入账记录。</w:t>
      </w:r>
    </w:p>
    <w:p>
      <w:pPr>
        <w:numPr>
          <w:ilvl w:val="0"/>
          <w:numId w:val="10"/>
        </w:numPr>
      </w:pPr>
      <w:r>
        <w:t>更正通过一笔反向冲正和一笔正确记录完成，并引用原记录。</w:t>
      </w:r>
    </w:p>
    <w:p>
      <w:pPr>
        <w:numPr>
          <w:ilvl w:val="0"/>
          <w:numId w:val="10"/>
        </w:numPr>
      </w:pPr>
      <w:r>
        <w:t>成本规则带版本号、审批人、生效起止时间和创建时间。</w:t>
      </w:r>
    </w:p>
    <w:p>
      <w:pPr>
        <w:numPr>
          <w:ilvl w:val="0"/>
          <w:numId w:val="10"/>
        </w:numPr>
      </w:pPr>
      <w:r>
        <w:t>重算任务必须显示影响范围、旧值、新值、差额和操作者。</w:t>
      </w:r>
    </w:p>
    <w:p>
      <w:pPr>
        <w:pStyle w:val="Heading1"/>
      </w:pPr>
      <w:r>
        <w:t>5. 用户与权限</w:t>
      </w:r>
    </w:p>
    <w:p>
      <w:pPr>
        <w:pStyle w:val="Heading2"/>
      </w:pPr>
      <w:r>
        <w:t>5.1 角色</w:t>
      </w:r>
    </w:p>
    <w:p>
      <w:pPr>
        <w:numPr>
          <w:ilvl w:val="0"/>
          <w:numId w:val="10"/>
        </w:numPr>
      </w:pPr>
      <w:r>
        <w:rPr>
          <w:b/>
        </w:rPr>
        <w:t>超级管理员：</w:t>
      </w:r>
      <w:r>
        <w:t xml:space="preserve"> 配置数据源、币种、权限、成本规则和系统参数。</w:t>
      </w:r>
    </w:p>
    <w:p>
      <w:pPr>
        <w:numPr>
          <w:ilvl w:val="0"/>
          <w:numId w:val="10"/>
        </w:numPr>
      </w:pPr>
      <w:r>
        <w:rPr>
          <w:b/>
        </w:rPr>
        <w:t>运营管理员：</w:t>
      </w:r>
      <w:r>
        <w:t xml:space="preserve"> 查看全部经营数据，维护账号采购和其他费用，执行对账与导出。</w:t>
      </w:r>
    </w:p>
    <w:p>
      <w:pPr>
        <w:numPr>
          <w:ilvl w:val="0"/>
          <w:numId w:val="10"/>
        </w:numPr>
      </w:pPr>
      <w:r>
        <w:rPr>
          <w:b/>
        </w:rPr>
        <w:t>只读分析员：</w:t>
      </w:r>
      <w:r>
        <w:t xml:space="preserve"> 查看授权报表，不能修改成本和发起重算。</w:t>
      </w:r>
    </w:p>
    <w:p>
      <w:pPr>
        <w:numPr>
          <w:ilvl w:val="0"/>
          <w:numId w:val="10"/>
        </w:numPr>
      </w:pPr>
      <w:r>
        <w:rPr>
          <w:b/>
        </w:rPr>
        <w:t>审计员（后续）：</w:t>
      </w:r>
      <w:r>
        <w:t xml:space="preserve"> 查看变更、冲正和导出历史，不能查看账号凭证。</w:t>
      </w:r>
    </w:p>
    <w:p>
      <w:r>
        <w:t>v1 默认只服务内部管理员，不向终端用户开放。若以后开放用户自助用量页，应走独立权限接口，只返回当前用户数据。</w:t>
      </w:r>
    </w:p>
    <w:p>
      <w:pPr>
        <w:pStyle w:val="Heading2"/>
      </w:pPr>
      <w:r>
        <w:t>5.2 安全边界</w:t>
      </w:r>
    </w:p>
    <w:p>
      <w:pPr>
        <w:numPr>
          <w:ilvl w:val="0"/>
          <w:numId w:val="10"/>
        </w:numPr>
      </w:pPr>
      <w:r>
        <w:t xml:space="preserve">FinOps 不读取或存储 </w:t>
      </w:r>
      <w:r>
        <w:rPr>
          <w:rFonts w:ascii="Consolas" w:hAnsi="Consolas" w:eastAsia="Microsoft YaHei"/>
          <w:color w:val="1F4D78"/>
          <w:sz w:val="19"/>
        </w:rPr>
        <w:t>accounts.credentials</w:t>
      </w:r>
      <w:r>
        <w:t>。</w:t>
      </w:r>
    </w:p>
    <w:p>
      <w:pPr>
        <w:numPr>
          <w:ilvl w:val="0"/>
          <w:numId w:val="10"/>
        </w:numPr>
      </w:pPr>
      <w:r>
        <w:t xml:space="preserve">ApiStation 数据库账号只授予所需表的 </w:t>
      </w:r>
      <w:r>
        <w:rPr>
          <w:rFonts w:ascii="Consolas" w:hAnsi="Consolas" w:eastAsia="Microsoft YaHei"/>
          <w:color w:val="1F4D78"/>
          <w:sz w:val="19"/>
        </w:rPr>
        <w:t>SELECT</w:t>
      </w:r>
      <w:r>
        <w:t xml:space="preserve"> 权限。</w:t>
      </w:r>
    </w:p>
    <w:p>
      <w:pPr>
        <w:numPr>
          <w:ilvl w:val="0"/>
          <w:numId w:val="10"/>
        </w:numPr>
      </w:pPr>
      <w:r>
        <w:t>FinOps 自有库使用独立写账号；密钥通过环境变量或 Docker Secret 管理。</w:t>
      </w:r>
    </w:p>
    <w:p>
      <w:pPr>
        <w:numPr>
          <w:ilvl w:val="0"/>
          <w:numId w:val="10"/>
        </w:numPr>
      </w:pPr>
      <w:r>
        <w:t>管理端复用统一登录或独立管理员登录均可，建议第一版复用 ApiStation 管理员 JWT 并增加服务端角色校验。</w:t>
      </w:r>
    </w:p>
    <w:p>
      <w:pPr>
        <w:numPr>
          <w:ilvl w:val="0"/>
          <w:numId w:val="10"/>
        </w:numPr>
      </w:pPr>
      <w:r>
        <w:t>成本、汇率、手工流水、导出和重算均写审计日志。</w:t>
      </w:r>
    </w:p>
    <w:p>
      <w:pPr>
        <w:pStyle w:val="Heading1"/>
      </w:pPr>
      <w:r>
        <w:t>6. 功能架构与页面设计</w:t>
      </w:r>
    </w:p>
    <w:p>
      <w:pPr>
        <w:pStyle w:val="Heading2"/>
      </w:pPr>
      <w:r>
        <w:t>6.1 经营总览</w:t>
      </w:r>
    </w:p>
    <w:p>
      <w:r>
        <w:t>目标是让站长在一个页面读懂经营状态，默认时间范围为“今天”，可切换昨日、近 7 天、近 30 天、本月和自定义区间。</w:t>
      </w:r>
    </w:p>
    <w:p>
      <w:r>
        <w:t>核心指标分成三行而不是混在一组卡片：</w:t>
      </w:r>
    </w:p>
    <w:p>
      <w:pPr>
        <w:numPr>
          <w:ilvl w:val="0"/>
          <w:numId w:val="10"/>
        </w:numPr>
      </w:pPr>
      <w:r>
        <w:rPr>
          <w:b/>
        </w:rPr>
        <w:t>现金：</w:t>
      </w:r>
      <w:r>
        <w:t xml:space="preserve"> 用户实付、退款、通道费、采购支出、现金净流入；</w:t>
      </w:r>
    </w:p>
    <w:p>
      <w:pPr>
        <w:numPr>
          <w:ilvl w:val="0"/>
          <w:numId w:val="10"/>
        </w:numPr>
      </w:pPr>
      <w:r>
        <w:rPr>
          <w:b/>
        </w:rPr>
        <w:t>经营：</w:t>
      </w:r>
      <w:r>
        <w:t xml:space="preserve"> 已消耗收入、上游估算成本、贡献毛利、完全成本、完全毛利、毛利率；</w:t>
      </w:r>
    </w:p>
    <w:p>
      <w:pPr>
        <w:numPr>
          <w:ilvl w:val="0"/>
          <w:numId w:val="10"/>
        </w:numPr>
      </w:pPr>
      <w:r>
        <w:rPr>
          <w:b/>
        </w:rPr>
        <w:t>用量：</w:t>
      </w:r>
      <w:r>
        <w:t xml:space="preserve"> 请求、成功率、输入/输出/缓存 Token、活跃用户、活跃账号、平均延迟。</w:t>
      </w:r>
    </w:p>
    <w:p>
      <w:r>
        <w:t>核心图表：</w:t>
      </w:r>
    </w:p>
    <w:p>
      <w:pPr>
        <w:numPr>
          <w:ilvl w:val="0"/>
          <w:numId w:val="10"/>
        </w:numPr>
      </w:pPr>
      <w:r>
        <w:t>收入、估算成本、完全成本和毛利趋势；</w:t>
      </w:r>
    </w:p>
    <w:p>
      <w:pPr>
        <w:numPr>
          <w:ilvl w:val="0"/>
          <w:numId w:val="10"/>
        </w:numPr>
      </w:pPr>
      <w:r>
        <w:t>现金充值与已消耗收入桥接图；</w:t>
      </w:r>
    </w:p>
    <w:p>
      <w:pPr>
        <w:numPr>
          <w:ilvl w:val="0"/>
          <w:numId w:val="10"/>
        </w:numPr>
      </w:pPr>
      <w:r>
        <w:t>用户、账号、模型、分组毛利 Top/Bottom；</w:t>
      </w:r>
    </w:p>
    <w:p>
      <w:pPr>
        <w:numPr>
          <w:ilvl w:val="0"/>
          <w:numId w:val="10"/>
        </w:numPr>
      </w:pPr>
      <w:r>
        <w:t>成本结构：固定采购、按量、支付手续费、返利、其他费用；</w:t>
      </w:r>
    </w:p>
    <w:p>
      <w:pPr>
        <w:numPr>
          <w:ilvl w:val="0"/>
          <w:numId w:val="10"/>
        </w:numPr>
      </w:pPr>
      <w:r>
        <w:t>待处理告警：缺失成本、负毛利、未对账订单、同步延迟、闲置账号。</w:t>
      </w:r>
    </w:p>
    <w:p>
      <w:pPr>
        <w:pStyle w:val="Heading2"/>
      </w:pPr>
      <w:r>
        <w:t>6.2 用户账务与利润</w:t>
      </w:r>
    </w:p>
    <w:p>
      <w:r>
        <w:t>列表字段：用户、标签、现金充值、余额面额、赠送/返利、已消耗收入、Token、请求、上游估算成本、完全分摊成本、毛利、毛利率、当前余额、最后活跃时间。</w:t>
      </w:r>
    </w:p>
    <w:p>
      <w:r>
        <w:t>用户详情包含：</w:t>
      </w:r>
    </w:p>
    <w:p>
      <w:pPr>
        <w:numPr>
          <w:ilvl w:val="0"/>
          <w:numId w:val="10"/>
        </w:numPr>
      </w:pPr>
      <w:r>
        <w:t>收入/成本/毛利趋势；</w:t>
      </w:r>
    </w:p>
    <w:p>
      <w:pPr>
        <w:numPr>
          <w:ilvl w:val="0"/>
          <w:numId w:val="10"/>
        </w:numPr>
      </w:pPr>
      <w:r>
        <w:t>模型、分组、API Key、账号、端点分布；</w:t>
      </w:r>
    </w:p>
    <w:p>
      <w:pPr>
        <w:numPr>
          <w:ilvl w:val="0"/>
          <w:numId w:val="10"/>
        </w:numPr>
      </w:pPr>
      <w:r>
        <w:t>充值、退款、赠送、返利、人工调账时间线；</w:t>
      </w:r>
    </w:p>
    <w:p>
      <w:pPr>
        <w:numPr>
          <w:ilvl w:val="0"/>
          <w:numId w:val="10"/>
        </w:numPr>
      </w:pPr>
      <w:r>
        <w:t>用户余额对账公式和差额；</w:t>
      </w:r>
    </w:p>
    <w:p>
      <w:pPr>
        <w:numPr>
          <w:ilvl w:val="0"/>
          <w:numId w:val="10"/>
        </w:numPr>
      </w:pPr>
      <w:r>
        <w:t>请求明细下钻，展示计费规则版本和成本来源；</w:t>
      </w:r>
    </w:p>
    <w:p>
      <w:pPr>
        <w:numPr>
          <w:ilvl w:val="0"/>
          <w:numId w:val="10"/>
        </w:numPr>
      </w:pPr>
      <w:r>
        <w:t>导出该用户的用量与资金明细。</w:t>
      </w:r>
    </w:p>
    <w:p>
      <w:pPr>
        <w:pStyle w:val="Heading2"/>
      </w:pPr>
      <w:r>
        <w:t>6.3 账号台账与成本</w:t>
      </w:r>
    </w:p>
    <w:p>
      <w:r>
        <w:t>列表字段：账号、平台、供应商、成本类型、采购批次、有效期、采购金额、累计请求/Token、用户应扣金额、估算成本、已分摊采购成本、闲置成本、回收率、毛利、状态和标签。</w:t>
      </w:r>
    </w:p>
    <w:p>
      <w:r>
        <w:t>账号详情包含：</w:t>
      </w:r>
    </w:p>
    <w:p>
      <w:pPr>
        <w:numPr>
          <w:ilvl w:val="0"/>
          <w:numId w:val="10"/>
        </w:numPr>
      </w:pPr>
      <w:r>
        <w:t>采购档案：供应商、订单号、原币金额、汇率、手续费、税费、生效期、附件备注；</w:t>
      </w:r>
    </w:p>
    <w:p>
      <w:pPr>
        <w:numPr>
          <w:ilvl w:val="0"/>
          <w:numId w:val="10"/>
        </w:numPr>
      </w:pPr>
      <w:r>
        <w:t>成本规则：按量、预付、固定订阅、一次性购买、混合；</w:t>
      </w:r>
    </w:p>
    <w:p>
      <w:pPr>
        <w:numPr>
          <w:ilvl w:val="0"/>
          <w:numId w:val="10"/>
        </w:numPr>
      </w:pPr>
      <w:r>
        <w:t>用量窗口与成本趋势；</w:t>
      </w:r>
    </w:p>
    <w:p>
      <w:pPr>
        <w:numPr>
          <w:ilvl w:val="0"/>
          <w:numId w:val="10"/>
        </w:numPr>
      </w:pPr>
      <w:r>
        <w:t>使用该账号的用户、模型、分组贡献；</w:t>
      </w:r>
    </w:p>
    <w:p>
      <w:pPr>
        <w:numPr>
          <w:ilvl w:val="0"/>
          <w:numId w:val="10"/>
        </w:numPr>
      </w:pPr>
      <w:r>
        <w:t>成本摊销计划、已摊销、未摊销、闲置成本；</w:t>
      </w:r>
    </w:p>
    <w:p>
      <w:pPr>
        <w:numPr>
          <w:ilvl w:val="0"/>
          <w:numId w:val="10"/>
        </w:numPr>
      </w:pPr>
      <w:r>
        <w:t>上游账单与系统估算差异；</w:t>
      </w:r>
    </w:p>
    <w:p>
      <w:pPr>
        <w:numPr>
          <w:ilvl w:val="0"/>
          <w:numId w:val="10"/>
        </w:numPr>
      </w:pPr>
      <w:r>
        <w:t>到期、余额不足、异常消耗和长时间闲置告警。</w:t>
      </w:r>
    </w:p>
    <w:p>
      <w:r>
        <w:t>支持账号标签：供应商、采购渠道、批次、负责人、地区、质量等级、是否共享、成本中心、自定义标签。标签必须保存历史快照，避免改标签后历史报表整体漂移。</w:t>
      </w:r>
    </w:p>
    <w:p>
      <w:pPr>
        <w:pStyle w:val="Heading2"/>
      </w:pPr>
      <w:r>
        <w:t>6.4 供应商与采购</w:t>
      </w:r>
    </w:p>
    <w:p>
      <w:pPr/>
      <w:r>
        <w:t>供应商页面按上游归集账号、平台、请求、Token、已消耗收入、上游估算成本、期间采购、完全毛利和毛利率，并明确显示未绑定成本规则、未标记供应商和即将到期账号。</w:t>
      </w:r>
    </w:p>
    <w:p>
      <w:pPr/>
      <w:r>
        <w:t>采购批次台账至少包括账号、供应商、批次、成本模板、原币金额、汇率、本位币成本、手续费、税费、生效期和状态。采购成本与现金支出需要建立稳定关联；首版允许双录并在对账中心暴露未关联差异，后续改为一次提交同时生成成本期间和现金流水。</w:t>
      </w:r>
    </w:p>
    <w:p>
      <w:pPr>
        <w:pStyle w:val="Heading2"/>
      </w:pPr>
      <w:r>
        <w:t>6.5 用量与扣费</w:t>
      </w:r>
    </w:p>
    <w:p>
      <w:r>
        <w:t>统一筛选器：时间、粒度、用户、API Key、账号、供应商、平台、渠道、分组、模型、请求模型、上游模型、端点、计费模式、请求类型和标签。</w:t>
      </w:r>
    </w:p>
    <w:p>
      <w:r>
        <w:t>指标包括：</w:t>
      </w:r>
    </w:p>
    <w:p>
      <w:pPr>
        <w:numPr>
          <w:ilvl w:val="0"/>
          <w:numId w:val="10"/>
        </w:numPr>
      </w:pPr>
      <w:r>
        <w:t>输入、输出、缓存创建、缓存读取、图片、视频等用量；</w:t>
      </w:r>
    </w:p>
    <w:p>
      <w:pPr>
        <w:numPr>
          <w:ilvl w:val="0"/>
          <w:numId w:val="10"/>
        </w:numPr>
      </w:pPr>
      <w:r>
        <w:t>请求数、成功/错误数、首字延迟、总延迟；</w:t>
      </w:r>
    </w:p>
    <w:p>
      <w:pPr>
        <w:numPr>
          <w:ilvl w:val="0"/>
          <w:numId w:val="10"/>
        </w:numPr>
      </w:pPr>
      <w:r>
        <w:t>标准目录价、用户应扣金额、上游估算成本；</w:t>
      </w:r>
    </w:p>
    <w:p>
      <w:pPr>
        <w:numPr>
          <w:ilvl w:val="0"/>
          <w:numId w:val="10"/>
        </w:numPr>
      </w:pPr>
      <w:r>
        <w:t>单百万 Token 收入/成本、单请求收入/成本；</w:t>
      </w:r>
    </w:p>
    <w:p>
      <w:pPr>
        <w:numPr>
          <w:ilvl w:val="0"/>
          <w:numId w:val="10"/>
        </w:numPr>
      </w:pPr>
      <w:r>
        <w:t>缓存命中率、长上下文占比、模型映射差异；</w:t>
      </w:r>
    </w:p>
    <w:p>
      <w:pPr>
        <w:numPr>
          <w:ilvl w:val="0"/>
          <w:numId w:val="10"/>
        </w:numPr>
      </w:pPr>
      <w:r>
        <w:t>同比、环比和累计占比。</w:t>
      </w:r>
    </w:p>
    <w:p>
      <w:r>
        <w:t>请求明细必须明确显示“用户应扣”和“上游估算”，并提供计算展开：Token 数 × 单价 × 分组倍率/账号倍率 × 特殊定价规则。</w:t>
      </w:r>
    </w:p>
    <w:p>
      <w:pPr>
        <w:pStyle w:val="Heading2"/>
      </w:pPr>
      <w:r>
        <w:t>6.6 充值与资金</w:t>
      </w:r>
    </w:p>
    <w:p>
      <w:r>
        <w:t>分为四个页签：</w:t>
      </w:r>
    </w:p>
    <w:p>
      <w:pPr>
        <w:numPr>
          <w:ilvl w:val="0"/>
          <w:numId w:val="11"/>
        </w:numPr>
      </w:pPr>
      <w:r>
        <w:rPr>
          <w:b/>
        </w:rPr>
        <w:t>支付订单：</w:t>
      </w:r>
      <w:r>
        <w:t xml:space="preserve"> 成功、待支付、失败、退款，区分面额和实付，显示通道、费率和订单生命周期。</w:t>
      </w:r>
    </w:p>
    <w:p>
      <w:pPr>
        <w:numPr>
          <w:ilvl w:val="0"/>
          <w:numId w:val="11"/>
        </w:numPr>
      </w:pPr>
      <w:r>
        <w:rPr>
          <w:b/>
        </w:rPr>
        <w:t>余额变动：</w:t>
      </w:r>
      <w:r>
        <w:t xml:space="preserve"> 现金充值、兑换码、赠送、返利、管理员增加/扣减、消费扣费、订阅权益。</w:t>
      </w:r>
    </w:p>
    <w:p>
      <w:pPr>
        <w:numPr>
          <w:ilvl w:val="0"/>
          <w:numId w:val="11"/>
        </w:numPr>
      </w:pPr>
      <w:r>
        <w:rPr>
          <w:b/>
        </w:rPr>
        <w:t>采购支出：</w:t>
      </w:r>
      <w:r>
        <w:t xml:space="preserve"> 账号购买、供应商充值、订阅续费、代理、服务器、手续费及其他成本。</w:t>
      </w:r>
    </w:p>
    <w:p>
      <w:pPr>
        <w:numPr>
          <w:ilvl w:val="0"/>
          <w:numId w:val="11"/>
        </w:numPr>
      </w:pPr>
      <w:r>
        <w:rPr>
          <w:b/>
        </w:rPr>
        <w:t>现金日报：</w:t>
      </w:r>
      <w:r>
        <w:t xml:space="preserve"> 当日流入、流出、净流量和支付渠道对账差额。</w:t>
      </w:r>
    </w:p>
    <w:p>
      <w:pPr>
        <w:pStyle w:val="Heading2"/>
      </w:pPr>
      <w:r>
        <w:t>6.7 成本核算</w:t>
      </w:r>
    </w:p>
    <w:p>
      <w:pPr>
        <w:numPr>
          <w:ilvl w:val="0"/>
          <w:numId w:val="10"/>
        </w:numPr>
      </w:pPr>
      <w:r>
        <w:t>创建成本模板并批量绑定账号；</w:t>
      </w:r>
    </w:p>
    <w:p>
      <w:pPr>
        <w:numPr>
          <w:ilvl w:val="0"/>
          <w:numId w:val="10"/>
        </w:numPr>
      </w:pPr>
      <w:r>
        <w:t>设置币种、汇率、成本类型、固定费、变量费、生效时间和分摊方法；</w:t>
      </w:r>
    </w:p>
    <w:p>
      <w:pPr>
        <w:numPr>
          <w:ilvl w:val="0"/>
          <w:numId w:val="10"/>
        </w:numPr>
      </w:pPr>
      <w:r>
        <w:t>支持按账号、账号标签、平台、渠道、模型和供应商配置优先级；</w:t>
      </w:r>
    </w:p>
    <w:p>
      <w:pPr>
        <w:numPr>
          <w:ilvl w:val="0"/>
          <w:numId w:val="10"/>
        </w:numPr>
      </w:pPr>
      <w:r>
        <w:t>规则冲突时按“账号精确 &gt; 标签 &gt; 渠道/平台 &gt; 全局默认”匹配；</w:t>
      </w:r>
    </w:p>
    <w:p>
      <w:pPr>
        <w:numPr>
          <w:ilvl w:val="0"/>
          <w:numId w:val="10"/>
        </w:numPr>
      </w:pPr>
      <w:r>
        <w:t>提供规则试算：输入一条历史请求，展示命中规则和计算结果；</w:t>
      </w:r>
    </w:p>
    <w:p>
      <w:pPr>
        <w:numPr>
          <w:ilvl w:val="0"/>
          <w:numId w:val="10"/>
        </w:numPr>
      </w:pPr>
      <w:r>
        <w:t>上线规则前显示影响账号数和预计历史差额，保存后形成新版本。</w:t>
      </w:r>
    </w:p>
    <w:p>
      <w:pPr>
        <w:pStyle w:val="Heading2"/>
      </w:pPr>
      <w:r>
        <w:t>6.8 对账中心</w:t>
      </w:r>
    </w:p>
    <w:p>
      <w:r>
        <w:t>对账任务按日自动执行，也可手工重跑：</w:t>
      </w:r>
    </w:p>
    <w:p>
      <w:pPr>
        <w:numPr>
          <w:ilvl w:val="0"/>
          <w:numId w:val="10"/>
        </w:numPr>
      </w:pPr>
      <w:r>
        <w:t>支付对账：成功订单、退款、面额、实付与支付渠道流水；</w:t>
      </w:r>
    </w:p>
    <w:p>
      <w:pPr>
        <w:numPr>
          <w:ilvl w:val="0"/>
          <w:numId w:val="10"/>
        </w:numPr>
      </w:pPr>
      <w:r>
        <w:t>余额对账：期初余额 + 增加 - 消耗 - 减少 = 期末余额；</w:t>
      </w:r>
    </w:p>
    <w:p>
      <w:pPr>
        <w:numPr>
          <w:ilvl w:val="0"/>
          <w:numId w:val="10"/>
        </w:numPr>
      </w:pPr>
      <w:r>
        <w:t xml:space="preserve">用量对账：FinOps 聚合与 ApiStation </w:t>
      </w:r>
      <w:r>
        <w:rPr>
          <w:rFonts w:ascii="Consolas" w:hAnsi="Consolas" w:eastAsia="Microsoft YaHei"/>
          <w:color w:val="1F4D78"/>
          <w:sz w:val="19"/>
        </w:rPr>
        <w:t>actual_cost</w:t>
      </w:r>
      <w:r>
        <w:t>、Token、请求数一致；</w:t>
      </w:r>
    </w:p>
    <w:p>
      <w:pPr>
        <w:numPr>
          <w:ilvl w:val="0"/>
          <w:numId w:val="10"/>
        </w:numPr>
      </w:pPr>
      <w:r>
        <w:t>成本对账：请求级估算成本之和与账号/渠道汇总一致；</w:t>
      </w:r>
    </w:p>
    <w:p>
      <w:pPr>
        <w:numPr>
          <w:ilvl w:val="0"/>
          <w:numId w:val="10"/>
        </w:numPr>
      </w:pPr>
      <w:r>
        <w:t>采购对账：期间采购成本 = 已分摊成本 + 闲置成本 + 未到生效期成本；</w:t>
      </w:r>
    </w:p>
    <w:p>
      <w:pPr>
        <w:numPr>
          <w:ilvl w:val="0"/>
          <w:numId w:val="10"/>
        </w:numPr>
      </w:pPr>
      <w:r>
        <w:t>数据完整性：缺失用户、账号、模型价格、成本规则、汇率或来源记录。</w:t>
      </w:r>
    </w:p>
    <w:p>
      <w:r>
        <w:t>每个差异必须能下钻到来源表、来源 ID、计算规则和差额，不只显示“失败”。</w:t>
      </w:r>
    </w:p>
    <w:p>
      <w:pPr>
        <w:pStyle w:val="Heading2"/>
      </w:pPr>
      <w:r>
        <w:t>6.9 数据同步</w:t>
      </w:r>
    </w:p>
    <w:p>
      <w:pPr>
        <w:numPr>
          <w:ilvl w:val="0"/>
          <w:numId w:val="10"/>
        </w:numPr>
      </w:pPr>
      <w:r>
        <w:t>按用户与账号、用量与扣费、充值与退款、自动对账四类来源展示状态；</w:t>
      </w:r>
    </w:p>
    <w:p>
      <w:pPr>
        <w:numPr>
          <w:ilvl w:val="0"/>
          <w:numId w:val="10"/>
        </w:numPr>
      </w:pPr>
      <w:r>
        <w:t>展示最近成功时间、当前游标、最大延迟、累计行数和最近错误；</w:t>
      </w:r>
    </w:p>
    <w:p>
      <w:pPr>
        <w:numPr>
          <w:ilvl w:val="0"/>
          <w:numId w:val="10"/>
        </w:numPr>
      </w:pPr>
      <w:r>
        <w:t>同步失败必须写入状态台账，不能只打印服务日志；</w:t>
      </w:r>
    </w:p>
    <w:p>
      <w:pPr>
        <w:numPr>
          <w:ilvl w:val="0"/>
          <w:numId w:val="10"/>
        </w:numPr>
      </w:pPr>
      <w:r>
        <w:t>后续增加手工重跑、历史回填、/ready 和 Schema 兼容结果。</w:t>
      </w:r>
    </w:p>
    <w:p>
      <w:pPr>
        <w:pStyle w:val="Heading2"/>
      </w:pPr>
      <w:r>
        <w:t>6.10 告警、报表与导出</w:t>
      </w:r>
    </w:p>
    <w:p>
      <w:pPr>
        <w:numPr>
          <w:ilvl w:val="0"/>
          <w:numId w:val="10"/>
        </w:numPr>
      </w:pPr>
      <w:r>
        <w:t>日报、周报、月报：现金、消耗、成本、毛利、用量和异常摘要；</w:t>
      </w:r>
    </w:p>
    <w:p>
      <w:pPr>
        <w:numPr>
          <w:ilvl w:val="0"/>
          <w:numId w:val="10"/>
        </w:numPr>
      </w:pPr>
      <w:r>
        <w:t>用户利润表、账号回本表、模型毛利表、分组折扣效果表、供应商成本表；</w:t>
      </w:r>
    </w:p>
    <w:p>
      <w:pPr>
        <w:numPr>
          <w:ilvl w:val="0"/>
          <w:numId w:val="10"/>
        </w:numPr>
      </w:pPr>
      <w:r>
        <w:t>CSV/XLSX 导出遵循当前筛选条件，记录导出人、时间和范围；</w:t>
      </w:r>
    </w:p>
    <w:p>
      <w:pPr>
        <w:numPr>
          <w:ilvl w:val="0"/>
          <w:numId w:val="10"/>
        </w:numPr>
      </w:pPr>
      <w:r>
        <w:t>告警支持站内、邮件或 Webhook：负毛利、毛利率过低、成本缺失、账号即将到期、闲置成本过高、同步延迟、对账差异；</w:t>
      </w:r>
    </w:p>
    <w:p>
      <w:pPr>
        <w:numPr>
          <w:ilvl w:val="0"/>
          <w:numId w:val="10"/>
        </w:numPr>
      </w:pPr>
      <w:r>
        <w:t>大导出走后台任务，避免阻塞 Web 请求。</w:t>
      </w:r>
    </w:p>
    <w:p>
      <w:pPr>
        <w:pStyle w:val="Heading1"/>
      </w:pPr>
      <w:r>
        <w:t>7. 数据架构</w:t>
      </w:r>
    </w:p>
    <w:p>
      <w:pPr>
        <w:pStyle w:val="Heading2"/>
      </w:pPr>
      <w:r>
        <w:t>7.1 数据流</w:t>
      </w:r>
    </w:p>
    <w:p>
      <w:pPr>
        <w:ind w:left="288"/>
        <w:shd w:fill="F8FAFC"/>
      </w:pPr>
      <w:r>
        <w:rPr>
          <w:rFonts w:ascii="Consolas" w:hAnsi="Consolas" w:eastAsia="Microsoft YaHei"/>
          <w:color w:val="1F4D78"/>
          <w:sz w:val="19"/>
        </w:rPr>
        <w:t>ApiStation PostgreSQL（只读） -&gt; 增量同步器 -&gt; FinOps 规范化事实/台账 -&gt; 小时/日聚合 -&gt; API -&gt; 管理前端</w:t>
      </w:r>
    </w:p>
    <w:p>
      <w:r>
        <w:t>同步器按来源维护独立游标：</w:t>
      </w:r>
    </w:p>
    <w:p>
      <w:pPr>
        <w:numPr>
          <w:ilvl w:val="0"/>
          <w:numId w:val="10"/>
        </w:numPr>
      </w:pPr>
      <w:r>
        <w:t xml:space="preserve">只追加表按 </w:t>
      </w:r>
      <w:r>
        <w:rPr>
          <w:rFonts w:ascii="Consolas" w:hAnsi="Consolas" w:eastAsia="Microsoft YaHei"/>
          <w:color w:val="1F4D78"/>
          <w:sz w:val="19"/>
        </w:rPr>
        <w:t>(created_at, id)</w:t>
      </w:r>
      <w:r>
        <w:t xml:space="preserve"> 增量读取；</w:t>
      </w:r>
    </w:p>
    <w:p>
      <w:pPr>
        <w:numPr>
          <w:ilvl w:val="0"/>
          <w:numId w:val="10"/>
        </w:numPr>
      </w:pPr>
      <w:r>
        <w:t xml:space="preserve">可变订单按 </w:t>
      </w:r>
      <w:r>
        <w:rPr>
          <w:rFonts w:ascii="Consolas" w:hAnsi="Consolas" w:eastAsia="Microsoft YaHei"/>
          <w:color w:val="1F4D78"/>
          <w:sz w:val="19"/>
        </w:rPr>
        <w:t>(updated_at, id)</w:t>
      </w:r>
      <w:r>
        <w:t xml:space="preserve"> 增量读取，并保留 10 分钟回看窗口；</w:t>
      </w:r>
    </w:p>
    <w:p>
      <w:pPr>
        <w:numPr>
          <w:ilvl w:val="0"/>
          <w:numId w:val="10"/>
        </w:numPr>
      </w:pPr>
      <w:r>
        <w:t>每批默认 1,000 条，每分钟执行；</w:t>
      </w:r>
    </w:p>
    <w:p>
      <w:pPr>
        <w:numPr>
          <w:ilvl w:val="0"/>
          <w:numId w:val="10"/>
        </w:numPr>
      </w:pPr>
      <w:r>
        <w:t xml:space="preserve">以 </w:t>
      </w:r>
      <w:r>
        <w:rPr>
          <w:rFonts w:ascii="Consolas" w:hAnsi="Consolas" w:eastAsia="Microsoft YaHei"/>
          <w:color w:val="1F4D78"/>
          <w:sz w:val="19"/>
        </w:rPr>
        <w:t>source_system + source_table + source_id + source_version</w:t>
      </w:r>
      <w:r>
        <w:t xml:space="preserve"> 幂等去重；</w:t>
      </w:r>
    </w:p>
    <w:p>
      <w:pPr>
        <w:numPr>
          <w:ilvl w:val="0"/>
          <w:numId w:val="10"/>
        </w:numPr>
      </w:pPr>
      <w:r>
        <w:t>同步失败不影响 ApiStation，请求恢复后自动续传；</w:t>
      </w:r>
    </w:p>
    <w:p>
      <w:pPr>
        <w:numPr>
          <w:ilvl w:val="0"/>
          <w:numId w:val="10"/>
        </w:numPr>
      </w:pPr>
      <w:r>
        <w:t>每晚重算最近 3 天聚合，吸收迟到退款和人工调账。</w:t>
      </w:r>
    </w:p>
    <w:p>
      <w:pPr>
        <w:pStyle w:val="Heading2"/>
      </w:pPr>
      <w:r>
        <w:t>7.2 建议数据表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表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关键字段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sync_cursor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来源同步水位与状态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source、cursor_time、cursor_id、lag、last_error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source_event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统一来源事件索引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source_table、source_id、event_type、occurred_at、payload_hash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dim_user_snapshot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用户历史属性与标签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user_id、valid_from/to、status、tags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dim_account_snapshot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账号平台、供应商、标签历史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account_id、platform、cost_profile_id、valid_from/to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fact_usage_event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精简请求级核算事实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source_usage_id、user/api_key/account/group/model、tokens、user_charge、estimated_cost、rule_version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fact_usage_hourly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小时用量与金额聚合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hour + 主要维度 + 各 Token/金额指标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fact_usage_daily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长期日聚合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date + 主要维度 + 各 Token/金额指标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cash_transaction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现金流入流出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direction、type、original_amount/currency、base_amount、source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credit_transaction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用户余额/权益变动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user_id、type、credit_amount、source、balance_after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cost_profile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成本策略模板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type、allocation_method、currency、version、effective_range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account_cost_period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账号采购与期间成本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account_id、amount、fee、tax、start/end、purchase_batch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cost_allocation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成本分摊结果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cost_period_id、date、user/account/model/group、allocated_amount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fx_rate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汇率快照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base、quote、rate、source、effective_at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ledger_entry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不可变经营台账与冲正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entry_type、amount、currency、reference、reversal_of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reconciliation_run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对账批次与结果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type、period、status、source_total、finops_total、difference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audit_log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管理操作审计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actor、action、object、before/after、time</w:t>
            </w:r>
          </w:p>
        </w:tc>
      </w:tr>
    </w:tbl>
    <w:p>
      <w:pPr>
        <w:spacing w:after="40" w:before="0"/>
      </w:pPr>
    </w:p>
    <w:p>
      <w:r>
        <w:t xml:space="preserve">所有货币字段在 PostgreSQL 使用 </w:t>
      </w:r>
      <w:r>
        <w:rPr>
          <w:rFonts w:ascii="Consolas" w:hAnsi="Consolas" w:eastAsia="Microsoft YaHei"/>
          <w:color w:val="1F4D78"/>
          <w:sz w:val="19"/>
        </w:rPr>
        <w:t>NUMERIC</w:t>
      </w:r>
      <w:r>
        <w:t xml:space="preserve">，Node.js 端使用 decimal.js 做十进制定点计算，不使用 </w:t>
      </w:r>
      <w:r>
        <w:rPr>
          <w:rFonts w:ascii="Consolas" w:hAnsi="Consolas" w:eastAsia="Microsoft YaHei"/>
          <w:color w:val="1F4D78"/>
          <w:sz w:val="19"/>
        </w:rPr>
        <w:t>JavaScript Number</w:t>
      </w:r>
      <w:r>
        <w:t xml:space="preserve"> 做最终台账计算。</w:t>
      </w:r>
    </w:p>
    <w:p>
      <w:pPr>
        <w:pStyle w:val="Heading2"/>
      </w:pPr>
      <w:r>
        <w:t>7.3 来源映射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ApiStation 来源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FinOps 用途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usage_logs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请求、Token、用户应扣、上游估算成本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只追加；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account_stats_cost</w:t>
            </w:r>
            <w:r>
              <w:rPr>
                <w:color w:val="344054"/>
                <w:sz w:val="18"/>
              </w:rPr>
              <w:t xml:space="preserve"> 是估算定价，不是付款凭证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用户、余额、累计充值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当前余额用于对账，不直接当作收入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api_keys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Key 维度和配额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软删除后仍需保留历史快照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accounts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账号维度与倍率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 xml:space="preserve">禁止读取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credentials</w:t>
            </w:r>
            <w:r>
              <w:rPr>
                <w:color w:val="344054"/>
                <w:sz w:val="18"/>
              </w:rPr>
              <w:t>；成本标签在 FinOps 维护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groups</w:t>
            </w:r>
            <w:r>
              <w:rPr>
                <w:color w:val="344054"/>
                <w:sz w:val="18"/>
              </w:rPr>
              <w:t xml:space="preserve"> / 用户专属倍率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售价规则解释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请求日志已有倍率快照时优先使用快照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payment_orders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现金充值、实付、手续费、退款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仅完成状态计入现金；状态更新需要重复同步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redeem_codes</w:t>
            </w:r>
            <w:r>
              <w:rPr>
                <w:color w:val="344054"/>
                <w:sz w:val="18"/>
              </w:rPr>
              <w:t xml:space="preserve"> / 余额历史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兑换、赠送、人工调账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必须区分现金与非现金来源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affiliate</w:t>
            </w:r>
            <w:r>
              <w:rPr>
                <w:color w:val="344054"/>
                <w:sz w:val="18"/>
              </w:rPr>
              <w:t xml:space="preserve"> 相关表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返利和获客成本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返利从毛利中单独列示，不隐藏在用户扣费中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channels</w:t>
            </w:r>
            <w:r>
              <w:rPr>
                <w:color w:val="344054"/>
                <w:sz w:val="18"/>
              </w:rPr>
              <w:t xml:space="preserve"> 及成本定价规则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上游估算成本解释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保存规则版本和命中快照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7.4 历史数据策略</w:t>
      </w:r>
    </w:p>
    <w:p>
      <w:pPr>
        <w:numPr>
          <w:ilvl w:val="0"/>
          <w:numId w:val="10"/>
        </w:numPr>
      </w:pPr>
      <w:r>
        <w:t>首次上线回填最近 90 天请求明细和可获得的全部支付/余额历史。</w:t>
      </w:r>
    </w:p>
    <w:p>
      <w:pPr>
        <w:numPr>
          <w:ilvl w:val="0"/>
          <w:numId w:val="10"/>
        </w:numPr>
      </w:pPr>
      <w:r>
        <w:t>更早数据若只有聚合，可标记为“历史估算”，不得伪装成请求级精确数据。</w:t>
      </w:r>
    </w:p>
    <w:p>
      <w:pPr>
        <w:numPr>
          <w:ilvl w:val="0"/>
          <w:numId w:val="10"/>
        </w:numPr>
      </w:pPr>
      <w:r>
        <w:t>回填期间限制批次和查询超时，按天切片，允许暂停和续跑。</w:t>
      </w:r>
    </w:p>
    <w:p>
      <w:pPr>
        <w:numPr>
          <w:ilvl w:val="0"/>
          <w:numId w:val="10"/>
        </w:numPr>
      </w:pPr>
      <w:r>
        <w:t>回填完成后输出完整性报告：覆盖时间、记录数、金额差异、缺失规则和不可核算金额。</w:t>
      </w:r>
    </w:p>
    <w:p>
      <w:pPr>
        <w:pStyle w:val="Heading1"/>
      </w:pPr>
      <w:r>
        <w:t>8. 技术方案</w:t>
      </w:r>
    </w:p>
    <w:p>
      <w:pPr>
        <w:pStyle w:val="Heading2"/>
      </w:pPr>
      <w:r>
        <w:t>8.1 推荐技术栈</w:t>
      </w:r>
    </w:p>
    <w:p>
      <w:pPr>
        <w:numPr>
          <w:ilvl w:val="0"/>
          <w:numId w:val="10"/>
        </w:numPr>
      </w:pPr>
      <w:r>
        <w:t>后端：Node.js 22 ESM，使用内置 HTTP 服务承载 API 和静态文件，pg 连接 PostgreSQL，decimal.js 处理金额；</w:t>
      </w:r>
    </w:p>
    <w:p>
      <w:pPr>
        <w:numPr>
          <w:ilvl w:val="0"/>
          <w:numId w:val="10"/>
        </w:numPr>
      </w:pPr>
      <w:r>
        <w:t>前端：原生 HTML、CSS 和 JavaScript，由同一 Node.js 服务托管，沿用 ApiStation 左侧菜单与右侧数据工作区的管理端布局；</w:t>
      </w:r>
    </w:p>
    <w:p>
      <w:pPr>
        <w:numPr>
          <w:ilvl w:val="0"/>
          <w:numId w:val="10"/>
        </w:numPr>
      </w:pPr>
      <w:r>
        <w:t xml:space="preserve">数据库：复用 PostgreSQL 实例，使用独立 </w:t>
      </w:r>
      <w:r>
        <w:rPr>
          <w:rFonts w:ascii="Consolas" w:hAnsi="Consolas" w:eastAsia="Microsoft YaHei"/>
          <w:color w:val="1F4D78"/>
          <w:sz w:val="19"/>
        </w:rPr>
        <w:t>finops</w:t>
      </w:r>
      <w:r>
        <w:t xml:space="preserve"> 数据库或 Schema；</w:t>
      </w:r>
    </w:p>
    <w:p>
      <w:pPr>
        <w:numPr>
          <w:ilvl w:val="0"/>
          <w:numId w:val="10"/>
        </w:numPr>
      </w:pPr>
      <w:r>
        <w:t>缓存：v1 不依赖 Redis，必要的短缓存使用进程内缓存；</w:t>
      </w:r>
    </w:p>
    <w:p>
      <w:pPr>
        <w:numPr>
          <w:ilvl w:val="0"/>
          <w:numId w:val="10"/>
        </w:numPr>
      </w:pPr>
      <w:r>
        <w:t>图表：浏览器原生 Canvas，首版不额外引入图表框架；</w:t>
      </w:r>
    </w:p>
    <w:p>
      <w:pPr>
        <w:numPr>
          <w:ilvl w:val="0"/>
          <w:numId w:val="10"/>
        </w:numPr>
      </w:pPr>
      <w:r>
        <w:t>部署目标：Docker Compose，单个 FinOps 镜像同时运行 API、同步器和静态管理前端；</w:t>
      </w:r>
    </w:p>
    <w:p>
      <w:pPr>
        <w:numPr>
          <w:ilvl w:val="0"/>
          <w:numId w:val="10"/>
        </w:numPr>
      </w:pPr>
      <w:r>
        <w:t xml:space="preserve">路由：建议使用独立子域名 </w:t>
      </w:r>
      <w:r>
        <w:rPr>
          <w:rFonts w:ascii="Consolas" w:hAnsi="Consolas" w:eastAsia="Microsoft YaHei"/>
          <w:color w:val="1F4D78"/>
          <w:sz w:val="19"/>
        </w:rPr>
        <w:t>finops.example.com</w:t>
      </w:r>
      <w:r>
        <w:t>，避免与 ApiStation 前端路由冲突。</w:t>
      </w:r>
    </w:p>
    <w:p>
      <w:pPr>
        <w:pStyle w:val="Heading2"/>
      </w:pPr>
      <w:r>
        <w:t>8.2 为什么不直接改 ApiStation</w:t>
      </w:r>
    </w:p>
    <w:p>
      <w:pPr>
        <w:numPr>
          <w:ilvl w:val="0"/>
          <w:numId w:val="10"/>
        </w:numPr>
      </w:pPr>
      <w:r>
        <w:t>成本与财务规则变化频繁，和高可用转发主链路的风险等级不同；</w:t>
      </w:r>
    </w:p>
    <w:p>
      <w:pPr>
        <w:numPr>
          <w:ilvl w:val="0"/>
          <w:numId w:val="10"/>
        </w:numPr>
      </w:pPr>
      <w:r>
        <w:t>旁路系统失败不会影响用户调用和扣费；</w:t>
      </w:r>
    </w:p>
    <w:p>
      <w:pPr>
        <w:numPr>
          <w:ilvl w:val="0"/>
          <w:numId w:val="10"/>
        </w:numPr>
      </w:pPr>
      <w:r>
        <w:t>可以独立升级、回填和重算；</w:t>
      </w:r>
    </w:p>
    <w:p>
      <w:pPr>
        <w:numPr>
          <w:ilvl w:val="0"/>
          <w:numId w:val="10"/>
        </w:numPr>
      </w:pPr>
      <w:r>
        <w:t>通过只读权限降低误改余额和账号数据的风险；</w:t>
      </w:r>
    </w:p>
    <w:p>
      <w:pPr>
        <w:numPr>
          <w:ilvl w:val="0"/>
          <w:numId w:val="10"/>
        </w:numPr>
      </w:pPr>
      <w:r>
        <w:t>开源上游升级时，减少长期维护大规模 fork 的成本。</w:t>
      </w:r>
    </w:p>
    <w:p>
      <w:r>
        <w:t>需要承认的代价是数据会有约 1-2 分钟延迟，且源表结构升级需要兼容检查。对经营分析而言可接受。</w:t>
      </w:r>
    </w:p>
    <w:p>
      <w:pPr>
        <w:pStyle w:val="Heading2"/>
      </w:pPr>
      <w:r>
        <w:t>8.3 部署拓扑</w:t>
      </w:r>
    </w:p>
    <w:p>
      <w:r>
        <w:t>同一 Docker 网络内运行：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sub2api</w:t>
      </w:r>
      <w:r>
        <w:t>：现有应用；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postgres</w:t>
      </w:r>
      <w:r>
        <w:t>：现有数据库实例，新增 finops 数据库/Schema 与两个最小权限角色；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redis</w:t>
      </w:r>
      <w:r>
        <w:t>：现有缓存，不供 FinOps 强依赖；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apistation-finops</w:t>
      </w:r>
      <w:r>
        <w:t>：新增 Node.js 单服务应用，内部端口 8090；</w:t>
      </w:r>
    </w:p>
    <w:p>
      <w:pPr>
        <w:numPr>
          <w:ilvl w:val="0"/>
          <w:numId w:val="10"/>
        </w:numPr>
      </w:pPr>
      <w:r>
        <w:t>Caddy/Nginx：将独立子域名反代到 FinOps。</w:t>
      </w:r>
    </w:p>
    <w:p>
      <w:r>
        <w:t xml:space="preserve">建议参数：FinOps </w:t>
      </w:r>
      <w:r>
        <w:rPr>
          <w:rFonts w:ascii="Consolas" w:hAnsi="Consolas" w:eastAsia="Microsoft YaHei"/>
          <w:color w:val="1F4D78"/>
          <w:sz w:val="19"/>
        </w:rPr>
        <w:t>NODE_OPTIONS=--max-old-space-size=256</w:t>
      </w:r>
      <w:r>
        <w:t>、数据库最大连接 5、空闲连接 2、同步批次 1,000、同步周期 60 秒、查询超时 5 秒、后台重算单并发、容器内存上限 384MB。</w:t>
      </w:r>
    </w:p>
    <w:p>
      <w:pPr>
        <w:pStyle w:val="Heading2"/>
      </w:pPr>
      <w:r>
        <w:t>8.4 性能目标</w:t>
      </w:r>
    </w:p>
    <w:p>
      <w:pPr>
        <w:numPr>
          <w:ilvl w:val="0"/>
          <w:numId w:val="10"/>
        </w:numPr>
      </w:pPr>
      <w:r>
        <w:t>总览与常用列表 P95 小于 2 秒；</w:t>
      </w:r>
    </w:p>
    <w:p>
      <w:pPr>
        <w:numPr>
          <w:ilvl w:val="0"/>
          <w:numId w:val="10"/>
        </w:numPr>
      </w:pPr>
      <w:r>
        <w:t>请求明细 P95 小于 3 秒；</w:t>
      </w:r>
    </w:p>
    <w:p>
      <w:pPr>
        <w:numPr>
          <w:ilvl w:val="0"/>
          <w:numId w:val="10"/>
        </w:numPr>
      </w:pPr>
      <w:r>
        <w:t>默认同步延迟小于 2 分钟；</w:t>
      </w:r>
    </w:p>
    <w:p>
      <w:pPr>
        <w:numPr>
          <w:ilvl w:val="0"/>
          <w:numId w:val="10"/>
        </w:numPr>
      </w:pPr>
      <w:r>
        <w:t>日对账在当前规模下 10 分钟内完成；</w:t>
      </w:r>
    </w:p>
    <w:p>
      <w:pPr>
        <w:numPr>
          <w:ilvl w:val="0"/>
          <w:numId w:val="10"/>
        </w:numPr>
      </w:pPr>
      <w:r>
        <w:t>FinOps 后台任务运行时，ApiStation P95 延迟增幅不超过 10%；</w:t>
      </w:r>
    </w:p>
    <w:p>
      <w:pPr>
        <w:numPr>
          <w:ilvl w:val="0"/>
          <w:numId w:val="10"/>
        </w:numPr>
      </w:pPr>
      <w:r>
        <w:t>任何看板查询最多扫描限定日期的分区或聚合表。</w:t>
      </w:r>
    </w:p>
    <w:p>
      <w:pPr>
        <w:pStyle w:val="Heading2"/>
      </w:pPr>
      <w:r>
        <w:t>8.5 可观测性与运维目标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/health（已实现）：返回进程状态、演示/数据库模式和运行时间；</w:t>
      </w:r>
      <w:r/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/ready（待实现）：Schema 版本、来源权限、数据库连接和最近同步成功；</w:t>
      </w:r>
      <w:r/>
    </w:p>
    <w:p>
      <w:pPr>
        <w:numPr>
          <w:ilvl w:val="0"/>
          <w:numId w:val="10"/>
        </w:numPr>
      </w:pPr>
      <w:r>
        <w:t>指标：同步延迟、每批记录数、失败数、聚合耗时、查询耗时、对账差额、数据库连接；</w:t>
      </w:r>
    </w:p>
    <w:p>
      <w:pPr>
        <w:numPr>
          <w:ilvl w:val="0"/>
          <w:numId w:val="10"/>
        </w:numPr>
      </w:pPr>
      <w:r>
        <w:t>日志带任务 ID 和来源游标，不记录用户密钥或账号凭证；</w:t>
      </w:r>
    </w:p>
    <w:p>
      <w:pPr>
        <w:numPr>
          <w:ilvl w:val="0"/>
          <w:numId w:val="10"/>
        </w:numPr>
      </w:pPr>
      <w:r>
        <w:t>每日备份 FinOps Schema，支付/成本/台账保留异机备份；</w:t>
      </w:r>
    </w:p>
    <w:p>
      <w:pPr>
        <w:numPr>
          <w:ilvl w:val="0"/>
          <w:numId w:val="10"/>
        </w:numPr>
      </w:pPr>
      <w:r>
        <w:t>启动时检查 ApiStation 必需表和字段，结构不兼容则拒绝同步并明确告警。</w:t>
      </w:r>
    </w:p>
    <w:p>
      <w:pPr>
        <w:pStyle w:val="Heading1"/>
      </w:pPr>
      <w:r>
        <w:t>9. MVP 范围与优先级</w:t>
      </w:r>
    </w:p>
    <w:p>
      <w:pPr>
        <w:pStyle w:val="Heading2"/>
      </w:pPr>
      <w:r>
        <w:t>9.1 P0：首个可用版本</w:t>
      </w:r>
    </w:p>
    <w:p>
      <w:pPr>
        <w:numPr>
          <w:ilvl w:val="0"/>
          <w:numId w:val="11"/>
        </w:numPr>
      </w:pPr>
      <w:r>
        <w:t>数据源连接、自检、增量同步、回填和同步状态页；</w:t>
      </w:r>
    </w:p>
    <w:p>
      <w:pPr>
        <w:numPr>
          <w:ilvl w:val="0"/>
          <w:numId w:val="11"/>
        </w:numPr>
      </w:pPr>
      <w:r>
        <w:t>统一费用命名与经营总览；</w:t>
      </w:r>
    </w:p>
    <w:p>
      <w:pPr>
        <w:numPr>
          <w:ilvl w:val="0"/>
          <w:numId w:val="11"/>
        </w:numPr>
      </w:pPr>
      <w:r>
        <w:t>用户利润列表/详情；</w:t>
      </w:r>
    </w:p>
    <w:p>
      <w:pPr>
        <w:numPr>
          <w:ilvl w:val="0"/>
          <w:numId w:val="11"/>
        </w:numPr>
      </w:pPr>
      <w:r>
        <w:t>账号采购档案、成本类型、标签、生效期和固定成本分摊；</w:t>
      </w:r>
    </w:p>
    <w:p>
      <w:pPr>
        <w:numPr>
          <w:ilvl w:val="0"/>
          <w:numId w:val="11"/>
        </w:numPr>
      </w:pPr>
      <w:r>
        <w:t>用量分析与请求明细计算展开；</w:t>
      </w:r>
    </w:p>
    <w:p>
      <w:pPr>
        <w:numPr>
          <w:ilvl w:val="0"/>
          <w:numId w:val="11"/>
        </w:numPr>
      </w:pPr>
      <w:r>
        <w:t>支付订单、余额变动、采购支出和手工费用台账；</w:t>
      </w:r>
    </w:p>
    <w:p>
      <w:pPr>
        <w:numPr>
          <w:ilvl w:val="0"/>
          <w:numId w:val="11"/>
        </w:numPr>
      </w:pPr>
      <w:r>
        <w:t>每日用量、余额、支付和采购成本对账；</w:t>
      </w:r>
    </w:p>
    <w:p>
      <w:pPr>
        <w:numPr>
          <w:ilvl w:val="0"/>
          <w:numId w:val="11"/>
        </w:numPr>
      </w:pPr>
      <w:r>
        <w:t>CSV/XLSX 导出、审计日志和基础告警；</w:t>
      </w:r>
    </w:p>
    <w:p>
      <w:pPr>
        <w:numPr>
          <w:ilvl w:val="0"/>
          <w:numId w:val="11"/>
        </w:numPr>
      </w:pPr>
      <w:r>
        <w:t>Docker 一键部署、备份说明和资源限制。</w:t>
      </w:r>
    </w:p>
    <w:p>
      <w:pPr>
        <w:pStyle w:val="Heading2"/>
      </w:pPr>
      <w:r>
        <w:t>9.2 P1：运营增强</w:t>
      </w:r>
    </w:p>
    <w:p>
      <w:pPr>
        <w:numPr>
          <w:ilvl w:val="0"/>
          <w:numId w:val="10"/>
        </w:numPr>
      </w:pPr>
      <w:r>
        <w:t>上游账单 CSV/XLSX 导入与差异匹配；</w:t>
      </w:r>
    </w:p>
    <w:p>
      <w:pPr>
        <w:numPr>
          <w:ilvl w:val="0"/>
          <w:numId w:val="10"/>
        </w:numPr>
      </w:pPr>
      <w:r>
        <w:t>支付渠道账单导入；</w:t>
      </w:r>
    </w:p>
    <w:p>
      <w:pPr>
        <w:numPr>
          <w:ilvl w:val="0"/>
          <w:numId w:val="10"/>
        </w:numPr>
      </w:pPr>
      <w:r>
        <w:t>邮件/Webhook 日报与告警；</w:t>
      </w:r>
    </w:p>
    <w:p>
      <w:pPr>
        <w:numPr>
          <w:ilvl w:val="0"/>
          <w:numId w:val="10"/>
        </w:numPr>
      </w:pPr>
      <w:r>
        <w:t>用户分层、注册批次和留存/回本分析；</w:t>
      </w:r>
    </w:p>
    <w:p>
      <w:pPr>
        <w:numPr>
          <w:ilvl w:val="0"/>
          <w:numId w:val="10"/>
        </w:numPr>
      </w:pPr>
      <w:r>
        <w:t>预算、成本预测和账号续费提醒；</w:t>
      </w:r>
    </w:p>
    <w:p>
      <w:pPr>
        <w:numPr>
          <w:ilvl w:val="0"/>
          <w:numId w:val="10"/>
        </w:numPr>
      </w:pPr>
      <w:r>
        <w:t>多本位币报表与自动汇率源。</w:t>
      </w:r>
    </w:p>
    <w:p>
      <w:pPr>
        <w:pStyle w:val="Heading2"/>
      </w:pPr>
      <w:r>
        <w:t>9.3 P2：自动化与规模化</w:t>
      </w:r>
    </w:p>
    <w:p>
      <w:pPr>
        <w:numPr>
          <w:ilvl w:val="0"/>
          <w:numId w:val="10"/>
        </w:numPr>
      </w:pPr>
      <w:r>
        <w:t>ApiStation 事务型 Outbox，接近实时且更强一致；</w:t>
      </w:r>
    </w:p>
    <w:p>
      <w:pPr>
        <w:numPr>
          <w:ilvl w:val="0"/>
          <w:numId w:val="10"/>
        </w:numPr>
      </w:pPr>
      <w:r>
        <w:t>自动拉取可用供应商账单；</w:t>
      </w:r>
    </w:p>
    <w:p>
      <w:pPr>
        <w:numPr>
          <w:ilvl w:val="0"/>
          <w:numId w:val="10"/>
        </w:numPr>
      </w:pPr>
      <w:r>
        <w:t>成本异常检测、利润预测、路由成本建议；</w:t>
      </w:r>
    </w:p>
    <w:p>
      <w:pPr>
        <w:numPr>
          <w:ilvl w:val="0"/>
          <w:numId w:val="10"/>
        </w:numPr>
      </w:pPr>
      <w:r>
        <w:t>多站点/多租户统一经营看板；</w:t>
      </w:r>
    </w:p>
    <w:p>
      <w:pPr>
        <w:numPr>
          <w:ilvl w:val="0"/>
          <w:numId w:val="10"/>
        </w:numPr>
      </w:pPr>
      <w:r>
        <w:t>独立数据库或分析型存储，以支持更高请求规模。</w:t>
      </w:r>
    </w:p>
    <w:p>
      <w:pPr>
        <w:pStyle w:val="Heading1"/>
      </w:pPr>
      <w:r>
        <w:t>10. 验收标准</w:t>
      </w:r>
    </w:p>
    <w:p>
      <w:pPr>
        <w:pStyle w:val="Heading2"/>
      </w:pPr>
      <w:r>
        <w:t>10.1 数据正确性</w:t>
      </w:r>
    </w:p>
    <w:p>
      <w:pPr>
        <w:numPr>
          <w:ilvl w:val="0"/>
          <w:numId w:val="10"/>
        </w:numPr>
      </w:pPr>
      <w:r>
        <w:t>指定日期范围内，FinOps 请求数、Token、</w:t>
      </w:r>
      <w:r>
        <w:rPr>
          <w:rFonts w:ascii="Consolas" w:hAnsi="Consolas" w:eastAsia="Microsoft YaHei"/>
          <w:color w:val="1F4D78"/>
          <w:sz w:val="19"/>
        </w:rPr>
        <w:t>actual_cost</w:t>
      </w:r>
      <w:r>
        <w:t xml:space="preserve"> 与 ApiStation 差异为 0；</w:t>
      </w:r>
    </w:p>
    <w:p>
      <w:pPr>
        <w:numPr>
          <w:ilvl w:val="0"/>
          <w:numId w:val="10"/>
        </w:numPr>
      </w:pPr>
      <w:r>
        <w:t>上游估算成本严格匹配源公式和请求时倍率快照；</w:t>
      </w:r>
    </w:p>
    <w:p>
      <w:pPr>
        <w:numPr>
          <w:ilvl w:val="0"/>
          <w:numId w:val="10"/>
        </w:numPr>
      </w:pPr>
      <w:r>
        <w:t>完成支付、退款、兑换、返利和人工调账均能追溯到来源 ID；</w:t>
      </w:r>
    </w:p>
    <w:p>
      <w:pPr>
        <w:numPr>
          <w:ilvl w:val="0"/>
          <w:numId w:val="10"/>
        </w:numPr>
      </w:pPr>
      <w:r>
        <w:t>每个固定成本期间满足：采购成本 = 已分摊成本 + 闲置成本 + 未生效/未摊销成本；</w:t>
      </w:r>
    </w:p>
    <w:p>
      <w:pPr>
        <w:numPr>
          <w:ilvl w:val="0"/>
          <w:numId w:val="10"/>
        </w:numPr>
      </w:pPr>
      <w:r>
        <w:t>所有汇率换算可追溯到汇率快照；</w:t>
      </w:r>
    </w:p>
    <w:p>
      <w:pPr>
        <w:numPr>
          <w:ilvl w:val="0"/>
          <w:numId w:val="10"/>
        </w:numPr>
      </w:pPr>
      <w:r>
        <w:t>同一来源事件重复同步不会重复入账；</w:t>
      </w:r>
    </w:p>
    <w:p>
      <w:pPr>
        <w:numPr>
          <w:ilvl w:val="0"/>
          <w:numId w:val="10"/>
        </w:numPr>
      </w:pPr>
      <w:r>
        <w:t>更正记录可追溯原记录，冲正前后总额守恒。</w:t>
      </w:r>
    </w:p>
    <w:p>
      <w:pPr>
        <w:pStyle w:val="Heading2"/>
      </w:pPr>
      <w:r>
        <w:t>10.2 产品可用性</w:t>
      </w:r>
    </w:p>
    <w:p>
      <w:pPr>
        <w:numPr>
          <w:ilvl w:val="0"/>
          <w:numId w:val="10"/>
        </w:numPr>
      </w:pPr>
      <w:r>
        <w:t>总览不再出现未解释的“实际/成本/标准”；每个指标都有口径说明和计算展开；</w:t>
      </w:r>
    </w:p>
    <w:p>
      <w:pPr>
        <w:numPr>
          <w:ilvl w:val="0"/>
          <w:numId w:val="10"/>
        </w:numPr>
      </w:pPr>
      <w:r>
        <w:t>从任一汇总数字最多三次点击可下钻到用户/账号/请求或资金来源；</w:t>
      </w:r>
    </w:p>
    <w:p>
      <w:pPr>
        <w:numPr>
          <w:ilvl w:val="0"/>
          <w:numId w:val="10"/>
        </w:numPr>
      </w:pPr>
      <w:r>
        <w:t>筛选条件在图表、列表与导出中一致；</w:t>
      </w:r>
    </w:p>
    <w:p>
      <w:pPr>
        <w:numPr>
          <w:ilvl w:val="0"/>
          <w:numId w:val="10"/>
        </w:numPr>
      </w:pPr>
      <w:r>
        <w:t>负毛利、缺失成本、同步延迟和对账差异有醒目标识；</w:t>
      </w:r>
    </w:p>
    <w:p>
      <w:pPr>
        <w:numPr>
          <w:ilvl w:val="0"/>
          <w:numId w:val="10"/>
        </w:numPr>
      </w:pPr>
      <w:r>
        <w:t>金额始终显示币种，禁止不同币种直接相加。</w:t>
      </w:r>
    </w:p>
    <w:p>
      <w:pPr>
        <w:pStyle w:val="Heading2"/>
      </w:pPr>
      <w:r>
        <w:t>10.3 上线门槛</w:t>
      </w:r>
    </w:p>
    <w:p>
      <w:pPr>
        <w:numPr>
          <w:ilvl w:val="0"/>
          <w:numId w:val="10"/>
        </w:numPr>
      </w:pPr>
      <w:r>
        <w:t>连续 7 天影子运行，对账结果稳定；</w:t>
      </w:r>
    </w:p>
    <w:p>
      <w:pPr>
        <w:numPr>
          <w:ilvl w:val="0"/>
          <w:numId w:val="10"/>
        </w:numPr>
      </w:pPr>
      <w:r>
        <w:t>压测确认 FinOps 后台任务不会明显影响 ApiStation；</w:t>
      </w:r>
    </w:p>
    <w:p>
      <w:pPr>
        <w:numPr>
          <w:ilvl w:val="0"/>
          <w:numId w:val="10"/>
        </w:numPr>
      </w:pPr>
      <w:r>
        <w:t>数据库备份和恢复演练通过；</w:t>
      </w:r>
    </w:p>
    <w:p>
      <w:pPr>
        <w:numPr>
          <w:ilvl w:val="0"/>
          <w:numId w:val="10"/>
        </w:numPr>
      </w:pPr>
      <w:r>
        <w:t>只读源账号权限检查通过；</w:t>
      </w:r>
    </w:p>
    <w:p>
      <w:pPr>
        <w:numPr>
          <w:ilvl w:val="0"/>
          <w:numId w:val="10"/>
        </w:numPr>
      </w:pPr>
      <w:r>
        <w:t>管理操作、导出和重算审计完整；</w:t>
      </w:r>
    </w:p>
    <w:p>
      <w:pPr>
        <w:numPr>
          <w:ilvl w:val="0"/>
          <w:numId w:val="10"/>
        </w:numPr>
      </w:pPr>
      <w:r>
        <w:t>成本规则、汇率和固定成本分摊口径由站长确认。</w:t>
      </w:r>
    </w:p>
    <w:p>
      <w:pPr>
        <w:pStyle w:val="Heading1"/>
      </w:pPr>
      <w:r>
        <w:t>11. 实施状态与工作计划</w:t>
      </w:r>
    </w:p>
    <w:p>
      <w:pPr>
        <w:pStyle w:val="Heading2"/>
      </w:pPr>
      <w:r>
        <w:t>11.1 当前实施状态（截至 2026-07-26）</w:t>
      </w:r>
    </w:p>
    <w:p>
      <w:pPr/>
      <w:r>
        <w:t>当前已从方案评审进入 MVP 原型开发，技术路线已冻结为 Node.js 单服务。代码基线已具备：</w:t>
      </w:r>
    </w:p>
    <w:p>
      <w:pPr>
        <w:numPr>
          <w:ilvl w:val="0"/>
          <w:numId w:val="10"/>
        </w:numPr>
      </w:pPr>
      <w:r>
        <w:t>Node.js 22 ESM 单进程同时承载 HTTP API、周期同步器和静态管理前端；未配置 DATABASE_URL 时自动进入演示模式；</w:t>
      </w:r>
    </w:p>
    <w:p>
      <w:pPr>
        <w:numPr>
          <w:ilvl w:val="0"/>
          <w:numId w:val="10"/>
        </w:numPr>
      </w:pPr>
      <w:r>
        <w:t>PostgreSQL finops Schema 初始迁移，覆盖同步游标、用户/账号维度、请求事实、日聚合、成本档案、采购期间、现金流水、对账和审计；</w:t>
      </w:r>
    </w:p>
    <w:p>
      <w:pPr>
        <w:numPr>
          <w:ilvl w:val="0"/>
          <w:numId w:val="10"/>
        </w:numPr>
      </w:pPr>
      <w:r>
        <w:t>用户、账号、usage_logs 和支付订单增量同步，包含事务、游标、幂等写入、日聚合和近期用量核对；</w:t>
      </w:r>
    </w:p>
    <w:p>
      <w:pPr>
        <w:numPr>
          <w:ilvl w:val="0"/>
          <w:numId w:val="10"/>
        </w:numPr>
      </w:pPr>
      <w:r>
        <w:t>经营总览、用户账务与利润、用量与扣费、账号台账与成本、供应商与采购、成本核算、充值与资金、对账中心、数据同步、告警中心 10 个页面；</w:t>
      </w:r>
    </w:p>
    <w:p>
      <w:pPr>
        <w:numPr>
          <w:ilvl w:val="0"/>
          <w:numId w:val="10"/>
        </w:numPr>
      </w:pPr>
      <w:r>
        <w:t>四组固定左侧菜单、右侧数据工作区、时间范围、搜索、CSV 导出、演示/数据库状态，以及成本模板、账号采购成本、供应商聚合、手工支出和来源级同步状态；</w:t>
      </w:r>
    </w:p>
    <w:p>
      <w:pPr>
        <w:numPr>
          <w:ilvl w:val="0"/>
          <w:numId w:val="10"/>
        </w:numPr>
      </w:pPr>
      <w:r>
        <w:t>金额换算与固定成本分摊基础函数单元测试。</w:t>
      </w:r>
    </w:p>
    <w:p>
      <w:pPr>
        <w:numPr>
          <w:ilvl w:val="0"/>
          <w:numId w:val="10"/>
        </w:numPr>
      </w:pPr>
      <w:r>
        <w:t>Dockerfile、Compose 示例、最小数据库权限脚本、资源限制和部署说明。</w:t>
      </w:r>
    </w:p>
    <w:p>
      <w:pPr/>
      <w:r>
        <w:t>当前尚未达到生产上线标准，剩余重点包括：</w:t>
      </w:r>
    </w:p>
    <w:p>
      <w:pPr>
        <w:numPr>
          <w:ilvl w:val="0"/>
          <w:numId w:val="10"/>
        </w:numPr>
      </w:pPr>
      <w:r>
        <w:t>使用真实 ApiStation PostgreSQL 完成 Schema 兼容、同步、回填、金额与 Token 对账；</w:t>
      </w:r>
    </w:p>
    <w:p>
      <w:pPr>
        <w:numPr>
          <w:ilvl w:val="0"/>
          <w:numId w:val="10"/>
        </w:numPr>
      </w:pPr>
      <w:r>
        <w:t>补齐退款、赠送、返利、余额流水、固定成本分摊结果和冲正台账等完整闭环；</w:t>
      </w:r>
    </w:p>
    <w:p>
      <w:pPr>
        <w:numPr>
          <w:ilvl w:val="0"/>
          <w:numId w:val="10"/>
        </w:numPr>
      </w:pPr>
      <w:r>
        <w:t>完成真实环境鉴权联调、告警、/ready、备份恢复、压测和连续 7 天影子运行。</w:t>
      </w:r>
    </w:p>
    <w:p>
      <w:pPr>
        <w:pStyle w:val="Heading2"/>
      </w:pPr>
      <w:r>
        <w:t>11.2 剩余实施计划</w:t>
      </w:r>
    </w:p>
    <w:p>
      <w:r>
        <w:t>原始 MVP 参考工作量为 3-5 周。当前已完成口径冻结、数据底座和核心页面的第一版代码，后续时间主要取决于真实数据兼容、历史账务完整性和上游账单格式。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当前状态与剩余交付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参考时间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0. 口径冻结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已完成：本位币、余额单位、分摊、保留期和访问范围按默认值冻结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已完成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1. 数据底座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已有 Schema、游标同步、幂等和日聚合；待真实库验证、回填与同步监控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3-5 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2. 核心产品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已有 10 个管理页面、演示/数据库模式和 CSV；待请求明细下钻、充值页签、完整台账与高级筛选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5-8 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3. 对账上线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待完成生产级对账、告警、权限、审计、压测、部署与备份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5-8 天</w:t>
            </w:r>
          </w:p>
        </w:tc>
      </w:tr>
    </w:tbl>
    <w:p>
      <w:pPr>
        <w:spacing w:after="40" w:before="0"/>
      </w:pPr>
    </w:p>
    <w:p>
      <w:r>
        <w:t>进入真实数据库联调后，优先跑通 5 个校验样本：一个在线充值用户、一个兑换码用户、一个有返利用户、一个固定订阅账号、一个按量账号。</w:t>
      </w:r>
    </w:p>
    <w:p>
      <w:pPr>
        <w:pStyle w:val="Heading1"/>
      </w:pPr>
      <w:r>
        <w:t>12. 已冻结默认值与后续可配置项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4800"/>
        <w:gridCol w:w="2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默认项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当前取值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影响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报表本位币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CNY，可切换 USD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所有现金和利润报表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用户余额单位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USD_CREDIT</w:t>
            </w:r>
            <w:r>
              <w:rPr>
                <w:color w:val="344054"/>
                <w:sz w:val="18"/>
              </w:rPr>
              <w:t>，不等同法定 USD 现金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充值与收入桥接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固定账号成本分摊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按天摊销，按标准目录价权重分配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用户/模型完全毛利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无请求日成本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计入闲置成本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避免虚高利润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请求明细保留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180 天；日聚合长期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磁盘与历史下钻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同步频率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60 秒，最近 10 分钟回看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实时性与数据库压力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历史回填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请求 90 天，资金记录尽可能全量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首版上线速度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返利口径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单列获客/销售费用，同时计算返利后毛利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用户真实贡献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赠送额度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不算现金收入；消费时按管理口径单列赠送消耗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收入与营销成本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上游真实账单缺失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显示“估算成本”，禁止标成真实成本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报表可信度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管理端访问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v1 仅内部管理员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color w:val="344054"/>
                <w:sz w:val="18"/>
              </w:rPr>
              <w:t>权限与开发范围</w:t>
            </w:r>
          </w:p>
        </w:tc>
      </w:tr>
    </w:tbl>
    <w:p>
      <w:pPr>
        <w:spacing w:after="40" w:before="0"/>
      </w:pPr>
    </w:p>
    <w:p>
      <w:r>
        <w:t>首版开发已按上表默认值执行，不再作为开发阻塞项。后续接入上游真实账单、自动汇率源或开放更多角色时，再通过版本化配置调整，不回写污染历史结果。</w:t>
      </w:r>
    </w:p>
    <w:p>
      <w:pPr>
        <w:pStyle w:val="Heading1"/>
      </w:pPr>
      <w:r>
        <w:t>13. 代码依据与假设</w:t>
      </w:r>
    </w:p>
    <w:p>
      <w:r>
        <w:t>本方案基于当前工作区源码、首轮 7 张功能截图和追加 3 张管理端布局参考，关键依据包括：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backend/ent/schema/usage_log.go</w:t>
      </w:r>
      <w:r>
        <w:t>：用量日志的用户、API Key、账号、模型、Token、费用与时间字段；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backend/migrations/101_add_account_stats_pricing.sql</w:t>
      </w:r>
      <w:r>
        <w:t xml:space="preserve">：账号成本自定义定价和 </w:t>
      </w:r>
      <w:r>
        <w:rPr>
          <w:rFonts w:ascii="Consolas" w:hAnsi="Consolas" w:eastAsia="Microsoft YaHei"/>
          <w:color w:val="1F4D78"/>
          <w:sz w:val="19"/>
        </w:rPr>
        <w:t>account_stats_cost</w:t>
      </w:r>
      <w:r>
        <w:t>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backend/migrations/107_add_account_cost_to_dashboard_tables.sql</w:t>
      </w:r>
      <w:r>
        <w:t>：账号成本聚合公式；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backend/ent/schema/payment_order.go</w:t>
      </w:r>
      <w:r>
        <w:t>：充值面额、实付、费率、订单状态和退款；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backend/ent/schema/user.go</w:t>
      </w:r>
      <w:r>
        <w:t>：余额、冻结余额和累计充值；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backend/ent/schema/account.go</w:t>
      </w:r>
      <w:r>
        <w:t>：账号倍率、平台、状态和有效期；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backend/internal/repository/usage_log_repo_stats.go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</w:rPr>
        <w:t>usage_log_repo_trend.go</w:t>
      </w:r>
      <w:r>
        <w:t>：当前统计口径及大表扫描风险；</w:t>
      </w:r>
    </w:p>
    <w:p>
      <w:pPr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deploy/docker-compose.yml</w:t>
      </w:r>
      <w:r>
        <w:t>：现有单应用、PostgreSQL、Redis 和 Docker 网络部署方式。</w:t>
      </w:r>
    </w:p>
    <w:p>
      <w:pPr>
        <w:numPr>
          <w:ilvl w:val="0"/>
          <w:numId w:val="10"/>
        </w:numPr>
      </w:pPr>
      <w:r>
        <w:t>apistation-finops/src/server.mjs 与 src/services/sync-service.mjs：Node.js 单服务、API、静态前端托管和增量同步实现；</w:t>
      </w:r>
    </w:p>
    <w:p>
      <w:pPr>
        <w:numPr>
          <w:ilvl w:val="0"/>
          <w:numId w:val="10"/>
        </w:numPr>
      </w:pPr>
      <w:r>
        <w:t>apistation-finops/migrations/001_init.sql：当前 finops Schema 初始表结构；</w:t>
      </w:r>
    </w:p>
    <w:p>
      <w:pPr>
        <w:numPr>
          <w:ilvl w:val="0"/>
          <w:numId w:val="10"/>
        </w:numPr>
      </w:pPr>
      <w:r>
        <w:t>apistation-finops/web/：经营、用户、用量、账号、供应商采购、成本核算、资金、对账、同步和告警页面实现。</w:t>
      </w:r>
    </w:p>
    <w:p>
      <w:r>
        <w:t>当前未获得服务器磁盘、实际内存峰值、PostgreSQL 表行数、支付渠道手续费结算规则和上游账单样例，因此资源预算与自动对账范围仍需在实施前用真实环境数据校准。</w:t>
      </w:r>
    </w:p>
    <w:p>
      <w:pPr>
        <w:pStyle w:val="Heading1"/>
      </w:pPr>
      <w:r>
        <w:t>14. 开发期下一次评审议程</w:t>
      </w:r>
    </w:p>
    <w:p>
      <w:pPr>
        <w:numPr>
          <w:ilvl w:val="0"/>
          <w:numId w:val="11"/>
        </w:numPr>
      </w:pPr>
      <w:r>
        <w:t>按追加截图复核左侧菜单、右侧数据工作区、筛选条、汇总卡和明细表的桌面/移动端一致性；</w:t>
      </w:r>
    </w:p>
    <w:p>
      <w:pPr>
        <w:numPr>
          <w:ilvl w:val="0"/>
          <w:numId w:val="11"/>
        </w:numPr>
      </w:pPr>
      <w:r>
        <w:t>使用真实 ApiStation Schema 跑通用户、账号、usage_logs 和支付订单的只读增量同步；</w:t>
      </w:r>
    </w:p>
    <w:p>
      <w:pPr>
        <w:numPr>
          <w:ilvl w:val="0"/>
          <w:numId w:val="11"/>
        </w:numPr>
      </w:pPr>
      <w:r>
        <w:t>用 3 笔真实充值、5 条真实请求、2 个固定订阅账号和 1 个按量账号完成金额守恒与成本分摊校验；</w:t>
      </w:r>
    </w:p>
    <w:p>
      <w:pPr>
        <w:numPr>
          <w:ilvl w:val="0"/>
          <w:numId w:val="11"/>
        </w:numPr>
      </w:pPr>
      <w:r>
        <w:t>检查服务器磁盘、容器内存峰值、usage_logs 行数与日增量，并完成资源限额压测；</w:t>
      </w:r>
    </w:p>
    <w:p>
      <w:pPr>
        <w:numPr>
          <w:ilvl w:val="0"/>
          <w:numId w:val="11"/>
        </w:numPr>
      </w:pPr>
      <w:r>
        <w:t>完成 Docker 部署、数据库最小权限、备份恢复后，进入连续 7 天影子运行。</w:t>
      </w:r>
      <w:r>
        <w:rPr>
          <w:rFonts w:ascii="Consolas" w:hAnsi="Consolas" w:eastAsia="Microsoft YaHei"/>
          <w:color w:val="1F4D78"/>
          <w:sz w:val="19"/>
        </w:rPr>
      </w:r>
      <w:r/>
    </w:p>
    <w:p>
      <w:r>
        <w:rPr>
          <w:b/>
        </w:rPr>
        <w:t>产品建议：</w:t>
      </w:r>
      <w:r>
        <w:t xml:space="preserve"> 首版成功标准不是“统计维度足够多”，而是任意一个总额都能解释、能下钻、能对账。只有在口径稳定后，更多维度和预测功能才会产生可靠价值。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b/>
        <w:color w:val="667085"/>
        <w:sz w:val="17"/>
      </w:rPr>
      <w:t>APISTATION FINOPS</w:t>
    </w:r>
    <w:r>
      <w:rPr>
        <w:color w:val="667085"/>
        <w:sz w:val="17"/>
      </w:rPr>
      <w:t xml:space="preserve">   产品与技术设计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6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ApiStation FinOps 产品与技术设计</dc:title>
  <dc:subject>成本、用量、充值、账号采购与利润核算系统</dc:subject>
  <dc:creator>ApiStation FinOps 项目组</dc:creator>
  <cp:keywords>ApiStation, FinOps, 成本核算, Token, 用量, 充值, 毛利</cp:keywords>
  <dc:description>generated by python-docx</dc:description>
  <cp:lastModifiedBy/>
  <cp:revision>1</cp:revision>
  <dcterms:created xsi:type="dcterms:W3CDTF">2013-12-23T23:15:00Z</dcterms:created>
  <dcterms:modified xsi:type="dcterms:W3CDTF">2026-07-26T00:00:00Z</dcterms:modified>
  <cp:category/>
</cp:coreProperties>
</file>