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0"/>
          <w:szCs w:val="30"/>
        </w:rPr>
        <w:t xml:space="preserve">REPORT 3: CORE FEATURE DEVELOPMENT REPORT</w:t>
      </w:r>
    </w:p>
    <w:p>
      <w:pPr>
        <w:spacing w:after="80"/>
      </w:pPr>
      <w:r>
        <w:rPr>
          <w:rFonts w:ascii="Calibri" w:cs="Calibri" w:eastAsia="Calibri" w:hAnsi="Calibri"/>
          <w:i/>
          <w:iCs/>
          <w:sz w:val="24"/>
          <w:szCs w:val="24"/>
        </w:rPr>
        <w:t xml:space="preserve">Development Phase</w:t>
      </w:r>
    </w:p>
    <w:p>
      <w:pPr>
        <w:spacing w:after="300"/>
      </w:pPr>
      <w:r>
        <w:rPr>
          <w:rFonts w:ascii="Calibri" w:cs="Calibri" w:eastAsia="Calibri" w:hAnsi="Calibri"/>
          <w:sz w:val="22"/>
          <w:szCs w:val="22"/>
        </w:rPr>
        <w:t xml:space="preserve">Restaurant &amp; Table Management System (POS) | Software Engineering 2024–2025</w:t>
      </w:r>
    </w:p>
    <w:p>
      <w:pPr>
        <w:spacing w:after="200"/>
      </w:pPr>
      <w:r>
        <w:rPr>
          <w:rFonts w:ascii="Calibri" w:cs="Calibri" w:eastAsia="Calibri" w:hAnsi="Calibri"/>
          <w:i/>
          <w:iCs/>
          <w:color w:val="808080"/>
          <w:sz w:val="20"/>
          <w:szCs w:val="20"/>
        </w:rPr>
        <w:t xml:space="preserve">Các đoạn in nghiêng màu đỏ là chỗ CẦN NHÓM ĐIỀN SỐ LIỆU THỰC TẾ (ngày tháng, link GitHub, ảnh chụp màn hình, số liệu kiểm thử...). Phần còn lại được soạn dựa trên các quyết định thiết kế đã chốt ở Report 2.</w:t>
      </w:r>
    </w:p>
    <w:p>
      <w:pPr>
        <w:pStyle w:val="Heading1"/>
        <w:spacing w:after="200" w:before="360"/>
      </w:pPr>
      <w:r>
        <w:t xml:space="preserve">1. Development Progress Overview</w:t>
      </w:r>
    </w:p>
    <w:p>
      <w:pPr>
        <w:spacing w:after="160"/>
      </w:pPr>
      <w:r>
        <w:rPr>
          <w:rFonts w:ascii="Calibri" w:cs="Calibri" w:eastAsia="Calibri" w:hAnsi="Calibri"/>
          <w:sz w:val="22"/>
          <w:szCs w:val="22"/>
        </w:rPr>
        <w:t xml:space="preserve">Following the architecture and design finalized in Report 2 (normalized 10-table database, layered class design, and the Cashier → Kitchen → Payment sequence flow), the development phase focused on implementing the core modules required for a functioning end-to-end order cycle: authentication, table map, order entry, kitchen display, payment/checkout, and inventory deduction.</w:t>
      </w:r>
    </w:p>
    <w:p>
      <w:pPr>
        <w:spacing w:after="160"/>
      </w:pPr>
      <w:r>
        <w:rPr>
          <w:rFonts w:ascii="Calibri" w:cs="Calibri" w:eastAsia="Calibri" w:hAnsi="Calibri"/>
          <w:sz w:val="22"/>
          <w:szCs w:val="22"/>
        </w:rPr>
        <w:t xml:space="preserve">Development was organized around the same five module boundaries used in Report 2's team assignment, allowing each member to implement the module they had already designed.</w:t>
      </w:r>
    </w:p>
    <w:p>
      <w:pPr>
        <w:pStyle w:val="ListParagraph"/>
        <w:numPr>
          <w:ilvl w:val="0"/>
          <w:numId w:val="2"/>
        </w:numPr>
        <w:spacing w:after="100"/>
      </w:pPr>
      <w:r>
        <w:rPr>
          <w:rFonts w:ascii="Calibri" w:cs="Calibri" w:eastAsia="Calibri" w:hAnsi="Calibri"/>
          <w:i/>
          <w:iCs/>
          <w:color w:val="C00000"/>
          <w:sz w:val="22"/>
          <w:szCs w:val="22"/>
        </w:rPr>
        <w:t xml:space="preserve">Ghi rõ: tỷ lệ hoàn thành so với kế hoạch Report 1 (ví dụ: 8/10 tính năng cốt lõi hoàn thành, 2 tính năng dời sang phase tích hợp).</w:t>
      </w:r>
    </w:p>
    <w:p>
      <w:pPr>
        <w:pStyle w:val="ListParagraph"/>
        <w:numPr>
          <w:ilvl w:val="0"/>
          <w:numId w:val="2"/>
        </w:numPr>
        <w:spacing w:after="100"/>
      </w:pPr>
      <w:r>
        <w:rPr>
          <w:rFonts w:ascii="Calibri" w:cs="Calibri" w:eastAsia="Calibri" w:hAnsi="Calibri"/>
          <w:i/>
          <w:iCs/>
          <w:color w:val="C00000"/>
          <w:sz w:val="22"/>
          <w:szCs w:val="22"/>
        </w:rPr>
        <w:t xml:space="preserve">Ghi rõ: mốc thời gian bắt đầu/kết thúc phase development (ví dụ: Sprint 1: dd/mm – dd/mm).</w:t>
      </w:r>
    </w:p>
    <w:p>
      <w:pPr>
        <w:pStyle w:val="Heading1"/>
        <w:spacing w:after="200" w:before="360"/>
      </w:pPr>
      <w:r>
        <w:t xml:space="preserve">2. Implemented Features</w:t>
      </w:r>
    </w:p>
    <w:p>
      <w:pPr>
        <w:pStyle w:val="Heading2"/>
        <w:spacing w:after="140" w:before="260"/>
      </w:pPr>
      <w:r>
        <w:t xml:space="preserve">2.1 Authentication &amp; Role-based Access</w:t>
      </w:r>
    </w:p>
    <w:p>
      <w:pPr>
        <w:pStyle w:val="ListParagraph"/>
        <w:numPr>
          <w:ilvl w:val="0"/>
          <w:numId w:val="2"/>
        </w:numPr>
        <w:spacing w:after="100"/>
      </w:pPr>
      <w:r>
        <w:rPr>
          <w:rFonts w:ascii="Calibri" w:cs="Calibri" w:eastAsia="Calibri" w:hAnsi="Calibri"/>
          <w:sz w:val="22"/>
          <w:szCs w:val="22"/>
        </w:rPr>
        <w:t xml:space="preserve">Login screen validating credentials against the Users table; session restricts visible menus/screens by role (Admin, Cashier, Kitchen Staff), consistent with the actor scoping defined in the Use Case Diagram (Report 2, §2.1).</w:t>
      </w:r>
    </w:p>
    <w:p>
      <w:pPr>
        <w:pStyle w:val="Heading2"/>
        <w:spacing w:after="140" w:before="260"/>
      </w:pPr>
      <w:r>
        <w:t xml:space="preserve">2.2 Table Floor Map</w:t>
      </w:r>
    </w:p>
    <w:p>
      <w:pPr>
        <w:pStyle w:val="ListParagraph"/>
        <w:numPr>
          <w:ilvl w:val="0"/>
          <w:numId w:val="2"/>
        </w:numPr>
        <w:spacing w:after="100"/>
      </w:pPr>
      <w:r>
        <w:rPr>
          <w:rFonts w:ascii="Calibri" w:cs="Calibri" w:eastAsia="Calibri" w:hAnsi="Calibri"/>
          <w:sz w:val="22"/>
          <w:szCs w:val="22"/>
        </w:rPr>
        <w:t xml:space="preserve">Interactive grid of RestaurantTables rendered as color-coded tiles (green = free, red = occupied, amber = reserved/pending) per the TableStatus enum from the Class Diagram (Report 2, §2.2).</w:t>
      </w:r>
    </w:p>
    <w:p>
      <w:pPr>
        <w:pStyle w:val="ListParagraph"/>
        <w:numPr>
          <w:ilvl w:val="0"/>
          <w:numId w:val="2"/>
        </w:numPr>
        <w:spacing w:after="100"/>
      </w:pPr>
      <w:r>
        <w:rPr>
          <w:rFonts w:ascii="Calibri" w:cs="Calibri" w:eastAsia="Calibri" w:hAnsi="Calibri"/>
          <w:sz w:val="22"/>
          <w:szCs w:val="22"/>
        </w:rPr>
        <w:t xml:space="preserve">Double-click on an occupied/free tile opens the Order Screen, matching the user flow documented in Report 2 §4.1.</w:t>
      </w:r>
    </w:p>
    <w:p>
      <w:pPr>
        <w:pStyle w:val="Heading2"/>
        <w:spacing w:after="140" w:before="260"/>
      </w:pPr>
      <w:r>
        <w:t xml:space="preserve">2.3 Order Entry</w:t>
      </w:r>
    </w:p>
    <w:p>
      <w:pPr>
        <w:pStyle w:val="ListParagraph"/>
        <w:numPr>
          <w:ilvl w:val="0"/>
          <w:numId w:val="2"/>
        </w:numPr>
        <w:spacing w:after="100"/>
      </w:pPr>
      <w:r>
        <w:rPr>
          <w:rFonts w:ascii="Calibri" w:cs="Calibri" w:eastAsia="Calibri" w:hAnsi="Calibri"/>
          <w:sz w:val="22"/>
          <w:szCs w:val="22"/>
        </w:rPr>
        <w:t xml:space="preserve">Two-column Order Screen (menu 60% / running cart 40%) implemented per the UI mockup in Report 2, §4. Items already sent to the kitchen are rendered in a muted style to block accidental re-submission.</w:t>
      </w:r>
    </w:p>
    <w:p>
      <w:pPr>
        <w:pStyle w:val="ListParagraph"/>
        <w:numPr>
          <w:ilvl w:val="0"/>
          <w:numId w:val="2"/>
        </w:numPr>
        <w:spacing w:after="100"/>
      </w:pPr>
      <w:r>
        <w:rPr>
          <w:rFonts w:ascii="Calibri" w:cs="Calibri" w:eastAsia="Calibri" w:hAnsi="Calibri"/>
          <w:sz w:val="22"/>
          <w:szCs w:val="22"/>
        </w:rPr>
        <w:t xml:space="preserve">Order and OrderItem persisted following the composition relationship modeled in the Class Diagram — an OrderItem cannot be created independently of its parent Order.</w:t>
      </w:r>
    </w:p>
    <w:p>
      <w:pPr>
        <w:pStyle w:val="Heading2"/>
        <w:spacing w:after="140" w:before="260"/>
      </w:pPr>
      <w:r>
        <w:t xml:space="preserve">2.4 Kitchen Display</w:t>
      </w:r>
    </w:p>
    <w:p>
      <w:pPr>
        <w:pStyle w:val="ListParagraph"/>
        <w:numPr>
          <w:ilvl w:val="0"/>
          <w:numId w:val="2"/>
        </w:numPr>
        <w:spacing w:after="100"/>
      </w:pPr>
      <w:r>
        <w:rPr>
          <w:rFonts w:ascii="Calibri" w:cs="Calibri" w:eastAsia="Calibri" w:hAnsi="Calibri"/>
          <w:sz w:val="22"/>
          <w:szCs w:val="22"/>
        </w:rPr>
        <w:t xml:space="preserve">Kitchen screen polls pending OrderItems on a fixed interval (10 seconds), matching the flow traced in the Sequence Diagram (Report 2, §2.3). Kitchen staff mark items as in-progress/done, updating OrderStatus.</w:t>
      </w:r>
    </w:p>
    <w:p>
      <w:pPr>
        <w:pStyle w:val="Heading2"/>
        <w:spacing w:after="140" w:before="260"/>
      </w:pPr>
      <w:r>
        <w:t xml:space="preserve">2.5 Payment &amp; Checkout</w:t>
      </w:r>
    </w:p>
    <w:p>
      <w:pPr>
        <w:pStyle w:val="ListParagraph"/>
        <w:numPr>
          <w:ilvl w:val="0"/>
          <w:numId w:val="2"/>
        </w:numPr>
        <w:spacing w:after="100"/>
      </w:pPr>
      <w:r>
        <w:rPr>
          <w:rFonts w:ascii="Calibri" w:cs="Calibri" w:eastAsia="Calibri" w:hAnsi="Calibri"/>
          <w:sz w:val="22"/>
          <w:szCs w:val="22"/>
        </w:rPr>
        <w:t xml:space="preserve">Checkout screen closes an Order by creating its single Payment record (enforcing the 1-to-0..1 Order–Payment relationship from Report 2, §2.2) and reverts the table's status to free.</w:t>
      </w:r>
    </w:p>
    <w:p>
      <w:pPr>
        <w:pStyle w:val="Heading2"/>
        <w:spacing w:after="140" w:before="260"/>
      </w:pPr>
      <w:r>
        <w:t xml:space="preserve">2.6 Inventory Auto-deduction</w:t>
      </w:r>
    </w:p>
    <w:p>
      <w:pPr>
        <w:pStyle w:val="ListParagraph"/>
        <w:numPr>
          <w:ilvl w:val="0"/>
          <w:numId w:val="2"/>
        </w:numPr>
        <w:spacing w:after="100"/>
      </w:pPr>
      <w:r>
        <w:rPr>
          <w:rFonts w:ascii="Calibri" w:cs="Calibri" w:eastAsia="Calibri" w:hAnsi="Calibri"/>
          <w:sz w:val="22"/>
          <w:szCs w:val="22"/>
        </w:rPr>
        <w:t xml:space="preserve">On successful payment, stock quantities in Ingredients are decremented according to each MenuItem's recipe in MenuItemIngredients, implementing the automatic deduction described in Report 2, §3.1/§3.2.</w:t>
      </w:r>
    </w:p>
    <w:p>
      <w:pPr>
        <w:pStyle w:val="ListParagraph"/>
        <w:numPr>
          <w:ilvl w:val="0"/>
          <w:numId w:val="2"/>
        </w:numPr>
        <w:spacing w:after="100"/>
      </w:pPr>
      <w:r>
        <w:rPr>
          <w:rFonts w:ascii="Calibri" w:cs="Calibri" w:eastAsia="Calibri" w:hAnsi="Calibri"/>
          <w:i/>
          <w:iCs/>
          <w:color w:val="C00000"/>
          <w:sz w:val="22"/>
          <w:szCs w:val="22"/>
        </w:rPr>
        <w:t xml:space="preserve">Chèn ảnh chụp màn hình thực tế cho từng tính năng (Table Map, Order Screen, Kitchen Display, Checkout) thay cho mô tả.</w:t>
      </w:r>
    </w:p>
    <w:p>
      <w:pPr>
        <w:pStyle w:val="ListParagraph"/>
        <w:numPr>
          <w:ilvl w:val="0"/>
          <w:numId w:val="2"/>
        </w:numPr>
        <w:spacing w:after="100"/>
      </w:pPr>
      <w:r>
        <w:rPr>
          <w:rFonts w:ascii="Calibri" w:cs="Calibri" w:eastAsia="Calibri" w:hAnsi="Calibri"/>
          <w:i/>
          <w:iCs/>
          <w:color w:val="C00000"/>
          <w:sz w:val="22"/>
          <w:szCs w:val="22"/>
        </w:rPr>
        <w:t xml:space="preserve">Ghi rõ tính năng nào CHƯA hoàn thành / bị lùi tiến độ (ví dụ: Dashboard export báo cáo).</w:t>
      </w:r>
    </w:p>
    <w:p>
      <w:pPr>
        <w:pStyle w:val="Heading1"/>
        <w:spacing w:after="200" w:before="360"/>
      </w:pPr>
      <w:r>
        <w:t xml:space="preserve">3. Technical Implementation</w:t>
      </w:r>
    </w:p>
    <w:p>
      <w:pPr>
        <w:pStyle w:val="Heading2"/>
        <w:spacing w:after="140" w:before="260"/>
      </w:pPr>
      <w:r>
        <w:t xml:space="preserve">3.1 OOP Principles</w:t>
      </w:r>
    </w:p>
    <w:p>
      <w:pPr>
        <w:spacing w:after="160"/>
      </w:pPr>
      <w:r>
        <w:rPr>
          <w:rFonts w:ascii="Calibri" w:cs="Calibri" w:eastAsia="Calibri" w:hAnsi="Calibri"/>
          <w:sz w:val="22"/>
          <w:szCs w:val="22"/>
        </w:rPr>
        <w:t xml:space="preserve">The five module groupings from the Class Diagram (Auth/User, Menu, Order, Payment/Shift, Inventory) map directly onto separate C# namespaces/projects, keeping each domain's responsibilities isolated. TableStatus and OrderStatus were implemented as C# enums rather than free-text strings, exactly as specified in the design, which removes an entire class of invalid-state bugs at compile time. Composition between Order and OrderItem is enforced in code by exposing OrderItems only through methods on Order (no public setter that allows an orphaned OrderItem).</w:t>
      </w:r>
    </w:p>
    <w:p>
      <w:pPr>
        <w:pStyle w:val="Heading2"/>
        <w:spacing w:after="140" w:before="260"/>
      </w:pPr>
      <w:r>
        <w:t xml:space="preserve">3.2 EF Core</w:t>
      </w:r>
    </w:p>
    <w:p>
      <w:pPr>
        <w:spacing w:after="160"/>
      </w:pPr>
      <w:r>
        <w:rPr>
          <w:rFonts w:ascii="Calibri" w:cs="Calibri" w:eastAsia="Calibri" w:hAnsi="Calibri"/>
          <w:sz w:val="22"/>
          <w:szCs w:val="22"/>
        </w:rPr>
        <w:t xml:space="preserve">The DbContext models the 10 tables from the ERD (Report 2, §3.1) using a Code-First approach with Fluent API configuration for the relationships that plain conventions cannot express correctly:</w:t>
      </w:r>
    </w:p>
    <w:p>
      <w:pPr>
        <w:pStyle w:val="ListParagraph"/>
        <w:numPr>
          <w:ilvl w:val="0"/>
          <w:numId w:val="2"/>
        </w:numPr>
        <w:spacing w:after="100"/>
      </w:pPr>
      <w:r>
        <w:rPr>
          <w:rFonts w:ascii="Calibri" w:cs="Calibri" w:eastAsia="Calibri" w:hAnsi="Calibri"/>
          <w:sz w:val="22"/>
          <w:szCs w:val="22"/>
        </w:rPr>
        <w:t xml:space="preserve">Order ↔ Payment configured as a required 1-to-0..1 relationship using a unique foreign key on Payments.OrderId.</w:t>
      </w:r>
    </w:p>
    <w:p>
      <w:pPr>
        <w:pStyle w:val="ListParagraph"/>
        <w:numPr>
          <w:ilvl w:val="0"/>
          <w:numId w:val="2"/>
        </w:numPr>
        <w:spacing w:after="100"/>
      </w:pPr>
      <w:r>
        <w:rPr>
          <w:rFonts w:ascii="Calibri" w:cs="Calibri" w:eastAsia="Calibri" w:hAnsi="Calibri"/>
          <w:sz w:val="22"/>
          <w:szCs w:val="22"/>
        </w:rPr>
        <w:t xml:space="preserve">MenuItemIngredients configured as an explicit join entity (not an implicit many-to-many) so that the recipe quantity/unit fields can be stored on the relationship itself.</w:t>
      </w:r>
    </w:p>
    <w:p>
      <w:pPr>
        <w:pStyle w:val="ListParagraph"/>
        <w:numPr>
          <w:ilvl w:val="0"/>
          <w:numId w:val="2"/>
        </w:numPr>
        <w:spacing w:after="100"/>
      </w:pPr>
      <w:r>
        <w:rPr>
          <w:rFonts w:ascii="Calibri" w:cs="Calibri" w:eastAsia="Calibri" w:hAnsi="Calibri"/>
          <w:sz w:val="22"/>
          <w:szCs w:val="22"/>
        </w:rPr>
        <w:t xml:space="preserve">Cascade delete restricted on RestaurantTables → Orders and Orders → OrderItems to avoid accidental bulk deletion during testing.</w:t>
      </w:r>
    </w:p>
    <w:p>
      <w:pPr>
        <w:pStyle w:val="ListParagraph"/>
        <w:numPr>
          <w:ilvl w:val="0"/>
          <w:numId w:val="2"/>
        </w:numPr>
        <w:spacing w:after="100"/>
      </w:pPr>
      <w:r>
        <w:rPr>
          <w:rFonts w:ascii="Calibri" w:cs="Calibri" w:eastAsia="Calibri" w:hAnsi="Calibri"/>
          <w:i/>
          <w:iCs/>
          <w:color w:val="C00000"/>
          <w:sz w:val="22"/>
          <w:szCs w:val="22"/>
        </w:rPr>
        <w:t xml:space="preserve">Ghi rõ: dùng Code-First hay Database-First thực tế; số lượng migration đã tạo; có vấn đề gì với migration không (ví dụ conflict khi 2 người cùng sửa model).</w:t>
      </w:r>
    </w:p>
    <w:p>
      <w:pPr>
        <w:pStyle w:val="Heading2"/>
        <w:spacing w:after="140" w:before="260"/>
      </w:pPr>
      <w:r>
        <w:t xml:space="preserve">3.3 WPF</w:t>
      </w:r>
    </w:p>
    <w:p>
      <w:pPr>
        <w:spacing w:after="160"/>
      </w:pPr>
      <w:r>
        <w:rPr>
          <w:rFonts w:ascii="Calibri" w:cs="Calibri" w:eastAsia="Calibri" w:hAnsi="Calibri"/>
          <w:sz w:val="22"/>
          <w:szCs w:val="22"/>
        </w:rPr>
        <w:t xml:space="preserve">Screens follow MVVM to keep the WPF views declarative and testable: ViewModels expose ObservableCollection&lt;T&gt; for the table grid and cart, with commands bound to buttons (Send to Kitchen, Checkout) rather than code-behind event handlers, so the business logic in the BLL layer can be unit-tested independently of the UI.</w:t>
      </w:r>
    </w:p>
    <w:p>
      <w:pPr>
        <w:pStyle w:val="Heading2"/>
        <w:spacing w:after="140" w:before="260"/>
      </w:pPr>
      <w:r>
        <w:t xml:space="preserve">3.4 Multithreading</w:t>
      </w:r>
    </w:p>
    <w:p>
      <w:pPr>
        <w:spacing w:after="160"/>
      </w:pPr>
      <w:r>
        <w:rPr>
          <w:rFonts w:ascii="Calibri" w:cs="Calibri" w:eastAsia="Calibri" w:hAnsi="Calibri"/>
          <w:sz w:val="22"/>
          <w:szCs w:val="22"/>
        </w:rPr>
        <w:t xml:space="preserve">The Kitchen Display's 10-second polling was implemented as a background loop using an async Task with Task.Delay, rather than a UI-thread DispatcherTimer, so that querying pending orders never blocks user interaction. Because WPF UI elements can only be updated from the UI thread, results are marshalled back via Dispatcher.Invoke (or the async/await context) before updating the bound ObservableCollection.</w:t>
      </w:r>
    </w:p>
    <w:p>
      <w:pPr>
        <w:pStyle w:val="ListParagraph"/>
        <w:numPr>
          <w:ilvl w:val="0"/>
          <w:numId w:val="2"/>
        </w:numPr>
        <w:spacing w:after="100"/>
      </w:pPr>
      <w:r>
        <w:rPr>
          <w:rFonts w:ascii="Calibri" w:cs="Calibri" w:eastAsia="Calibri" w:hAnsi="Calibri"/>
          <w:i/>
          <w:iCs/>
          <w:color w:val="C00000"/>
          <w:sz w:val="22"/>
          <w:szCs w:val="22"/>
        </w:rPr>
        <w:t xml:space="preserve">Xác nhận cách triển khai thực tế: DispatcherTimer hay Task nền? Nếu khác với mô tả trên, chỉnh lại cho khớp.</w:t>
      </w:r>
    </w:p>
    <w:p>
      <w:pPr>
        <w:pStyle w:val="Heading1"/>
        <w:spacing w:after="200" w:before="360"/>
      </w:pPr>
      <w:r>
        <w:t xml:space="preserve">4.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Challenge</w:t>
            </w:r>
          </w:p>
        </w:tc>
        <w:tc>
          <w:tcPr>
            <w:tcW w:type="dxa" w:w="308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Root Cause</w:t>
            </w:r>
          </w:p>
        </w:tc>
        <w:tc>
          <w:tcPr>
            <w:tcW w:type="dxa" w:w="308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Solution Applied</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Kitchen screen shows orders up to 10s late</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Polling model chosen in Report 2 instead of push-based updates (SignalR/WebSocket)</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Accepted as a deliberate trade-off given the LAN-only, single-restaurant scale; interval kept short enough (10s) not to affect kitchen workflow</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Concurrent edits to the same table/order by two cashiers</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Shared SQL Server instance, no built-in locking</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Added optimistic concurrency (rowversion / concurrency token) on Orders so a stale update is rejected rather than silently overwritten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Stock could be double-deducted if two payments for the same shared ingredient complete near-simultaneously</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Inventory deduction and payment insertion were not atomic</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Wrapped payment creation + stock deduction in a single database transaction (all-or-nothing commit)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EF Core migrations conflicting across 5 developers editing shared entities</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Everyone can modify DbContext/entity classes</w:t>
            </w:r>
          </w:p>
        </w:tc>
        <w:tc>
          <w:tcPr>
            <w:tcW w:type="dxa" w:w="3080"/>
            <w:tcMar>
              <w:top w:type="dxa" w:w="100"/>
              <w:left w:type="dxa" w:w="120"/>
              <w:bottom w:type="dxa" w:w="100"/>
              <w:right w:type="dxa" w:w="120"/>
            </w:tcMar>
          </w:tcPr>
          <w:p>
            <w:r>
              <w:rPr>
                <w:rFonts w:ascii="Calibri" w:cs="Calibri" w:eastAsia="Calibri" w:hAnsi="Calibri"/>
                <w:b w:val="false"/>
                <w:bCs w:val="false"/>
                <w:color w:val="000000"/>
                <w:sz w:val="20"/>
                <w:szCs w:val="20"/>
              </w:rPr>
              <w:t xml:space="preserve">Restricted schema changes to Member 1 (Team Lead) and Member 4 (Database Developer); others request schema changes via PR discussion before merging</w:t>
            </w:r>
          </w:p>
        </w:tc>
      </w:tr>
    </w:tbl>
    <w:p>
      <w:pPr>
        <w:spacing w:after="160"/>
      </w:pPr>
    </w:p>
    <w:p>
      <w:pPr>
        <w:pStyle w:val="ListParagraph"/>
        <w:numPr>
          <w:ilvl w:val="0"/>
          <w:numId w:val="2"/>
        </w:numPr>
        <w:spacing w:after="100"/>
      </w:pPr>
      <w:r>
        <w:rPr>
          <w:rFonts w:ascii="Calibri" w:cs="Calibri" w:eastAsia="Calibri" w:hAnsi="Calibri"/>
          <w:i/>
          <w:iCs/>
          <w:color w:val="C00000"/>
          <w:sz w:val="22"/>
          <w:szCs w:val="22"/>
        </w:rPr>
        <w:t xml:space="preserve">Thêm/thay bằng các challenge thực tế nhóm gặp phải nếu khác với bảng trên.</w:t>
      </w:r>
    </w:p>
    <w:p>
      <w:pPr>
        <w:pStyle w:val="Heading1"/>
        <w:spacing w:after="200" w:before="360"/>
      </w:pPr>
      <w:r>
        <w:t xml:space="preserve">5. Git Commit History</w:t>
      </w:r>
    </w:p>
    <w:p>
      <w:pPr>
        <w:spacing w:after="160"/>
      </w:pPr>
      <w:r>
        <w:rPr>
          <w:rFonts w:ascii="Calibri" w:cs="Calibri" w:eastAsia="Calibri" w:hAnsi="Calibri"/>
          <w:sz w:val="22"/>
          <w:szCs w:val="22"/>
        </w:rPr>
        <w:t xml:space="preserve">Following the CI/CD plan established in Report 2 (§5.1), all feature work was done on branches named feature/&lt;module-name&gt; and merged into main only after Member 1's review, with GitHub Actions (ci.yml) running dotnet build, dotnet test, and dotnet format --verify-no-changes on every Pull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Member</w:t>
            </w:r>
          </w:p>
        </w:tc>
        <w:tc>
          <w:tcPr>
            <w:tcW w:type="dxa" w:w="312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Branch(es)</w:t>
            </w:r>
          </w:p>
        </w:tc>
        <w:tc>
          <w:tcPr>
            <w:tcW w:type="dxa" w:w="312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Representative Commits (link)</w:t>
            </w:r>
          </w:p>
        </w:tc>
      </w:tr>
      <w:tr>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Member 1 — Team Leader</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feature/architecture, feature/ci-cd</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 GitHub commit/PR]</w:t>
            </w:r>
          </w:p>
        </w:tc>
      </w:tr>
      <w:tr>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Member 2 — UI/UX Developer</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feature/table-map, feature/order-screen</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 GitHub commit/PR]</w:t>
            </w:r>
          </w:p>
        </w:tc>
      </w:tr>
      <w:tr>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Member 3 — Backend Developer</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feature/order-kitchen-payment</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 GitHub commit/PR]</w:t>
            </w:r>
          </w:p>
        </w:tc>
      </w:tr>
      <w:tr>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Member 4 — Database &amp; Dashboard</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feature/db-schema, feature/reports</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 GitHub commit/PR]</w:t>
            </w:r>
          </w:p>
        </w:tc>
      </w:tr>
      <w:tr>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Member 5 — QA &amp; Feature</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feature/inventory, feature/tests</w:t>
            </w:r>
          </w:p>
        </w:tc>
        <w:tc>
          <w:tcPr>
            <w:tcW w:type="dxa" w:w="3120"/>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 GitHub commit/PR]</w:t>
            </w:r>
          </w:p>
        </w:tc>
      </w:tr>
    </w:tbl>
    <w:p>
      <w:pPr>
        <w:spacing w:after="160"/>
      </w:pPr>
    </w:p>
    <w:p>
      <w:pPr>
        <w:pStyle w:val="ListParagraph"/>
        <w:numPr>
          <w:ilvl w:val="0"/>
          <w:numId w:val="2"/>
        </w:numPr>
        <w:spacing w:after="100"/>
      </w:pPr>
      <w:r>
        <w:rPr>
          <w:rFonts w:ascii="Calibri" w:cs="Calibri" w:eastAsia="Calibri" w:hAnsi="Calibri"/>
          <w:i/>
          <w:iCs/>
          <w:color w:val="C00000"/>
          <w:sz w:val="22"/>
          <w:szCs w:val="22"/>
        </w:rPr>
        <w:t xml:space="preserve">Thay các [link GitHub commit/PR] bằng link thật tới repo của nhóm.</w:t>
      </w:r>
    </w:p>
    <w:p>
      <w:pPr>
        <w:pStyle w:val="Heading1"/>
        <w:spacing w:after="200" w:before="360"/>
      </w:pPr>
      <w:r>
        <w:t xml:space="preserve">6. Code Quality and Documentation</w:t>
      </w:r>
    </w:p>
    <w:p>
      <w:pPr>
        <w:pStyle w:val="ListParagraph"/>
        <w:numPr>
          <w:ilvl w:val="0"/>
          <w:numId w:val="2"/>
        </w:numPr>
        <w:spacing w:after="100"/>
      </w:pPr>
      <w:r>
        <w:rPr>
          <w:rFonts w:ascii="Calibri" w:cs="Calibri" w:eastAsia="Calibri" w:hAnsi="Calibri"/>
          <w:sz w:val="22"/>
          <w:szCs w:val="22"/>
        </w:rPr>
        <w:t xml:space="preserve">Consistent formatting enforced automatically via dotnet format --verify-no-changes in CI (per Report 2, §5.1), so style differences across 5 contributors fail the build rather than requiring manual review.</w:t>
      </w:r>
    </w:p>
    <w:p>
      <w:pPr>
        <w:pStyle w:val="ListParagraph"/>
        <w:numPr>
          <w:ilvl w:val="0"/>
          <w:numId w:val="2"/>
        </w:numPr>
        <w:spacing w:after="100"/>
      </w:pPr>
      <w:r>
        <w:rPr>
          <w:rFonts w:ascii="Calibri" w:cs="Calibri" w:eastAsia="Calibri" w:hAnsi="Calibri"/>
          <w:sz w:val="22"/>
          <w:szCs w:val="22"/>
        </w:rPr>
        <w:t xml:space="preserve">Naming conventions follow the module grouping from the Class Diagram: PascalCase for classes/entities matching ERD table names (e.g., MenuItemIngredient), suffixes such as *Service for BLL classes and *ViewModel for WPF ViewModels.</w:t>
      </w:r>
    </w:p>
    <w:p>
      <w:pPr>
        <w:pStyle w:val="ListParagraph"/>
        <w:numPr>
          <w:ilvl w:val="0"/>
          <w:numId w:val="2"/>
        </w:numPr>
        <w:spacing w:after="100"/>
      </w:pPr>
      <w:r>
        <w:rPr>
          <w:rFonts w:ascii="Calibri" w:cs="Calibri" w:eastAsia="Calibri" w:hAnsi="Calibri"/>
          <w:sz w:val="22"/>
          <w:szCs w:val="22"/>
        </w:rPr>
        <w:t xml:space="preserve">XML doc comments (///) added to public methods in the BLL layer (order total calculation, inventory deduction logic) to support IntelliSense and future onboarding.</w:t>
      </w:r>
    </w:p>
    <w:p>
      <w:pPr>
        <w:pStyle w:val="ListParagraph"/>
        <w:numPr>
          <w:ilvl w:val="0"/>
          <w:numId w:val="2"/>
        </w:numPr>
        <w:spacing w:after="100"/>
      </w:pPr>
      <w:r>
        <w:rPr>
          <w:rFonts w:ascii="Calibri" w:cs="Calibri" w:eastAsia="Calibri" w:hAnsi="Calibri"/>
          <w:i/>
          <w:iCs/>
          <w:color w:val="C00000"/>
          <w:sz w:val="22"/>
          <w:szCs w:val="22"/>
        </w:rPr>
        <w:t xml:space="preserve">Nêu công cụ review code thực tế (PR template, checklist, StyleCop/analyzer nếu có).</w:t>
      </w:r>
    </w:p>
    <w:p>
      <w:pPr>
        <w:pStyle w:val="Heading1"/>
        <w:spacing w:after="200" w:before="360"/>
      </w:pPr>
      <w:r>
        <w:t xml:space="preserve">7. Testing Activities</w:t>
      </w:r>
    </w:p>
    <w:p>
      <w:pPr>
        <w:spacing w:after="160"/>
      </w:pPr>
      <w:r>
        <w:rPr>
          <w:rFonts w:ascii="Calibri" w:cs="Calibri" w:eastAsia="Calibri" w:hAnsi="Calibri"/>
          <w:sz w:val="22"/>
          <w:szCs w:val="22"/>
        </w:rPr>
        <w:t xml:space="preserve">Automated unit tests target the BLL layer via the RestaurantPOS.Tests xUnit project defined in Report 2's CI plan, covering the logic most prone to silent errors: order total calculation, inventory deduction against MenuItemIngredients, and Payment/Order state transitions.</w:t>
      </w:r>
    </w:p>
    <w:p>
      <w:pPr>
        <w:spacing w:after="160"/>
      </w:pPr>
      <w:r>
        <w:rPr>
          <w:rFonts w:ascii="Calibri" w:cs="Calibri" w:eastAsia="Calibri" w:hAnsi="Calibri"/>
          <w:sz w:val="22"/>
          <w:szCs w:val="22"/>
        </w:rPr>
        <w:t xml:space="preserve">Manual test scenarios were planned by Member 5 (QA &amp; Feature Developer) per Report 2's team contributions, covering the full Cashier → Kitchen → Payment flow traced in the 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Test Area</w:t>
            </w:r>
          </w:p>
        </w:tc>
        <w:tc>
          <w:tcPr>
            <w:tcW w:type="dxa" w:w="258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258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r>
      <w:tr>
        <w:tc>
          <w:tcPr>
            <w:tcW w:type="dxa" w:w="4200"/>
            <w:tcMar>
              <w:top w:type="dxa" w:w="100"/>
              <w:left w:type="dxa" w:w="120"/>
              <w:bottom w:type="dxa" w:w="100"/>
              <w:right w:type="dxa" w:w="120"/>
            </w:tcMar>
          </w:tcPr>
          <w:p>
            <w:r>
              <w:rPr>
                <w:rFonts w:ascii="Calibri" w:cs="Calibri" w:eastAsia="Calibri" w:hAnsi="Calibri"/>
                <w:b w:val="false"/>
                <w:bCs w:val="false"/>
                <w:color w:val="000000"/>
                <w:sz w:val="20"/>
                <w:szCs w:val="20"/>
              </w:rPr>
              <w:t xml:space="preserve">Order total calculation (incl. discounts if any)</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Unit (xUnit)</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[Pass/Fail — điền thực tế]</w:t>
            </w:r>
          </w:p>
        </w:tc>
      </w:tr>
      <w:tr>
        <w:tc>
          <w:tcPr>
            <w:tcW w:type="dxa" w:w="42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Inventory deduction after payment</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Unit + manual</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[Pass/Fail — điền thực tế]</w:t>
            </w:r>
          </w:p>
        </w:tc>
      </w:tr>
      <w:tr>
        <w:tc>
          <w:tcPr>
            <w:tcW w:type="dxa" w:w="4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Table status transitions (Free → Occupied → Free)</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Manual</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[Pass/Fail — điền thực tế]</w:t>
            </w:r>
          </w:p>
        </w:tc>
      </w:tr>
      <w:tr>
        <w:tc>
          <w:tcPr>
            <w:tcW w:type="dxa" w:w="4200"/>
            <w:tcMar>
              <w:top w:type="dxa" w:w="100"/>
              <w:left w:type="dxa" w:w="120"/>
              <w:bottom w:type="dxa" w:w="100"/>
              <w:right w:type="dxa" w:w="120"/>
            </w:tcMar>
          </w:tcPr>
          <w:p>
            <w:r>
              <w:rPr>
                <w:rFonts w:ascii="Calibri" w:cs="Calibri" w:eastAsia="Calibri" w:hAnsi="Calibri"/>
                <w:b w:val="false"/>
                <w:bCs w:val="false"/>
                <w:color w:val="000000"/>
                <w:sz w:val="20"/>
                <w:szCs w:val="20"/>
              </w:rPr>
              <w:t xml:space="preserve">Kitchen polling reflects new orders within 10s</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Manual</w:t>
            </w:r>
          </w:p>
        </w:tc>
        <w:tc>
          <w:tcPr>
            <w:tcW w:type="dxa" w:w="258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[Pass/Fail — điền thực tế]</w:t>
            </w:r>
          </w:p>
        </w:tc>
      </w:tr>
    </w:tbl>
    <w:p>
      <w:pPr>
        <w:spacing w:after="160"/>
      </w:pPr>
    </w:p>
    <w:p>
      <w:pPr>
        <w:pStyle w:val="ListParagraph"/>
        <w:numPr>
          <w:ilvl w:val="0"/>
          <w:numId w:val="2"/>
        </w:numPr>
        <w:spacing w:after="100"/>
      </w:pPr>
      <w:r>
        <w:rPr>
          <w:rFonts w:ascii="Calibri" w:cs="Calibri" w:eastAsia="Calibri" w:hAnsi="Calibri"/>
          <w:i/>
          <w:iCs/>
          <w:color w:val="C00000"/>
          <w:sz w:val="22"/>
          <w:szCs w:val="22"/>
        </w:rPr>
        <w:t xml:space="preserve">Liệt kê known issues cụ thể phát hiện trong testing và kế hoạch xử lý ở phase tích hợp.</w:t>
      </w:r>
    </w:p>
    <w:p>
      <w:pPr>
        <w:pStyle w:val="Heading1"/>
        <w:spacing w:after="200" w:before="360"/>
      </w:pPr>
      <w:r>
        <w:t xml:space="preserve">8. Next Steps</w:t>
      </w:r>
    </w:p>
    <w:p>
      <w:pPr>
        <w:pStyle w:val="ListParagraph"/>
        <w:numPr>
          <w:ilvl w:val="0"/>
          <w:numId w:val="2"/>
        </w:numPr>
        <w:spacing w:after="100"/>
      </w:pPr>
      <w:r>
        <w:rPr>
          <w:rFonts w:ascii="Calibri" w:cs="Calibri" w:eastAsia="Calibri" w:hAnsi="Calibri"/>
          <w:sz w:val="22"/>
          <w:szCs w:val="22"/>
        </w:rPr>
        <w:t xml:space="preserve">Integrate the five independently developed modules (Auth, Menu/Order, Kitchen, Payment/Shift, Inventory/Dashboard) into a single build, validating the module boundaries defined in the Class Diagram.</w:t>
      </w:r>
    </w:p>
    <w:p>
      <w:pPr>
        <w:pStyle w:val="ListParagraph"/>
        <w:numPr>
          <w:ilvl w:val="0"/>
          <w:numId w:val="2"/>
        </w:numPr>
        <w:spacing w:after="100"/>
      </w:pPr>
      <w:r>
        <w:rPr>
          <w:rFonts w:ascii="Calibri" w:cs="Calibri" w:eastAsia="Calibri" w:hAnsi="Calibri"/>
          <w:sz w:val="22"/>
          <w:szCs w:val="22"/>
        </w:rPr>
        <w:t xml:space="preserve">Run end-to-end integration tests covering the full sequence from Report 2 §2.3 (table selection → order → kitchen → payment → table release).</w:t>
      </w:r>
    </w:p>
    <w:p>
      <w:pPr>
        <w:pStyle w:val="ListParagraph"/>
        <w:numPr>
          <w:ilvl w:val="0"/>
          <w:numId w:val="2"/>
        </w:numPr>
        <w:spacing w:after="100"/>
      </w:pPr>
      <w:r>
        <w:rPr>
          <w:rFonts w:ascii="Calibri" w:cs="Calibri" w:eastAsia="Calibri" w:hAnsi="Calibri"/>
          <w:sz w:val="22"/>
          <w:szCs w:val="22"/>
        </w:rPr>
        <w:t xml:space="preserve">Complete the Dashboard/reporting stored procedures (Member 4) and the low-stock «include» check referenced in the Use Case Diagram, including defining the actual low-stock threshold.</w:t>
      </w:r>
    </w:p>
    <w:p>
      <w:pPr>
        <w:pStyle w:val="ListParagraph"/>
        <w:numPr>
          <w:ilvl w:val="0"/>
          <w:numId w:val="2"/>
        </w:numPr>
        <w:spacing w:after="100"/>
      </w:pPr>
      <w:r>
        <w:rPr>
          <w:rFonts w:ascii="Calibri" w:cs="Calibri" w:eastAsia="Calibri" w:hAnsi="Calibri"/>
          <w:sz w:val="22"/>
          <w:szCs w:val="22"/>
        </w:rPr>
        <w:t xml:space="preserve">Address remaining open design gaps identified before this phase: password hashing strategy for Users, receipt printing implementation, and centralized error logging.</w:t>
      </w:r>
    </w:p>
    <w:p>
      <w:pPr>
        <w:pStyle w:val="ListParagraph"/>
        <w:numPr>
          <w:ilvl w:val="0"/>
          <w:numId w:val="2"/>
        </w:numPr>
        <w:spacing w:after="100"/>
      </w:pPr>
      <w:r>
        <w:rPr>
          <w:rFonts w:ascii="Calibri" w:cs="Calibri" w:eastAsia="Calibri" w:hAnsi="Calibri"/>
          <w:i/>
          <w:iCs/>
          <w:color w:val="C00000"/>
          <w:sz w:val="22"/>
          <w:szCs w:val="22"/>
        </w:rPr>
        <w:t xml:space="preserve">Thêm mốc thời gian dự kiến (ngày bắt đầu/kết thúc) cho từng bước trên.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2026-07-07T12:19:26.326Z</dcterms:created>
  <dcterms:modified xsi:type="dcterms:W3CDTF">2026-07-07T12:19:26.326Z</dcterms:modified>
</cp:coreProperties>
</file>

<file path=docProps/custom.xml><?xml version="1.0" encoding="utf-8"?>
<Properties xmlns="http://schemas.openxmlformats.org/officeDocument/2006/custom-properties" xmlns:vt="http://schemas.openxmlformats.org/officeDocument/2006/docPropsVTypes"/>
</file>