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BB8" w:rsidRDefault="004A74DD" w:rsidP="0020357B">
      <w:pPr>
        <w:pStyle w:val="2"/>
      </w:pPr>
      <w:r>
        <w:t>TCGA</w:t>
      </w:r>
      <w:r>
        <w:t>数据观察和总结</w:t>
      </w:r>
    </w:p>
    <w:p w:rsidR="004A74DD" w:rsidRDefault="004A74DD">
      <w:r>
        <w:rPr>
          <w:rFonts w:hint="eastAsia"/>
        </w:rPr>
        <w:t>更新至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</w:p>
    <w:p w:rsidR="00F3311A" w:rsidRDefault="00F3311A" w:rsidP="00F3311A">
      <w:pPr>
        <w:pStyle w:val="3"/>
      </w:pPr>
      <w:r>
        <w:t>TCGA</w:t>
      </w:r>
      <w:r>
        <w:t>数据下载</w:t>
      </w:r>
    </w:p>
    <w:p w:rsidR="00B14761" w:rsidRDefault="00B14761" w:rsidP="00B14761">
      <w:pPr>
        <w:pStyle w:val="4"/>
      </w:pPr>
      <w:r>
        <w:t>Data matrix</w:t>
      </w:r>
    </w:p>
    <w:p w:rsidR="00F3311A" w:rsidRPr="00F3311A" w:rsidRDefault="001308B3" w:rsidP="00F3311A">
      <w:r>
        <w:t>TCGA</w:t>
      </w:r>
      <w:r>
        <w:t>提供多种下载数据的方式</w:t>
      </w:r>
      <w:r>
        <w:rPr>
          <w:rFonts w:hint="eastAsia"/>
        </w:rPr>
        <w:t>，</w:t>
      </w:r>
      <w:r w:rsidR="004977DE">
        <w:rPr>
          <w:rFonts w:hint="eastAsia"/>
        </w:rPr>
        <w:t>可以下载特定样本的特定</w:t>
      </w:r>
      <w:r w:rsidR="004977DE">
        <w:rPr>
          <w:rFonts w:hint="eastAsia"/>
        </w:rPr>
        <w:t>molecular</w:t>
      </w:r>
      <w:r w:rsidR="004977DE">
        <w:t xml:space="preserve"> data</w:t>
      </w:r>
      <w:r w:rsidR="004977DE">
        <w:t>和</w:t>
      </w:r>
      <w:r w:rsidR="004977DE">
        <w:rPr>
          <w:rFonts w:hint="eastAsia"/>
        </w:rPr>
        <w:t>clinical data</w:t>
      </w:r>
      <w:r w:rsidR="004977DE">
        <w:rPr>
          <w:rFonts w:hint="eastAsia"/>
        </w:rPr>
        <w:t>，也可以同时下载多个病人甚至一种癌症中所有病人的</w:t>
      </w:r>
      <w:r w:rsidR="008814F8">
        <w:rPr>
          <w:rFonts w:hint="eastAsia"/>
        </w:rPr>
        <w:t>分子数据。</w:t>
      </w:r>
      <w:r w:rsidR="00AB3D0F">
        <w:rPr>
          <w:rFonts w:hint="eastAsia"/>
        </w:rPr>
        <w:t>在</w:t>
      </w:r>
      <w:r w:rsidR="00AB3D0F">
        <w:rPr>
          <w:rFonts w:hint="eastAsia"/>
        </w:rPr>
        <w:t>TCGA</w:t>
      </w:r>
      <w:r w:rsidR="00AB3D0F">
        <w:rPr>
          <w:rFonts w:hint="eastAsia"/>
        </w:rPr>
        <w:t>主界面中点击</w:t>
      </w:r>
      <w:proofErr w:type="gramStart"/>
      <w:r w:rsidR="00AB3D0F">
        <w:t>”</w:t>
      </w:r>
      <w:proofErr w:type="gramEnd"/>
      <w:r w:rsidR="00AB3D0F">
        <w:t>launch data portal</w:t>
      </w:r>
      <w:proofErr w:type="gramStart"/>
      <w:r w:rsidR="00AB3D0F">
        <w:t>”</w:t>
      </w:r>
      <w:proofErr w:type="gramEnd"/>
      <w:r w:rsidR="00AB3D0F">
        <w:t>后</w:t>
      </w:r>
      <w:r w:rsidR="00AB3D0F">
        <w:rPr>
          <w:rFonts w:hint="eastAsia"/>
        </w:rPr>
        <w:t>会出现所有癌症当前的样本量</w:t>
      </w:r>
      <w:r w:rsidR="00A02773">
        <w:rPr>
          <w:rFonts w:hint="eastAsia"/>
        </w:rPr>
        <w:t>以及每种癌症最近一次更新数据的时间。</w:t>
      </w:r>
      <w:r w:rsidR="000F5E28">
        <w:rPr>
          <w:rFonts w:hint="eastAsia"/>
        </w:rPr>
        <w:t>点击进入癌症后比如</w:t>
      </w:r>
      <w:r w:rsidR="000F5E28">
        <w:rPr>
          <w:rFonts w:hint="eastAsia"/>
        </w:rPr>
        <w:t>LAML</w:t>
      </w:r>
      <w:r w:rsidR="000F5E28">
        <w:rPr>
          <w:rFonts w:hint="eastAsia"/>
        </w:rPr>
        <w:t>的“</w:t>
      </w:r>
      <w:r w:rsidR="000F5E28">
        <w:rPr>
          <w:rFonts w:hint="eastAsia"/>
        </w:rPr>
        <w:t>cases with data</w:t>
      </w:r>
      <w:r w:rsidR="000F5E28">
        <w:rPr>
          <w:rFonts w:hint="eastAsia"/>
        </w:rPr>
        <w:t>”</w:t>
      </w:r>
      <w:r w:rsidR="007A0E89">
        <w:rPr>
          <w:rFonts w:hint="eastAsia"/>
        </w:rPr>
        <w:t>能看到一个</w:t>
      </w:r>
      <w:r w:rsidR="007A0E89">
        <w:rPr>
          <w:rFonts w:hint="eastAsia"/>
        </w:rPr>
        <w:t>data matrix</w:t>
      </w:r>
      <w:r w:rsidR="007A0E89">
        <w:rPr>
          <w:rFonts w:hint="eastAsia"/>
        </w:rPr>
        <w:t>，其中包含了</w:t>
      </w:r>
      <w:r w:rsidR="003D6CB1">
        <w:rPr>
          <w:rFonts w:hint="eastAsia"/>
        </w:rPr>
        <w:t>该癌症中所有病人的</w:t>
      </w:r>
      <w:r w:rsidR="003D6CB1">
        <w:rPr>
          <w:rFonts w:hint="eastAsia"/>
        </w:rPr>
        <w:t xml:space="preserve">clinical and </w:t>
      </w:r>
      <w:r w:rsidR="003D6CB1">
        <w:t>molecular</w:t>
      </w:r>
      <w:r w:rsidR="003D6CB1">
        <w:rPr>
          <w:rFonts w:hint="eastAsia"/>
        </w:rPr>
        <w:t xml:space="preserve"> </w:t>
      </w:r>
      <w:r w:rsidR="003D6CB1">
        <w:t>data</w:t>
      </w:r>
      <w:r w:rsidR="003D6CB1">
        <w:rPr>
          <w:rFonts w:hint="eastAsia"/>
        </w:rPr>
        <w:t>。</w:t>
      </w:r>
      <w:r w:rsidR="00BC2446">
        <w:t>通过点击相应样本</w:t>
      </w:r>
      <w:r w:rsidR="00BC2446">
        <w:rPr>
          <w:rFonts w:hint="eastAsia"/>
        </w:rPr>
        <w:t>后</w:t>
      </w:r>
      <w:r w:rsidR="00BC2446">
        <w:rPr>
          <w:rFonts w:hint="eastAsia"/>
        </w:rPr>
        <w:t>build archive</w:t>
      </w:r>
      <w:r w:rsidR="00BC2446">
        <w:rPr>
          <w:rFonts w:hint="eastAsia"/>
        </w:rPr>
        <w:t>就能得到下载链接。</w:t>
      </w:r>
    </w:p>
    <w:p w:rsidR="0020357B" w:rsidRDefault="003909CF" w:rsidP="00B111C8">
      <w:pPr>
        <w:pStyle w:val="4"/>
      </w:pPr>
      <w:r>
        <w:rPr>
          <w:rFonts w:hint="eastAsia"/>
        </w:rPr>
        <w:t>Bulk download</w:t>
      </w:r>
    </w:p>
    <w:p w:rsidR="00A86AF7" w:rsidRDefault="009F0678" w:rsidP="00B111C8">
      <w:r>
        <w:t>TCGA</w:t>
      </w:r>
      <w:r>
        <w:t>提供该种数据下载方式</w:t>
      </w:r>
      <w:r>
        <w:rPr>
          <w:rFonts w:hint="eastAsia"/>
        </w:rPr>
        <w:t>，</w:t>
      </w:r>
      <w:r>
        <w:t>不需要通过选择病人来</w:t>
      </w:r>
      <w:r>
        <w:t>build archive</w:t>
      </w:r>
      <w:r>
        <w:t>等过程</w:t>
      </w:r>
      <w:r>
        <w:rPr>
          <w:rFonts w:hint="eastAsia"/>
        </w:rPr>
        <w:t>，</w:t>
      </w:r>
      <w:r>
        <w:t>就可以直接</w:t>
      </w:r>
      <w:proofErr w:type="gramStart"/>
      <w:r>
        <w:t>下载某</w:t>
      </w:r>
      <w:proofErr w:type="gramEnd"/>
      <w:r>
        <w:t>一种或几种癌症中</w:t>
      </w:r>
      <w:r>
        <w:rPr>
          <w:rFonts w:hint="eastAsia"/>
        </w:rPr>
        <w:t>，</w:t>
      </w:r>
      <w:r>
        <w:t>不同类型数据和相应的平台下所测得的所有病人的数据</w:t>
      </w:r>
      <w:r>
        <w:rPr>
          <w:rFonts w:hint="eastAsia"/>
        </w:rPr>
        <w:t>。</w:t>
      </w:r>
    </w:p>
    <w:p w:rsidR="00A86AF7" w:rsidRDefault="00AB68D1" w:rsidP="00882DE6">
      <w:pPr>
        <w:pStyle w:val="4"/>
      </w:pPr>
      <w:r>
        <w:t>Broad institute</w:t>
      </w:r>
    </w:p>
    <w:p w:rsidR="000E529A" w:rsidRDefault="00E81C69" w:rsidP="00882DE6">
      <w:r>
        <w:t>Broad institute</w:t>
      </w:r>
      <w:r>
        <w:t>定期处理和发布</w:t>
      </w:r>
      <w:r w:rsidR="00EE45E0">
        <w:rPr>
          <w:rFonts w:hint="eastAsia"/>
        </w:rPr>
        <w:t>level-3</w:t>
      </w:r>
      <w:r w:rsidR="00EE45E0">
        <w:rPr>
          <w:rFonts w:hint="eastAsia"/>
        </w:rPr>
        <w:t>和</w:t>
      </w:r>
      <w:r w:rsidR="00EE45E0">
        <w:rPr>
          <w:rFonts w:hint="eastAsia"/>
        </w:rPr>
        <w:t>level-4</w:t>
      </w:r>
      <w:r w:rsidR="00EE45E0">
        <w:rPr>
          <w:rFonts w:hint="eastAsia"/>
        </w:rPr>
        <w:t>的数据，网址为</w:t>
      </w:r>
      <w:r w:rsidR="00EE45E0">
        <w:rPr>
          <w:rFonts w:hint="eastAsia"/>
        </w:rPr>
        <w:t>gdac.broadinstitue.org/runs</w:t>
      </w:r>
      <w:r w:rsidR="00EE45E0">
        <w:rPr>
          <w:rFonts w:hint="eastAsia"/>
        </w:rPr>
        <w:t>。其中</w:t>
      </w:r>
      <w:r w:rsidR="00EE45E0">
        <w:rPr>
          <w:rFonts w:hint="eastAsia"/>
        </w:rPr>
        <w:t>analyses__[</w:t>
      </w:r>
      <w:r w:rsidR="00EE45E0">
        <w:t>###</w:t>
      </w:r>
      <w:r w:rsidR="00EE45E0">
        <w:rPr>
          <w:rFonts w:hint="eastAsia"/>
        </w:rPr>
        <w:t>]</w:t>
      </w:r>
      <w:r w:rsidR="00EE45E0">
        <w:rPr>
          <w:rFonts w:hint="eastAsia"/>
        </w:rPr>
        <w:t>为</w:t>
      </w:r>
      <w:r w:rsidR="00EE45E0">
        <w:rPr>
          <w:rFonts w:hint="eastAsia"/>
        </w:rPr>
        <w:t>level-</w:t>
      </w:r>
      <w:r w:rsidR="00EE45E0">
        <w:t>4</w:t>
      </w:r>
      <w:r w:rsidR="00EE45E0">
        <w:t>数据</w:t>
      </w:r>
      <w:r w:rsidR="00EE45E0">
        <w:rPr>
          <w:rFonts w:hint="eastAsia"/>
        </w:rPr>
        <w:t>，</w:t>
      </w:r>
      <w:proofErr w:type="spellStart"/>
      <w:r w:rsidR="00111194">
        <w:rPr>
          <w:rFonts w:hint="eastAsia"/>
        </w:rPr>
        <w:t>stddata</w:t>
      </w:r>
      <w:proofErr w:type="spellEnd"/>
      <w:r w:rsidR="00111194">
        <w:rPr>
          <w:rFonts w:hint="eastAsia"/>
        </w:rPr>
        <w:t>_[</w:t>
      </w:r>
      <w:r w:rsidR="00111194">
        <w:t>###</w:t>
      </w:r>
      <w:r w:rsidR="00111194">
        <w:rPr>
          <w:rFonts w:hint="eastAsia"/>
        </w:rPr>
        <w:t>]</w:t>
      </w:r>
      <w:r w:rsidR="00E709BB">
        <w:rPr>
          <w:rFonts w:hint="eastAsia"/>
        </w:rPr>
        <w:t>为</w:t>
      </w:r>
      <w:r w:rsidR="00E709BB">
        <w:rPr>
          <w:rFonts w:hint="eastAsia"/>
        </w:rPr>
        <w:t>level-3</w:t>
      </w:r>
      <w:r w:rsidR="00E709BB">
        <w:rPr>
          <w:rFonts w:hint="eastAsia"/>
        </w:rPr>
        <w:t>数据。其功能相当于</w:t>
      </w:r>
      <w:r w:rsidR="00E709BB">
        <w:rPr>
          <w:rFonts w:hint="eastAsia"/>
        </w:rPr>
        <w:t>bulk download</w:t>
      </w:r>
      <w:r w:rsidR="00824A7C">
        <w:rPr>
          <w:rFonts w:hint="eastAsia"/>
        </w:rPr>
        <w:t>，而用户可以根据需求，直接下载相应文件。</w:t>
      </w:r>
    </w:p>
    <w:p w:rsidR="00E4489B" w:rsidRDefault="00E4489B" w:rsidP="004A70D1">
      <w:pPr>
        <w:pStyle w:val="5"/>
      </w:pPr>
      <w:r>
        <w:rPr>
          <w:rFonts w:hint="eastAsia"/>
        </w:rPr>
        <w:t>Dashboard</w:t>
      </w:r>
      <w:r w:rsidR="00C029B9">
        <w:t>s</w:t>
      </w:r>
    </w:p>
    <w:p w:rsidR="0037120A" w:rsidRDefault="004C6365" w:rsidP="00882DE6">
      <w:r>
        <w:t>可在</w:t>
      </w:r>
      <w:r>
        <w:t>gdac.broadinstitute.org</w:t>
      </w:r>
      <w:r>
        <w:t>中</w:t>
      </w:r>
      <w:r>
        <w:rPr>
          <w:rFonts w:hint="eastAsia"/>
        </w:rPr>
        <w:t>“</w:t>
      </w:r>
      <w:r>
        <w:rPr>
          <w:rFonts w:hint="eastAsia"/>
        </w:rPr>
        <w:t>Dashboard</w:t>
      </w:r>
      <w:r w:rsidR="00C029B9">
        <w:t>s</w:t>
      </w:r>
      <w:r>
        <w:rPr>
          <w:rFonts w:hint="eastAsia"/>
        </w:rPr>
        <w:t>”</w:t>
      </w:r>
      <w:r w:rsidR="00763B8B">
        <w:rPr>
          <w:rFonts w:hint="eastAsia"/>
        </w:rPr>
        <w:t>下载最新的</w:t>
      </w:r>
      <w:r w:rsidR="00763B8B">
        <w:rPr>
          <w:rFonts w:hint="eastAsia"/>
        </w:rPr>
        <w:t>level-3</w:t>
      </w:r>
      <w:r w:rsidR="00763B8B">
        <w:rPr>
          <w:rFonts w:hint="eastAsia"/>
        </w:rPr>
        <w:t>和</w:t>
      </w:r>
      <w:r w:rsidR="00763B8B">
        <w:rPr>
          <w:rFonts w:hint="eastAsia"/>
        </w:rPr>
        <w:t>l</w:t>
      </w:r>
      <w:r w:rsidR="00763B8B">
        <w:t>evel-4</w:t>
      </w:r>
      <w:r w:rsidR="00763B8B">
        <w:t>数据</w:t>
      </w:r>
      <w:r w:rsidR="00763B8B">
        <w:rPr>
          <w:rFonts w:hint="eastAsia"/>
        </w:rPr>
        <w:t>，</w:t>
      </w:r>
      <w:r w:rsidR="00763B8B">
        <w:t>分别对应</w:t>
      </w:r>
      <w:r w:rsidR="00763B8B">
        <w:rPr>
          <w:rFonts w:hint="eastAsia"/>
        </w:rPr>
        <w:t>“</w:t>
      </w:r>
      <w:r w:rsidR="00763B8B">
        <w:rPr>
          <w:rFonts w:hint="eastAsia"/>
        </w:rPr>
        <w:t>standard</w:t>
      </w:r>
      <w:r w:rsidR="00763B8B">
        <w:t xml:space="preserve"> data</w:t>
      </w:r>
      <w:r w:rsidR="00763B8B">
        <w:rPr>
          <w:rFonts w:hint="eastAsia"/>
        </w:rPr>
        <w:t>”和“</w:t>
      </w:r>
      <w:r w:rsidR="00763B8B">
        <w:rPr>
          <w:rFonts w:hint="eastAsia"/>
        </w:rPr>
        <w:t>standard</w:t>
      </w:r>
      <w:r w:rsidR="00763B8B">
        <w:t xml:space="preserve"> analyses</w:t>
      </w:r>
      <w:r w:rsidR="00763B8B">
        <w:rPr>
          <w:rFonts w:hint="eastAsia"/>
        </w:rPr>
        <w:t>”。</w:t>
      </w:r>
      <w:r w:rsidR="00C029B9">
        <w:rPr>
          <w:rFonts w:hint="eastAsia"/>
        </w:rPr>
        <w:t>D</w:t>
      </w:r>
      <w:r w:rsidR="00C029B9">
        <w:t>ashboards</w:t>
      </w:r>
      <w:r w:rsidR="0049325F">
        <w:t>-&gt;standard data</w:t>
      </w:r>
      <w:r w:rsidR="0049325F">
        <w:t>可以下载</w:t>
      </w:r>
      <w:r w:rsidR="0049325F">
        <w:rPr>
          <w:rFonts w:hint="eastAsia"/>
        </w:rPr>
        <w:t>level-3</w:t>
      </w:r>
      <w:r w:rsidR="0049325F">
        <w:rPr>
          <w:rFonts w:hint="eastAsia"/>
        </w:rPr>
        <w:t>数据，</w:t>
      </w:r>
      <w:r w:rsidR="0049325F">
        <w:rPr>
          <w:rFonts w:hint="eastAsia"/>
        </w:rPr>
        <w:t>Dashboards-&gt;standard analyses</w:t>
      </w:r>
      <w:r w:rsidR="0049325F">
        <w:rPr>
          <w:rFonts w:hint="eastAsia"/>
        </w:rPr>
        <w:t>可以下载</w:t>
      </w:r>
      <w:r w:rsidR="0049325F">
        <w:rPr>
          <w:rFonts w:hint="eastAsia"/>
        </w:rPr>
        <w:t>level-</w:t>
      </w:r>
      <w:r w:rsidR="0049325F">
        <w:t>4</w:t>
      </w:r>
      <w:r w:rsidR="0049325F">
        <w:t>数据</w:t>
      </w:r>
      <w:r w:rsidR="0049325F">
        <w:rPr>
          <w:rFonts w:hint="eastAsia"/>
        </w:rPr>
        <w:t>。</w:t>
      </w:r>
      <w:r w:rsidR="00A0754A">
        <w:t>而具体应该下载哪些文件</w:t>
      </w:r>
      <w:r w:rsidR="00A0754A">
        <w:rPr>
          <w:rFonts w:hint="eastAsia"/>
        </w:rPr>
        <w:t>，</w:t>
      </w:r>
      <w:r w:rsidR="00A0754A">
        <w:t>应根据所需要的数据类型来看</w:t>
      </w:r>
      <w:r w:rsidR="00A0754A">
        <w:rPr>
          <w:rFonts w:hint="eastAsia"/>
        </w:rPr>
        <w:t>。</w:t>
      </w:r>
    </w:p>
    <w:p w:rsidR="00916A34" w:rsidRDefault="00916A34" w:rsidP="005A63ED">
      <w:pPr>
        <w:pStyle w:val="5"/>
      </w:pPr>
      <w:r>
        <w:rPr>
          <w:rFonts w:hint="eastAsia"/>
        </w:rPr>
        <w:t>Data</w:t>
      </w:r>
    </w:p>
    <w:p w:rsidR="004C6365" w:rsidRDefault="002B0EB6" w:rsidP="00882DE6">
      <w:r>
        <w:rPr>
          <w:rFonts w:hint="eastAsia"/>
        </w:rPr>
        <w:t>Data</w:t>
      </w:r>
      <w:r>
        <w:rPr>
          <w:rFonts w:hint="eastAsia"/>
        </w:rPr>
        <w:t>下主要描述的是</w:t>
      </w:r>
      <w:r>
        <w:rPr>
          <w:rFonts w:hint="eastAsia"/>
        </w:rPr>
        <w:t>level-3</w:t>
      </w:r>
      <w:r>
        <w:rPr>
          <w:rFonts w:hint="eastAsia"/>
        </w:rPr>
        <w:t>数据。</w:t>
      </w:r>
      <w:r w:rsidR="00A25428">
        <w:rPr>
          <w:rFonts w:hint="eastAsia"/>
        </w:rPr>
        <w:t>在</w:t>
      </w:r>
      <w:r w:rsidR="00A25428">
        <w:t>Data-&gt;Levels and Types</w:t>
      </w:r>
      <w:r w:rsidR="00F661E6">
        <w:t>中清晰全面的介绍了所所有类型的数据的层次</w:t>
      </w:r>
      <w:r w:rsidR="00F661E6">
        <w:rPr>
          <w:rFonts w:hint="eastAsia"/>
        </w:rPr>
        <w:t>，</w:t>
      </w:r>
      <w:r w:rsidR="00F661E6">
        <w:t>以及相应解释的链接</w:t>
      </w:r>
      <w:r w:rsidR="00F661E6">
        <w:rPr>
          <w:rFonts w:hint="eastAsia"/>
        </w:rPr>
        <w:t>。</w:t>
      </w:r>
      <w:r w:rsidR="00C02D4B">
        <w:t>在</w:t>
      </w:r>
      <w:r w:rsidR="00C02D4B">
        <w:rPr>
          <w:rFonts w:hint="eastAsia"/>
        </w:rPr>
        <w:t>Data-&gt;Workflow Graph</w:t>
      </w:r>
      <w:r w:rsidR="00C02D4B">
        <w:rPr>
          <w:rFonts w:hint="eastAsia"/>
        </w:rPr>
        <w:t>中显示了</w:t>
      </w:r>
      <w:r w:rsidR="00F41546">
        <w:rPr>
          <w:rFonts w:hint="eastAsia"/>
        </w:rPr>
        <w:t>所有</w:t>
      </w:r>
      <w:r w:rsidR="00F41546">
        <w:rPr>
          <w:rFonts w:hint="eastAsia"/>
        </w:rPr>
        <w:t>level-</w:t>
      </w:r>
      <w:r w:rsidR="00F41546">
        <w:t>3</w:t>
      </w:r>
      <w:r w:rsidR="00F41546">
        <w:t>数据</w:t>
      </w:r>
      <w:r w:rsidR="00F41546">
        <w:lastRenderedPageBreak/>
        <w:t>及相应的简单处理过程</w:t>
      </w:r>
      <w:r w:rsidR="00245EE7">
        <w:rPr>
          <w:rFonts w:hint="eastAsia"/>
        </w:rPr>
        <w:t>，但是每个标签不能点击，因此不能看到相应文件的具体处理方法。</w:t>
      </w:r>
      <w:r w:rsidR="008C3BFB">
        <w:rPr>
          <w:rFonts w:hint="eastAsia"/>
        </w:rPr>
        <w:t>而在</w:t>
      </w:r>
      <w:r w:rsidR="00C92BF1">
        <w:rPr>
          <w:rFonts w:hint="eastAsia"/>
        </w:rPr>
        <w:t>Dashboards-&gt;</w:t>
      </w:r>
      <w:r w:rsidR="00546F28">
        <w:t>Full Samples Report</w:t>
      </w:r>
      <w:r w:rsidR="00546F28">
        <w:rPr>
          <w:rFonts w:hint="eastAsia"/>
        </w:rPr>
        <w:t>中，</w:t>
      </w:r>
      <w:r w:rsidR="00804E18">
        <w:rPr>
          <w:rFonts w:hint="eastAsia"/>
        </w:rPr>
        <w:t>我们可以得到所有癌症最新情况。</w:t>
      </w:r>
      <w:r w:rsidR="00641591">
        <w:rPr>
          <w:rFonts w:hint="eastAsia"/>
        </w:rPr>
        <w:t>同时，我们也应该了解从</w:t>
      </w:r>
      <w:r w:rsidR="00641591">
        <w:rPr>
          <w:rFonts w:hint="eastAsia"/>
        </w:rPr>
        <w:t>GDAC</w:t>
      </w:r>
      <w:r w:rsidR="00641591">
        <w:rPr>
          <w:rFonts w:hint="eastAsia"/>
        </w:rPr>
        <w:t>中究竟下载了什么样的数据。</w:t>
      </w:r>
    </w:p>
    <w:p w:rsidR="00014BD5" w:rsidRPr="00014BD5" w:rsidRDefault="00014BD5" w:rsidP="00882DE6">
      <w:r>
        <w:t>GDAC</w:t>
      </w:r>
      <w:r>
        <w:t>首先需要过滤从</w:t>
      </w:r>
      <w:r>
        <w:t>DCC(TCGA</w:t>
      </w:r>
      <w:r>
        <w:t>存储数据</w:t>
      </w:r>
      <w:r>
        <w:rPr>
          <w:rFonts w:hint="eastAsia"/>
        </w:rPr>
        <w:t>)</w:t>
      </w:r>
      <w:r>
        <w:rPr>
          <w:rFonts w:hint="eastAsia"/>
        </w:rPr>
        <w:t>镜像过来的样本，利用所谓的校订</w:t>
      </w:r>
      <w:r>
        <w:rPr>
          <w:rFonts w:hint="eastAsia"/>
        </w:rPr>
        <w:t>(</w:t>
      </w:r>
      <w:r>
        <w:t>redaction</w:t>
      </w:r>
      <w:r>
        <w:rPr>
          <w:rFonts w:hint="eastAsia"/>
        </w:rPr>
        <w:t>)</w:t>
      </w:r>
      <w:r>
        <w:rPr>
          <w:rFonts w:hint="eastAsia"/>
        </w:rPr>
        <w:t>、重复过滤</w:t>
      </w:r>
      <w:r>
        <w:rPr>
          <w:rFonts w:hint="eastAsia"/>
        </w:rPr>
        <w:t>(replicate</w:t>
      </w:r>
      <w:r>
        <w:t xml:space="preserve"> filtering</w:t>
      </w:r>
      <w:r>
        <w:rPr>
          <w:rFonts w:hint="eastAsia"/>
        </w:rPr>
        <w:t>)</w:t>
      </w:r>
      <w:r>
        <w:rPr>
          <w:rFonts w:hint="eastAsia"/>
        </w:rPr>
        <w:t>和拉黑名单</w:t>
      </w:r>
      <w:r>
        <w:rPr>
          <w:rFonts w:hint="eastAsia"/>
        </w:rPr>
        <w:t>(</w:t>
      </w:r>
      <w:r>
        <w:t>blacklisting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D21623">
        <w:rPr>
          <w:rFonts w:hint="eastAsia"/>
        </w:rPr>
        <w:t>所存储的地方被称为</w:t>
      </w:r>
      <w:proofErr w:type="spellStart"/>
      <w:r w:rsidR="00D21623">
        <w:rPr>
          <w:rFonts w:hint="eastAsia"/>
        </w:rPr>
        <w:t>Firehose</w:t>
      </w:r>
      <w:proofErr w:type="spellEnd"/>
      <w:r w:rsidR="00D21623">
        <w:rPr>
          <w:rFonts w:hint="eastAsia"/>
        </w:rPr>
        <w:t>。</w:t>
      </w:r>
    </w:p>
    <w:p w:rsidR="00916A34" w:rsidRDefault="00916A34" w:rsidP="005A63ED">
      <w:pPr>
        <w:pStyle w:val="5"/>
      </w:pPr>
      <w:r>
        <w:rPr>
          <w:rFonts w:hint="eastAsia"/>
        </w:rPr>
        <w:t>Analyses</w:t>
      </w:r>
    </w:p>
    <w:p w:rsidR="000D3196" w:rsidRDefault="000D3196" w:rsidP="00882DE6">
      <w:r>
        <w:t>在</w:t>
      </w:r>
      <w:r>
        <w:rPr>
          <w:rFonts w:hint="eastAsia"/>
        </w:rPr>
        <w:t xml:space="preserve">Analyses </w:t>
      </w:r>
      <w:r>
        <w:t>–&gt; Release Notes</w:t>
      </w:r>
      <w:r>
        <w:t>中</w:t>
      </w:r>
      <w:r>
        <w:rPr>
          <w:rFonts w:hint="eastAsia"/>
        </w:rPr>
        <w:t>，</w:t>
      </w:r>
      <w:r w:rsidR="0094686B">
        <w:t>主要描述每个季度</w:t>
      </w:r>
      <w:r w:rsidR="0094686B">
        <w:t>Broad institute GDAC</w:t>
      </w:r>
      <w:r w:rsidR="0094686B">
        <w:t>都在哪些分析流程中做了相应的修改</w:t>
      </w:r>
      <w:r w:rsidR="0094686B">
        <w:rPr>
          <w:rFonts w:hint="eastAsia"/>
        </w:rPr>
        <w:t>。</w:t>
      </w:r>
    </w:p>
    <w:p w:rsidR="000E529A" w:rsidRDefault="000E529A" w:rsidP="00537DDF">
      <w:pPr>
        <w:pStyle w:val="5"/>
      </w:pPr>
      <w:r>
        <w:t>注意</w:t>
      </w:r>
    </w:p>
    <w:p w:rsidR="00537DDF" w:rsidRDefault="00537DDF" w:rsidP="00537DDF">
      <w:r>
        <w:t>标注有</w:t>
      </w:r>
      <w:proofErr w:type="gramStart"/>
      <w:r>
        <w:t>”</w:t>
      </w:r>
      <w:proofErr w:type="gramEnd"/>
      <w:r>
        <w:t>FFPE</w:t>
      </w:r>
      <w:proofErr w:type="gramStart"/>
      <w:r>
        <w:t>”</w:t>
      </w:r>
      <w:proofErr w:type="gramEnd"/>
      <w:r>
        <w:t>的样本</w:t>
      </w:r>
      <w:r>
        <w:rPr>
          <w:rFonts w:hint="eastAsia"/>
        </w:rPr>
        <w:t>，</w:t>
      </w:r>
      <w:r>
        <w:t>根据</w:t>
      </w:r>
    </w:p>
    <w:p w:rsidR="00537DDF" w:rsidRDefault="00B90062" w:rsidP="00537DDF">
      <w:hyperlink r:id="rId5" w:history="1">
        <w:r w:rsidR="00537DDF" w:rsidRPr="00D80435">
          <w:rPr>
            <w:rStyle w:val="a3"/>
          </w:rPr>
          <w:t>http://gdac.broadinstitute.org/runs/sampleReports/latest/UCEC_FFPE_Cases.html</w:t>
        </w:r>
      </w:hyperlink>
    </w:p>
    <w:p w:rsidR="00537DDF" w:rsidRPr="00537DDF" w:rsidRDefault="00537DDF" w:rsidP="00537DDF">
      <w:r>
        <w:t>中的解释</w:t>
      </w:r>
      <w:r>
        <w:rPr>
          <w:rFonts w:hint="eastAsia"/>
        </w:rPr>
        <w:t>，“</w:t>
      </w:r>
      <w:r w:rsidRPr="00537DDF">
        <w:t>FFPE (formalin fixed paraffin embedded) samples are not suitable for molecular analysis because the RNA and DNA are trapped in the nucleic acid-protein cross linking from the fixation process.</w:t>
      </w:r>
      <w:r>
        <w:rPr>
          <w:rFonts w:hint="eastAsia"/>
        </w:rPr>
        <w:t>”。因此可以不必下载标有</w:t>
      </w:r>
      <w:r>
        <w:rPr>
          <w:rFonts w:hint="eastAsia"/>
        </w:rPr>
        <w:t>FFPE</w:t>
      </w:r>
      <w:r>
        <w:rPr>
          <w:rFonts w:hint="eastAsia"/>
        </w:rPr>
        <w:t>的所有文件。</w:t>
      </w:r>
    </w:p>
    <w:p w:rsidR="0020357B" w:rsidRDefault="0020357B" w:rsidP="006524F4">
      <w:pPr>
        <w:pStyle w:val="3"/>
      </w:pPr>
      <w:r>
        <w:t>TCGA</w:t>
      </w:r>
      <w:r>
        <w:t>的</w:t>
      </w:r>
      <w:r>
        <w:t>barcode</w:t>
      </w:r>
      <w:r w:rsidR="00EF0C15">
        <w:t>注释</w:t>
      </w:r>
    </w:p>
    <w:p w:rsidR="000114BD" w:rsidRDefault="00C86D3E">
      <w:r>
        <w:t>TCGA</w:t>
      </w:r>
      <w:r>
        <w:t>中每个病人都有一个</w:t>
      </w:r>
      <w:r>
        <w:t>unique barcode</w:t>
      </w:r>
      <w:r>
        <w:rPr>
          <w:rFonts w:hint="eastAsia"/>
        </w:rPr>
        <w:t>，</w:t>
      </w:r>
      <w:r>
        <w:t>用于记录与该病人相关的所有信息</w:t>
      </w:r>
      <w:r>
        <w:rPr>
          <w:rFonts w:hint="eastAsia"/>
        </w:rPr>
        <w:t>，</w:t>
      </w:r>
      <w:r>
        <w:t>包括</w:t>
      </w:r>
      <w:r w:rsidR="000114BD">
        <w:t>clinical</w:t>
      </w:r>
      <w:r w:rsidR="000114BD">
        <w:rPr>
          <w:rFonts w:hint="eastAsia"/>
        </w:rPr>
        <w:t xml:space="preserve"> data</w:t>
      </w:r>
      <w:r w:rsidR="000114BD">
        <w:rPr>
          <w:rFonts w:hint="eastAsia"/>
        </w:rPr>
        <w:t>和</w:t>
      </w:r>
      <w:r w:rsidR="000114BD">
        <w:rPr>
          <w:rFonts w:hint="eastAsia"/>
        </w:rPr>
        <w:t>molecular</w:t>
      </w:r>
      <w:r w:rsidR="000114BD">
        <w:t xml:space="preserve"> data</w:t>
      </w:r>
      <w:r w:rsidR="000114BD">
        <w:rPr>
          <w:rFonts w:hint="eastAsia"/>
        </w:rPr>
        <w:t>。</w:t>
      </w:r>
      <w:r w:rsidR="00364083">
        <w:t>一般来说</w:t>
      </w:r>
      <w:r w:rsidR="00364083">
        <w:rPr>
          <w:rFonts w:hint="eastAsia"/>
        </w:rPr>
        <w:t>，</w:t>
      </w:r>
      <w:r w:rsidR="00364083">
        <w:t>TCGA</w:t>
      </w:r>
      <w:r w:rsidR="00364083">
        <w:t>中有每个病人的癌症组织</w:t>
      </w:r>
      <w:r w:rsidR="00364083">
        <w:rPr>
          <w:rFonts w:hint="eastAsia"/>
        </w:rPr>
        <w:t>，</w:t>
      </w:r>
      <w:r w:rsidR="00381047">
        <w:t>但不一定有相应的癌旁组织</w:t>
      </w:r>
      <w:r w:rsidR="00F64626">
        <w:rPr>
          <w:rFonts w:hint="eastAsia"/>
        </w:rPr>
        <w:t>。下面是</w:t>
      </w:r>
      <w:r w:rsidR="00F64626">
        <w:rPr>
          <w:rFonts w:hint="eastAsia"/>
        </w:rPr>
        <w:t>TCGA</w:t>
      </w:r>
      <w:r w:rsidR="00F64626">
        <w:rPr>
          <w:rFonts w:hint="eastAsia"/>
        </w:rPr>
        <w:t>中</w:t>
      </w:r>
      <w:r w:rsidR="00F64626">
        <w:rPr>
          <w:rFonts w:hint="eastAsia"/>
        </w:rPr>
        <w:t>barcode</w:t>
      </w:r>
      <w:r w:rsidR="00F64626">
        <w:rPr>
          <w:rFonts w:hint="eastAsia"/>
        </w:rPr>
        <w:t>方面的详细介绍。</w:t>
      </w:r>
    </w:p>
    <w:p w:rsidR="00FA7D50" w:rsidRPr="00FA7D50" w:rsidRDefault="00FA7D50" w:rsidP="00FA7D50">
      <w:r w:rsidRPr="00FA7D50">
        <w:t>The Barcode of samples are important:</w:t>
      </w:r>
    </w:p>
    <w:p w:rsidR="00FA7D50" w:rsidRPr="00FA7D50" w:rsidRDefault="00FA7D50" w:rsidP="00FA7D50"/>
    <w:p w:rsidR="00FA7D50" w:rsidRPr="00FA7D50" w:rsidRDefault="00FA7D50" w:rsidP="00FA7D50">
      <w:r w:rsidRPr="00FA7D50">
        <w:rPr>
          <w:rFonts w:hint="eastAsia"/>
          <w:noProof/>
        </w:rPr>
        <w:drawing>
          <wp:inline distT="0" distB="0" distL="0" distR="0" wp14:anchorId="23645FBE" wp14:editId="5CB9C1B5">
            <wp:extent cx="4324350" cy="1724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3"/>
        <w:gridCol w:w="3038"/>
        <w:gridCol w:w="783"/>
        <w:gridCol w:w="1372"/>
        <w:gridCol w:w="1964"/>
      </w:tblGrid>
      <w:tr w:rsidR="00FA7D50" w:rsidRPr="00FA7D50" w:rsidTr="00FA7D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pPr>
              <w:rPr>
                <w:b/>
                <w:bCs/>
              </w:rPr>
            </w:pPr>
            <w:r w:rsidRPr="00FA7D50">
              <w:rPr>
                <w:b/>
                <w:bCs/>
              </w:rPr>
              <w:t>Label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pPr>
              <w:rPr>
                <w:b/>
                <w:bCs/>
              </w:rPr>
            </w:pPr>
            <w:r w:rsidRPr="00FA7D50">
              <w:rPr>
                <w:b/>
                <w:bCs/>
              </w:rPr>
              <w:t>Identifier for</w:t>
            </w:r>
          </w:p>
        </w:tc>
        <w:tc>
          <w:tcPr>
            <w:tcW w:w="7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pPr>
              <w:rPr>
                <w:b/>
                <w:bCs/>
              </w:rPr>
            </w:pPr>
            <w:r w:rsidRPr="00FA7D50">
              <w:rPr>
                <w:b/>
                <w:bCs/>
              </w:rPr>
              <w:t>Value</w:t>
            </w:r>
          </w:p>
        </w:tc>
        <w:tc>
          <w:tcPr>
            <w:tcW w:w="13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pPr>
              <w:rPr>
                <w:b/>
                <w:bCs/>
              </w:rPr>
            </w:pPr>
            <w:r w:rsidRPr="00FA7D50">
              <w:rPr>
                <w:b/>
                <w:bCs/>
              </w:rPr>
              <w:t xml:space="preserve">Value </w:t>
            </w:r>
            <w:r w:rsidRPr="00FA7D50">
              <w:rPr>
                <w:b/>
                <w:bCs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pPr>
              <w:rPr>
                <w:b/>
                <w:bCs/>
              </w:rPr>
            </w:pPr>
            <w:r w:rsidRPr="00FA7D50">
              <w:rPr>
                <w:b/>
                <w:bCs/>
              </w:rPr>
              <w:lastRenderedPageBreak/>
              <w:t>Possible values</w:t>
            </w:r>
          </w:p>
        </w:tc>
      </w:tr>
      <w:tr w:rsidR="00FA7D50" w:rsidRPr="00FA7D50" w:rsidTr="00FA7D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lastRenderedPageBreak/>
              <w:t>Project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>Project name</w:t>
            </w:r>
          </w:p>
        </w:tc>
        <w:tc>
          <w:tcPr>
            <w:tcW w:w="7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>TCGA</w:t>
            </w:r>
          </w:p>
        </w:tc>
        <w:tc>
          <w:tcPr>
            <w:tcW w:w="13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>TCGA project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>TCGA</w:t>
            </w:r>
          </w:p>
        </w:tc>
      </w:tr>
      <w:tr w:rsidR="00FA7D50" w:rsidRPr="00FA7D50" w:rsidTr="00FA7D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B90062" w:rsidP="00FA7D50">
            <w:hyperlink r:id="rId7" w:history="1">
              <w:r w:rsidR="00FA7D50" w:rsidRPr="00FA7D50">
                <w:rPr>
                  <w:rStyle w:val="a3"/>
                </w:rPr>
                <w:t>TSS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>Tissue source site</w:t>
            </w:r>
          </w:p>
        </w:tc>
        <w:tc>
          <w:tcPr>
            <w:tcW w:w="7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>02</w:t>
            </w:r>
          </w:p>
        </w:tc>
        <w:tc>
          <w:tcPr>
            <w:tcW w:w="13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>GBM (brain tumor) sample from MD Anderson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>See </w:t>
            </w:r>
            <w:hyperlink r:id="rId8" w:history="1">
              <w:r w:rsidRPr="00FA7D50">
                <w:rPr>
                  <w:rStyle w:val="a3"/>
                </w:rPr>
                <w:t>Code Tables Report</w:t>
              </w:r>
            </w:hyperlink>
          </w:p>
        </w:tc>
      </w:tr>
      <w:tr w:rsidR="00FA7D50" w:rsidRPr="00FA7D50" w:rsidTr="00FA7D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B90062" w:rsidP="00FA7D50">
            <w:hyperlink r:id="rId9" w:history="1">
              <w:r w:rsidR="00FA7D50" w:rsidRPr="00FA7D50">
                <w:rPr>
                  <w:rStyle w:val="a3"/>
                </w:rPr>
                <w:t>Participant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>Study participant</w:t>
            </w:r>
          </w:p>
        </w:tc>
        <w:tc>
          <w:tcPr>
            <w:tcW w:w="7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>0001</w:t>
            </w:r>
          </w:p>
        </w:tc>
        <w:tc>
          <w:tcPr>
            <w:tcW w:w="13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>The first participant from MD Anderson for GBM study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>Any alpha-numeric value</w:t>
            </w:r>
          </w:p>
        </w:tc>
      </w:tr>
      <w:tr w:rsidR="00FA7D50" w:rsidRPr="00FA7D50" w:rsidTr="00FA7D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B90062" w:rsidP="00FA7D50">
            <w:hyperlink r:id="rId10" w:history="1">
              <w:r w:rsidR="00FA7D50" w:rsidRPr="00FA7D50">
                <w:rPr>
                  <w:rStyle w:val="a3"/>
                </w:rPr>
                <w:t>Sample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>Sample type</w:t>
            </w:r>
          </w:p>
        </w:tc>
        <w:tc>
          <w:tcPr>
            <w:tcW w:w="7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>01</w:t>
            </w:r>
          </w:p>
        </w:tc>
        <w:tc>
          <w:tcPr>
            <w:tcW w:w="13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>A solid tumor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>Tumor types range from 01 - 09, normal types from 10 - 19 and control samples from 20 - 29. See </w:t>
            </w:r>
            <w:hyperlink r:id="rId11" w:history="1">
              <w:r w:rsidRPr="00FA7D50">
                <w:rPr>
                  <w:rStyle w:val="a3"/>
                </w:rPr>
                <w:t>Code Tables Report </w:t>
              </w:r>
            </w:hyperlink>
            <w:r w:rsidRPr="00FA7D50">
              <w:t>for a complete list of sample codes</w:t>
            </w:r>
          </w:p>
        </w:tc>
      </w:tr>
      <w:tr w:rsidR="00FA7D50" w:rsidRPr="00FA7D50" w:rsidTr="00FA7D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B90062" w:rsidP="00FA7D50">
            <w:hyperlink r:id="rId12" w:history="1">
              <w:r w:rsidR="00FA7D50" w:rsidRPr="00FA7D50">
                <w:rPr>
                  <w:rStyle w:val="a3"/>
                </w:rPr>
                <w:t>Vial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>Order of sample in a sequence of samples</w:t>
            </w:r>
          </w:p>
        </w:tc>
        <w:tc>
          <w:tcPr>
            <w:tcW w:w="7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>C</w:t>
            </w:r>
          </w:p>
        </w:tc>
        <w:tc>
          <w:tcPr>
            <w:tcW w:w="13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>The third vial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>A to Z</w:t>
            </w:r>
          </w:p>
        </w:tc>
      </w:tr>
      <w:tr w:rsidR="00FA7D50" w:rsidRPr="00FA7D50" w:rsidTr="00FA7D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B90062" w:rsidP="00FA7D50">
            <w:hyperlink r:id="rId13" w:history="1">
              <w:r w:rsidR="00FA7D50" w:rsidRPr="00FA7D50">
                <w:rPr>
                  <w:rStyle w:val="a3"/>
                </w:rPr>
                <w:t>Portion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>Order of portion in a sequence of 100 - 120 mg sample portions</w:t>
            </w:r>
          </w:p>
        </w:tc>
        <w:tc>
          <w:tcPr>
            <w:tcW w:w="7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>01</w:t>
            </w:r>
          </w:p>
        </w:tc>
        <w:tc>
          <w:tcPr>
            <w:tcW w:w="13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>The first portion of the sample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>01-99</w:t>
            </w:r>
          </w:p>
        </w:tc>
      </w:tr>
      <w:tr w:rsidR="00FA7D50" w:rsidRPr="00FA7D50" w:rsidTr="00FA7D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B90062" w:rsidP="00FA7D50">
            <w:hyperlink r:id="rId14" w:history="1">
              <w:r w:rsidR="00FA7D50" w:rsidRPr="00FA7D50">
                <w:rPr>
                  <w:rStyle w:val="a3"/>
                </w:rPr>
                <w:t>Analyte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 xml:space="preserve">Molecular type of </w:t>
            </w:r>
            <w:proofErr w:type="spellStart"/>
            <w:r w:rsidRPr="00FA7D50">
              <w:t>analyte</w:t>
            </w:r>
            <w:proofErr w:type="spellEnd"/>
            <w:r w:rsidRPr="00FA7D50">
              <w:t xml:space="preserve"> for analysis</w:t>
            </w:r>
          </w:p>
        </w:tc>
        <w:tc>
          <w:tcPr>
            <w:tcW w:w="7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>D</w:t>
            </w:r>
          </w:p>
        </w:tc>
        <w:tc>
          <w:tcPr>
            <w:tcW w:w="13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 xml:space="preserve">The </w:t>
            </w:r>
            <w:proofErr w:type="spellStart"/>
            <w:r w:rsidRPr="00FA7D50">
              <w:t>analyte</w:t>
            </w:r>
            <w:proofErr w:type="spellEnd"/>
            <w:r w:rsidRPr="00FA7D50">
              <w:t xml:space="preserve"> is a DNA sample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>See </w:t>
            </w:r>
            <w:hyperlink r:id="rId15" w:history="1">
              <w:r w:rsidRPr="00FA7D50">
                <w:rPr>
                  <w:rStyle w:val="a3"/>
                </w:rPr>
                <w:t>Code Tables Report</w:t>
              </w:r>
            </w:hyperlink>
          </w:p>
        </w:tc>
      </w:tr>
      <w:tr w:rsidR="00FA7D50" w:rsidRPr="00FA7D50" w:rsidTr="00FA7D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B90062" w:rsidP="00FA7D50">
            <w:hyperlink r:id="rId16" w:history="1">
              <w:r w:rsidR="00FA7D50" w:rsidRPr="00FA7D50">
                <w:rPr>
                  <w:rStyle w:val="a3"/>
                </w:rPr>
                <w:t>Plate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>Order of plate in a sequence of 96-well plates</w:t>
            </w:r>
          </w:p>
        </w:tc>
        <w:tc>
          <w:tcPr>
            <w:tcW w:w="7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>0182</w:t>
            </w:r>
          </w:p>
        </w:tc>
        <w:tc>
          <w:tcPr>
            <w:tcW w:w="13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>The 182nd plate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>4-digit alphanumeric value</w:t>
            </w:r>
          </w:p>
        </w:tc>
      </w:tr>
      <w:tr w:rsidR="00FA7D50" w:rsidRPr="00FA7D50" w:rsidTr="00FA7D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B90062" w:rsidP="00FA7D50">
            <w:hyperlink r:id="rId17" w:history="1">
              <w:r w:rsidR="00FA7D50" w:rsidRPr="00FA7D50">
                <w:rPr>
                  <w:rStyle w:val="a3"/>
                </w:rPr>
                <w:t>Center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B90062" w:rsidP="00FA7D50">
            <w:hyperlink r:id="rId18" w:history="1">
              <w:r w:rsidR="00FA7D50" w:rsidRPr="00FA7D50">
                <w:rPr>
                  <w:rStyle w:val="a3"/>
                </w:rPr>
                <w:t>Sequencing</w:t>
              </w:r>
            </w:hyperlink>
            <w:r w:rsidR="00FA7D50" w:rsidRPr="00FA7D50">
              <w:t> or </w:t>
            </w:r>
            <w:hyperlink r:id="rId19" w:history="1">
              <w:r w:rsidR="00FA7D50" w:rsidRPr="00FA7D50">
                <w:rPr>
                  <w:rStyle w:val="a3"/>
                </w:rPr>
                <w:t>characterization</w:t>
              </w:r>
            </w:hyperlink>
            <w:r w:rsidR="00FA7D50" w:rsidRPr="00FA7D50">
              <w:t xml:space="preserve"> center that will receive the aliquot for analysis</w:t>
            </w:r>
          </w:p>
        </w:tc>
        <w:tc>
          <w:tcPr>
            <w:tcW w:w="7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>01</w:t>
            </w:r>
          </w:p>
        </w:tc>
        <w:tc>
          <w:tcPr>
            <w:tcW w:w="13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 xml:space="preserve">The Broad </w:t>
            </w:r>
            <w:proofErr w:type="spellStart"/>
            <w:r w:rsidRPr="00FA7D50">
              <w:t>Institute</w:t>
            </w:r>
            <w:hyperlink r:id="rId20" w:history="1">
              <w:r w:rsidRPr="00FA7D50">
                <w:rPr>
                  <w:rStyle w:val="a3"/>
                </w:rPr>
                <w:t>GCC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A7D50" w:rsidRPr="00FA7D50" w:rsidRDefault="00FA7D50" w:rsidP="00FA7D50">
            <w:r w:rsidRPr="00FA7D50">
              <w:t>See </w:t>
            </w:r>
            <w:hyperlink r:id="rId21" w:history="1">
              <w:r w:rsidRPr="00FA7D50">
                <w:rPr>
                  <w:rStyle w:val="a3"/>
                </w:rPr>
                <w:t>Code Tables Report</w:t>
              </w:r>
            </w:hyperlink>
          </w:p>
        </w:tc>
      </w:tr>
    </w:tbl>
    <w:p w:rsidR="00FA7D50" w:rsidRPr="00FA7D50" w:rsidRDefault="00FA7D50" w:rsidP="00FA7D50"/>
    <w:p w:rsidR="00EE10BF" w:rsidRPr="000114BD" w:rsidRDefault="00EE10BF"/>
    <w:p w:rsidR="00EB09AD" w:rsidRDefault="004D5430" w:rsidP="00651BE9">
      <w:pPr>
        <w:pStyle w:val="2"/>
      </w:pPr>
      <w:r>
        <w:rPr>
          <w:rFonts w:hint="eastAsia"/>
        </w:rPr>
        <w:t>数据处理</w:t>
      </w:r>
    </w:p>
    <w:p w:rsidR="00EF146B" w:rsidRDefault="00EF146B" w:rsidP="00651BE9">
      <w:pPr>
        <w:pStyle w:val="3"/>
      </w:pPr>
      <w:r>
        <w:t>Broad institute</w:t>
      </w:r>
    </w:p>
    <w:p w:rsidR="00D074DF" w:rsidRDefault="007B2324" w:rsidP="00AC2142">
      <w:r>
        <w:t>根据</w:t>
      </w:r>
      <w:r w:rsidR="007F4370">
        <w:fldChar w:fldCharType="begin"/>
      </w:r>
      <w:r w:rsidR="007F4370">
        <w:instrText xml:space="preserve"> HYPERLINK "http://gdac.broadinstitute.org/Analyses-DAG.html</w:instrText>
      </w:r>
      <w:r w:rsidR="007F4370">
        <w:instrText>可以知道</w:instrText>
      </w:r>
      <w:r w:rsidR="007F4370">
        <w:instrText xml:space="preserve">Broad" </w:instrText>
      </w:r>
      <w:r w:rsidR="007F4370">
        <w:fldChar w:fldCharType="separate"/>
      </w:r>
      <w:r w:rsidR="00101173" w:rsidRPr="00D80435">
        <w:rPr>
          <w:rStyle w:val="a3"/>
        </w:rPr>
        <w:t>http://gdac.broadinstitute.org/Analyses-DAG.html</w:t>
      </w:r>
      <w:r w:rsidR="00101173" w:rsidRPr="00101173">
        <w:rPr>
          <w:rStyle w:val="a3"/>
          <w:color w:val="auto"/>
          <w:u w:val="none"/>
        </w:rPr>
        <w:t>可以知道</w:t>
      </w:r>
      <w:r w:rsidR="00101173" w:rsidRPr="00101173">
        <w:rPr>
          <w:rStyle w:val="a3"/>
          <w:rFonts w:hint="eastAsia"/>
          <w:color w:val="auto"/>
          <w:u w:val="none"/>
        </w:rPr>
        <w:t>Broad</w:t>
      </w:r>
      <w:r w:rsidR="007F4370">
        <w:rPr>
          <w:rStyle w:val="a3"/>
          <w:color w:val="auto"/>
          <w:u w:val="none"/>
        </w:rPr>
        <w:fldChar w:fldCharType="end"/>
      </w:r>
      <w:r w:rsidR="00101173">
        <w:rPr>
          <w:rFonts w:hint="eastAsia"/>
        </w:rPr>
        <w:t xml:space="preserve"> </w:t>
      </w:r>
      <w:r w:rsidR="00101173">
        <w:t>institute</w:t>
      </w:r>
      <w:r w:rsidR="00101173">
        <w:t>都利用了什么样的</w:t>
      </w:r>
      <w:r w:rsidR="00101173">
        <w:t>pipeline</w:t>
      </w:r>
      <w:r w:rsidR="00101173">
        <w:t>处理和分析相关数据集</w:t>
      </w:r>
      <w:r w:rsidR="00101173">
        <w:rPr>
          <w:rFonts w:hint="eastAsia"/>
        </w:rPr>
        <w:t>。</w:t>
      </w:r>
      <w:r w:rsidR="00101173">
        <w:t>下面</w:t>
      </w:r>
      <w:r w:rsidR="00101173">
        <w:rPr>
          <w:rFonts w:hint="eastAsia"/>
        </w:rPr>
        <w:t>，</w:t>
      </w:r>
      <w:r w:rsidR="00101173">
        <w:t>根据不同类型的分子数据</w:t>
      </w:r>
      <w:r w:rsidR="00586835">
        <w:rPr>
          <w:rFonts w:hint="eastAsia"/>
        </w:rPr>
        <w:t>进行总结。</w:t>
      </w:r>
    </w:p>
    <w:p w:rsidR="009B6A47" w:rsidRDefault="009B6A47" w:rsidP="000950A8">
      <w:pPr>
        <w:pStyle w:val="4"/>
      </w:pPr>
      <w:r>
        <w:t>预处理</w:t>
      </w:r>
    </w:p>
    <w:p w:rsidR="00135CFB" w:rsidRDefault="00135CFB" w:rsidP="00135CFB">
      <w:pPr>
        <w:pStyle w:val="5"/>
      </w:pPr>
      <w:r>
        <w:t>删除部分样本</w:t>
      </w:r>
    </w:p>
    <w:p w:rsidR="000950A8" w:rsidRDefault="000950A8" w:rsidP="000950A8">
      <w:r>
        <w:rPr>
          <w:rFonts w:hint="eastAsia"/>
        </w:rPr>
        <w:t>GDAC</w:t>
      </w:r>
      <w:r>
        <w:rPr>
          <w:rFonts w:hint="eastAsia"/>
        </w:rPr>
        <w:t>会将从</w:t>
      </w:r>
      <w:r>
        <w:rPr>
          <w:rFonts w:hint="eastAsia"/>
        </w:rPr>
        <w:t>TCGA</w:t>
      </w:r>
      <w:r>
        <w:rPr>
          <w:rFonts w:hint="eastAsia"/>
        </w:rPr>
        <w:t>中出现</w:t>
      </w:r>
      <w:r>
        <w:rPr>
          <w:rFonts w:hint="eastAsia"/>
        </w:rPr>
        <w:t>TSS</w:t>
      </w:r>
      <w:r>
        <w:t>/BCR subject</w:t>
      </w:r>
      <w:r>
        <w:rPr>
          <w:rFonts w:hint="eastAsia"/>
        </w:rPr>
        <w:t xml:space="preserve"> link</w:t>
      </w:r>
      <w:r w:rsidR="000D3F4D">
        <w:rPr>
          <w:rFonts w:hint="eastAsia"/>
        </w:rPr>
        <w:t>出现问题的样本</w:t>
      </w:r>
      <w:r w:rsidR="00B35A64">
        <w:rPr>
          <w:rFonts w:hint="eastAsia"/>
        </w:rPr>
        <w:t>，或者是</w:t>
      </w:r>
      <w:r w:rsidR="000D3F4D">
        <w:rPr>
          <w:rFonts w:hint="eastAsia"/>
        </w:rPr>
        <w:t>该样本实际上和</w:t>
      </w:r>
      <w:r w:rsidR="000D3F4D">
        <w:rPr>
          <w:rFonts w:hint="eastAsia"/>
        </w:rPr>
        <w:t>tissue</w:t>
      </w:r>
      <w:r w:rsidR="00B35A64">
        <w:rPr>
          <w:rFonts w:hint="eastAsia"/>
        </w:rPr>
        <w:t>是不对应等情况</w:t>
      </w:r>
      <w:r w:rsidR="00775FE4">
        <w:rPr>
          <w:rFonts w:hint="eastAsia"/>
        </w:rPr>
        <w:t>，一般称为</w:t>
      </w:r>
      <w:r w:rsidR="00775FE4">
        <w:rPr>
          <w:rFonts w:hint="eastAsia"/>
        </w:rPr>
        <w:t>redaction</w:t>
      </w:r>
      <w:r w:rsidR="00775FE4">
        <w:rPr>
          <w:rFonts w:hint="eastAsia"/>
        </w:rPr>
        <w:t>。</w:t>
      </w:r>
      <w:r w:rsidR="00C61DA4">
        <w:rPr>
          <w:rFonts w:hint="eastAsia"/>
        </w:rPr>
        <w:t>有时候，一个样本可能有好几个整份</w:t>
      </w:r>
      <w:r w:rsidR="00C61DA4">
        <w:rPr>
          <w:rFonts w:hint="eastAsia"/>
        </w:rPr>
        <w:t>(</w:t>
      </w:r>
      <w:r w:rsidR="00C61DA4">
        <w:t>aliquot</w:t>
      </w:r>
      <w:r w:rsidR="00C61DA4">
        <w:rPr>
          <w:rFonts w:hint="eastAsia"/>
        </w:rPr>
        <w:t>)</w:t>
      </w:r>
      <w:r w:rsidR="00C61DA4">
        <w:rPr>
          <w:rFonts w:hint="eastAsia"/>
        </w:rPr>
        <w:t>，因此</w:t>
      </w:r>
      <w:r w:rsidR="00C61DA4">
        <w:rPr>
          <w:rFonts w:hint="eastAsia"/>
        </w:rPr>
        <w:t>GDAC</w:t>
      </w:r>
      <w:r w:rsidR="00C61DA4">
        <w:rPr>
          <w:rFonts w:hint="eastAsia"/>
        </w:rPr>
        <w:t>也要根据一定的原则取其中之一存储在</w:t>
      </w:r>
      <w:proofErr w:type="spellStart"/>
      <w:r w:rsidR="00C61DA4">
        <w:rPr>
          <w:rFonts w:hint="eastAsia"/>
        </w:rPr>
        <w:t>Firehose</w:t>
      </w:r>
      <w:proofErr w:type="spellEnd"/>
      <w:r w:rsidR="00C61DA4">
        <w:rPr>
          <w:rFonts w:hint="eastAsia"/>
        </w:rPr>
        <w:t>中。</w:t>
      </w:r>
      <w:r w:rsidR="00644088">
        <w:rPr>
          <w:rFonts w:hint="eastAsia"/>
        </w:rPr>
        <w:t>而拉黑</w:t>
      </w:r>
      <w:r w:rsidR="00644088">
        <w:rPr>
          <w:rFonts w:hint="eastAsia"/>
        </w:rPr>
        <w:t>(blacklisting)</w:t>
      </w:r>
      <w:r w:rsidR="00644088">
        <w:rPr>
          <w:rFonts w:hint="eastAsia"/>
        </w:rPr>
        <w:t>也是处理多整份</w:t>
      </w:r>
      <w:r w:rsidR="00644088">
        <w:rPr>
          <w:rFonts w:hint="eastAsia"/>
        </w:rPr>
        <w:t>(aliquot)</w:t>
      </w:r>
      <w:r w:rsidR="00644088">
        <w:rPr>
          <w:rFonts w:hint="eastAsia"/>
        </w:rPr>
        <w:t>时选择其中之一存储的一种方式。</w:t>
      </w:r>
    </w:p>
    <w:p w:rsidR="00135CFB" w:rsidRDefault="009F4AC9" w:rsidP="000950A8">
      <w:r>
        <w:t>此外</w:t>
      </w:r>
      <w:r>
        <w:rPr>
          <w:rFonts w:hint="eastAsia"/>
        </w:rPr>
        <w:t>，</w:t>
      </w:r>
      <w:r>
        <w:t>FFPE(</w:t>
      </w:r>
      <w:r w:rsidRPr="009F4AC9">
        <w:t>formalin fixed paraffin embedded</w:t>
      </w:r>
      <w:r>
        <w:t>)</w:t>
      </w:r>
      <w:r>
        <w:t>由于在</w:t>
      </w:r>
      <w:r>
        <w:t>fixation</w:t>
      </w:r>
      <w:r>
        <w:t>过程中核苷酸</w:t>
      </w:r>
      <w:r>
        <w:rPr>
          <w:rFonts w:hint="eastAsia"/>
        </w:rPr>
        <w:t>-</w:t>
      </w:r>
      <w:r>
        <w:t>蛋白交联而不适用于继续分析其分子数据</w:t>
      </w:r>
      <w:r>
        <w:rPr>
          <w:rFonts w:hint="eastAsia"/>
        </w:rPr>
        <w:t>。</w:t>
      </w:r>
    </w:p>
    <w:p w:rsidR="00135CFB" w:rsidRDefault="00C619DF" w:rsidP="004A1FBF">
      <w:pPr>
        <w:pStyle w:val="5"/>
      </w:pPr>
      <w:r>
        <w:t>P</w:t>
      </w:r>
      <w:r w:rsidR="00270B8D">
        <w:rPr>
          <w:rFonts w:hint="eastAsia"/>
        </w:rPr>
        <w:t>reprocessors</w:t>
      </w:r>
    </w:p>
    <w:p w:rsidR="008612FD" w:rsidRDefault="008612FD" w:rsidP="008612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mRNA expression</w:t>
      </w:r>
    </w:p>
    <w:p w:rsidR="00011DAC" w:rsidRDefault="00011DAC" w:rsidP="00011DAC">
      <w:pPr>
        <w:ind w:left="360"/>
      </w:pPr>
      <w:r>
        <w:t>大概意思是</w:t>
      </w:r>
      <w:r>
        <w:rPr>
          <w:rFonts w:hint="eastAsia"/>
        </w:rPr>
        <w:t>：</w:t>
      </w:r>
      <w:r w:rsidR="00CD66AB">
        <w:t>不同平台的</w:t>
      </w:r>
      <w:r w:rsidR="0032576D">
        <w:t>选择样本最多的</w:t>
      </w:r>
      <w:r w:rsidR="0032576D">
        <w:rPr>
          <w:rFonts w:hint="eastAsia"/>
        </w:rPr>
        <w:t>。</w:t>
      </w:r>
    </w:p>
    <w:p w:rsidR="008612FD" w:rsidRDefault="008612FD" w:rsidP="008612FD">
      <w:pPr>
        <w:pStyle w:val="a4"/>
        <w:numPr>
          <w:ilvl w:val="0"/>
          <w:numId w:val="1"/>
        </w:numPr>
        <w:ind w:firstLineChars="0"/>
      </w:pPr>
      <w:proofErr w:type="spellStart"/>
      <w:r>
        <w:lastRenderedPageBreak/>
        <w:t>mRNAseq</w:t>
      </w:r>
      <w:proofErr w:type="spellEnd"/>
    </w:p>
    <w:p w:rsidR="00460FF7" w:rsidRPr="00460FF7" w:rsidRDefault="00460FF7" w:rsidP="00460FF7">
      <w:pPr>
        <w:pStyle w:val="a4"/>
        <w:ind w:left="360" w:firstLineChars="0" w:firstLine="0"/>
      </w:pPr>
      <w:r>
        <w:t>用</w:t>
      </w:r>
      <w:proofErr w:type="spellStart"/>
      <w:r>
        <w:rPr>
          <w:rFonts w:hint="eastAsia"/>
        </w:rPr>
        <w:t>Illumina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Hiseq</w:t>
      </w:r>
      <w:proofErr w:type="spellEnd"/>
      <w:r>
        <w:rPr>
          <w:rFonts w:hint="eastAsia"/>
        </w:rPr>
        <w:t>/GA</w:t>
      </w:r>
      <w:r>
        <w:rPr>
          <w:rFonts w:hint="eastAsia"/>
        </w:rPr>
        <w:t>的</w:t>
      </w:r>
      <w:r>
        <w:rPr>
          <w:rFonts w:hint="eastAsia"/>
        </w:rPr>
        <w:t>RSEM</w:t>
      </w:r>
      <w:r>
        <w:rPr>
          <w:rFonts w:hint="eastAsia"/>
        </w:rPr>
        <w:t>或者</w:t>
      </w:r>
      <w:r>
        <w:rPr>
          <w:rFonts w:hint="eastAsia"/>
        </w:rPr>
        <w:t>RPKM</w:t>
      </w:r>
      <w:r>
        <w:rPr>
          <w:rFonts w:hint="eastAsia"/>
        </w:rPr>
        <w:t>，如果一个样本有两个平台的测量结果取</w:t>
      </w:r>
      <w:proofErr w:type="spellStart"/>
      <w:r>
        <w:rPr>
          <w:rFonts w:hint="eastAsia"/>
        </w:rPr>
        <w:t>Hiseq</w:t>
      </w:r>
      <w:proofErr w:type="spellEnd"/>
      <w:r>
        <w:rPr>
          <w:rFonts w:hint="eastAsia"/>
        </w:rPr>
        <w:t>。</w:t>
      </w:r>
      <w:r w:rsidR="00317837">
        <w:rPr>
          <w:rFonts w:hint="eastAsia"/>
        </w:rPr>
        <w:t>所以我们的问题是，两个平台的结果混合起来是能用的？</w:t>
      </w:r>
    </w:p>
    <w:p w:rsidR="008612FD" w:rsidRDefault="008612FD" w:rsidP="008612FD">
      <w:pPr>
        <w:pStyle w:val="a4"/>
        <w:numPr>
          <w:ilvl w:val="0"/>
          <w:numId w:val="1"/>
        </w:numPr>
        <w:ind w:firstLineChars="0"/>
      </w:pPr>
      <w:proofErr w:type="spellStart"/>
      <w:r>
        <w:t>miRseq</w:t>
      </w:r>
      <w:proofErr w:type="spellEnd"/>
    </w:p>
    <w:p w:rsidR="006C6264" w:rsidRDefault="006C6264" w:rsidP="006C6264">
      <w:pPr>
        <w:pStyle w:val="a4"/>
        <w:ind w:left="360" w:firstLineChars="0" w:firstLine="0"/>
      </w:pPr>
      <w:r>
        <w:t>取</w:t>
      </w:r>
      <w:r>
        <w:t>RKM</w:t>
      </w:r>
      <w:r>
        <w:t>值</w:t>
      </w:r>
      <w:r>
        <w:rPr>
          <w:rFonts w:hint="eastAsia"/>
        </w:rPr>
        <w:t>，</w:t>
      </w:r>
      <w:r>
        <w:t>同样是</w:t>
      </w:r>
      <w:proofErr w:type="spellStart"/>
      <w:r>
        <w:t>Hiseq</w:t>
      </w:r>
      <w:proofErr w:type="spellEnd"/>
      <w:r>
        <w:rPr>
          <w:rFonts w:hint="eastAsia"/>
        </w:rPr>
        <w:t>/GA</w:t>
      </w:r>
      <w:r>
        <w:rPr>
          <w:rFonts w:hint="eastAsia"/>
        </w:rPr>
        <w:t>取</w:t>
      </w:r>
      <w:proofErr w:type="spellStart"/>
      <w:r>
        <w:rPr>
          <w:rFonts w:hint="eastAsia"/>
        </w:rPr>
        <w:t>Hiseq</w:t>
      </w:r>
      <w:proofErr w:type="spellEnd"/>
      <w:r>
        <w:rPr>
          <w:rFonts w:hint="eastAsia"/>
        </w:rPr>
        <w:t>。</w:t>
      </w:r>
    </w:p>
    <w:p w:rsidR="008612FD" w:rsidRDefault="008612FD" w:rsidP="008612FD">
      <w:pPr>
        <w:pStyle w:val="a4"/>
        <w:numPr>
          <w:ilvl w:val="0"/>
          <w:numId w:val="1"/>
        </w:numPr>
        <w:ind w:firstLineChars="0"/>
      </w:pPr>
      <w:r>
        <w:t>methylation</w:t>
      </w:r>
    </w:p>
    <w:p w:rsidR="007939CD" w:rsidRDefault="007939CD" w:rsidP="007939CD">
      <w:pPr>
        <w:pStyle w:val="a4"/>
        <w:ind w:left="360" w:firstLineChars="0" w:firstLine="0"/>
      </w:pPr>
      <w:r>
        <w:t>分成两步预处理</w:t>
      </w:r>
      <w:r>
        <w:rPr>
          <w:rFonts w:hint="eastAsia"/>
        </w:rPr>
        <w:t>。</w:t>
      </w:r>
      <w:r>
        <w:t>我们可以处理原始文件</w:t>
      </w:r>
      <w:r>
        <w:rPr>
          <w:rFonts w:hint="eastAsia"/>
        </w:rPr>
        <w:t>，</w:t>
      </w:r>
      <w:r>
        <w:t>根据其中提到的步骤进行处理</w:t>
      </w:r>
      <w:r>
        <w:rPr>
          <w:rFonts w:hint="eastAsia"/>
        </w:rPr>
        <w:t>。</w:t>
      </w:r>
    </w:p>
    <w:p w:rsidR="00FD0BEB" w:rsidRDefault="00FD0BEB" w:rsidP="00FD0BEB">
      <w:pPr>
        <w:pStyle w:val="a4"/>
        <w:numPr>
          <w:ilvl w:val="0"/>
          <w:numId w:val="2"/>
        </w:numPr>
        <w:ind w:firstLineChars="0"/>
      </w:pPr>
      <w:r>
        <w:t>删除比对到</w:t>
      </w:r>
      <w:r>
        <w:t>X</w:t>
      </w:r>
      <w:r>
        <w:t>或者</w:t>
      </w:r>
      <w:r>
        <w:t>Y</w:t>
      </w:r>
      <w:r>
        <w:t>染色体上的</w:t>
      </w:r>
      <w:r>
        <w:t>probe</w:t>
      </w:r>
    </w:p>
    <w:p w:rsidR="00FD0BEB" w:rsidRDefault="00FD0BEB" w:rsidP="00FD0BEB">
      <w:pPr>
        <w:pStyle w:val="a4"/>
        <w:numPr>
          <w:ilvl w:val="0"/>
          <w:numId w:val="2"/>
        </w:numPr>
        <w:ind w:firstLineChars="0"/>
      </w:pPr>
      <w:r>
        <w:t>删除</w:t>
      </w:r>
      <w:r>
        <w:t>Gene symbol</w:t>
      </w:r>
      <w:r>
        <w:t>是</w:t>
      </w:r>
      <w:r>
        <w:t>NA</w:t>
      </w:r>
      <w:r>
        <w:t>的</w:t>
      </w:r>
      <w:r>
        <w:t>probe</w:t>
      </w:r>
    </w:p>
    <w:p w:rsidR="00FD0BEB" w:rsidRDefault="00FD0BEB" w:rsidP="00FD0BEB">
      <w:pPr>
        <w:pStyle w:val="a4"/>
        <w:numPr>
          <w:ilvl w:val="0"/>
          <w:numId w:val="2"/>
        </w:numPr>
        <w:ind w:firstLineChars="0"/>
      </w:pPr>
      <w:r>
        <w:t>删除超过</w:t>
      </w:r>
      <w:r>
        <w:rPr>
          <w:rFonts w:hint="eastAsia"/>
        </w:rPr>
        <w:t>5%</w:t>
      </w:r>
      <w:r>
        <w:rPr>
          <w:rFonts w:hint="eastAsia"/>
        </w:rPr>
        <w:t>样本值为</w:t>
      </w:r>
      <w:r>
        <w:rPr>
          <w:rFonts w:hint="eastAsia"/>
        </w:rPr>
        <w:t>NA</w:t>
      </w:r>
      <w:r>
        <w:rPr>
          <w:rFonts w:hint="eastAsia"/>
        </w:rPr>
        <w:t>的</w:t>
      </w:r>
      <w:r>
        <w:rPr>
          <w:rFonts w:hint="eastAsia"/>
        </w:rPr>
        <w:t>probe</w:t>
      </w:r>
    </w:p>
    <w:p w:rsidR="00FD0BEB" w:rsidRDefault="000E7D0F" w:rsidP="00FD0BEB">
      <w:pPr>
        <w:pStyle w:val="a4"/>
        <w:numPr>
          <w:ilvl w:val="0"/>
          <w:numId w:val="2"/>
        </w:numPr>
        <w:ind w:firstLineChars="0"/>
      </w:pPr>
      <w:r>
        <w:t>如果一个</w:t>
      </w:r>
      <w:r>
        <w:t>probe</w:t>
      </w:r>
      <w:r>
        <w:t>比对到不止一个</w:t>
      </w:r>
      <w:r>
        <w:t>gene</w:t>
      </w:r>
      <w:r>
        <w:t>上</w:t>
      </w:r>
      <w:r>
        <w:rPr>
          <w:rFonts w:hint="eastAsia"/>
        </w:rPr>
        <w:t>，</w:t>
      </w:r>
      <w:r>
        <w:t>则分成相应</w:t>
      </w:r>
      <w:r>
        <w:t>gene</w:t>
      </w:r>
      <w:r>
        <w:t>多个行</w:t>
      </w:r>
    </w:p>
    <w:p w:rsidR="000E7D0F" w:rsidRDefault="000E7D0F" w:rsidP="000E7D0F">
      <w:pPr>
        <w:pStyle w:val="a4"/>
        <w:numPr>
          <w:ilvl w:val="0"/>
          <w:numId w:val="2"/>
        </w:numPr>
        <w:ind w:firstLineChars="0"/>
      </w:pPr>
      <w:r>
        <w:t>由于每个</w:t>
      </w:r>
      <w:r>
        <w:t>probe</w:t>
      </w:r>
      <w:r>
        <w:t>在所有样本中比对相同的位点</w:t>
      </w:r>
      <w:r>
        <w:rPr>
          <w:rFonts w:hint="eastAsia"/>
        </w:rPr>
        <w:t>和</w:t>
      </w:r>
      <w:r>
        <w:rPr>
          <w:rFonts w:hint="eastAsia"/>
        </w:rPr>
        <w:t>gene</w:t>
      </w:r>
      <w:r>
        <w:rPr>
          <w:rFonts w:hint="eastAsia"/>
        </w:rPr>
        <w:t>上，所以每行只需要留下</w:t>
      </w:r>
      <w:r>
        <w:rPr>
          <w:rFonts w:hint="eastAsia"/>
        </w:rPr>
        <w:t>beta</w:t>
      </w:r>
      <w:r>
        <w:rPr>
          <w:rFonts w:hint="eastAsia"/>
        </w:rPr>
        <w:t>值</w:t>
      </w:r>
    </w:p>
    <w:p w:rsidR="00EF207D" w:rsidRDefault="00EF207D" w:rsidP="00EF207D">
      <w:pPr>
        <w:pStyle w:val="a4"/>
        <w:numPr>
          <w:ilvl w:val="0"/>
          <w:numId w:val="1"/>
        </w:numPr>
        <w:ind w:firstLineChars="0"/>
      </w:pPr>
      <w:r>
        <w:t>Clinical</w:t>
      </w:r>
      <w:r>
        <w:t>数据</w:t>
      </w:r>
    </w:p>
    <w:p w:rsidR="00EF207D" w:rsidRPr="00C619DF" w:rsidRDefault="00EF207D" w:rsidP="00EF207D">
      <w:pPr>
        <w:pStyle w:val="a4"/>
        <w:ind w:left="360" w:firstLineChars="0" w:firstLine="0"/>
      </w:pPr>
      <w:r>
        <w:t>根据</w:t>
      </w:r>
      <w:r>
        <w:rPr>
          <w:rFonts w:hint="eastAsia"/>
        </w:rPr>
        <w:t>standard workflow</w:t>
      </w:r>
      <w:r>
        <w:rPr>
          <w:rFonts w:hint="eastAsia"/>
        </w:rPr>
        <w:t>可知，</w:t>
      </w:r>
      <w:proofErr w:type="spellStart"/>
      <w:r>
        <w:rPr>
          <w:rFonts w:hint="eastAsia"/>
        </w:rPr>
        <w:t>merge_clinical</w:t>
      </w:r>
      <w:proofErr w:type="spellEnd"/>
      <w:r>
        <w:rPr>
          <w:rFonts w:hint="eastAsia"/>
        </w:rPr>
        <w:t>数据转到了</w:t>
      </w:r>
      <w:r>
        <w:rPr>
          <w:rFonts w:hint="eastAsia"/>
        </w:rPr>
        <w:t>clinical_pick_tier_1</w:t>
      </w:r>
      <w:r>
        <w:rPr>
          <w:rFonts w:hint="eastAsia"/>
        </w:rPr>
        <w:t>中。</w:t>
      </w:r>
      <w:r w:rsidR="008F048D">
        <w:rPr>
          <w:rFonts w:hint="eastAsia"/>
        </w:rPr>
        <w:t>尚不清楚这两个文档的区别。</w:t>
      </w:r>
    </w:p>
    <w:p w:rsidR="00651BE9" w:rsidRDefault="00651BE9" w:rsidP="00A02D27">
      <w:pPr>
        <w:pStyle w:val="4"/>
      </w:pPr>
      <w:r>
        <w:t>L</w:t>
      </w:r>
      <w:r>
        <w:rPr>
          <w:rFonts w:hint="eastAsia"/>
        </w:rPr>
        <w:t>evel-</w:t>
      </w:r>
      <w:r w:rsidR="00A02D27">
        <w:t xml:space="preserve">3 </w:t>
      </w:r>
      <w:proofErr w:type="spellStart"/>
      <w:r w:rsidR="00A02D27">
        <w:t>stddata</w:t>
      </w:r>
      <w:proofErr w:type="spellEnd"/>
    </w:p>
    <w:p w:rsidR="00A67483" w:rsidRDefault="00A67483" w:rsidP="00A67483">
      <w:r>
        <w:t>根据</w:t>
      </w:r>
      <w:r w:rsidR="007F4370">
        <w:fldChar w:fldCharType="begin"/>
      </w:r>
      <w:r w:rsidR="007F4370">
        <w:instrText xml:space="preserve"> HYPERLINK "http://gdac.broadinstitute.org/stddata-DAG.html" </w:instrText>
      </w:r>
      <w:r w:rsidR="007F4370">
        <w:fldChar w:fldCharType="separate"/>
      </w:r>
      <w:r w:rsidRPr="00D80435">
        <w:rPr>
          <w:rStyle w:val="a3"/>
        </w:rPr>
        <w:t>http://gdac.broadinstitute.org/stddata-DAG.html</w:t>
      </w:r>
      <w:r w:rsidR="007F4370">
        <w:rPr>
          <w:rStyle w:val="a3"/>
        </w:rPr>
        <w:fldChar w:fldCharType="end"/>
      </w:r>
      <w:r>
        <w:t xml:space="preserve"> </w:t>
      </w:r>
      <w:r w:rsidR="00AA288A">
        <w:t>中的</w:t>
      </w:r>
      <w:r w:rsidR="00AA288A">
        <w:t>DAG</w:t>
      </w:r>
      <w:r w:rsidR="003C4295">
        <w:rPr>
          <w:rFonts w:hint="eastAsia"/>
        </w:rPr>
        <w:t>，</w:t>
      </w:r>
      <w:r w:rsidR="003C4295">
        <w:t>每种数据都有</w:t>
      </w:r>
      <w:r w:rsidR="005A12CD">
        <w:t>详细的</w:t>
      </w:r>
      <w:r w:rsidR="005917B0">
        <w:rPr>
          <w:rFonts w:hint="eastAsia"/>
        </w:rPr>
        <w:t>相应详细的框图，虽然没有详细的介绍</w:t>
      </w:r>
      <w:r w:rsidR="00460313">
        <w:rPr>
          <w:rFonts w:hint="eastAsia"/>
        </w:rPr>
        <w:t>，但是有通过名称几乎都可以辨认</w:t>
      </w:r>
      <w:r w:rsidR="005A12CD">
        <w:rPr>
          <w:rFonts w:hint="eastAsia"/>
        </w:rPr>
        <w:t>。</w:t>
      </w:r>
      <w:r w:rsidR="00F202C3">
        <w:rPr>
          <w:rFonts w:hint="eastAsia"/>
        </w:rPr>
        <w:t>其中一些标有</w:t>
      </w:r>
      <w:proofErr w:type="gramStart"/>
      <w:r w:rsidR="00F202C3">
        <w:t>”</w:t>
      </w:r>
      <w:proofErr w:type="gramEnd"/>
      <w:r w:rsidR="00F202C3">
        <w:t>preprocess</w:t>
      </w:r>
      <w:proofErr w:type="gramStart"/>
      <w:r w:rsidR="00F202C3">
        <w:t>”</w:t>
      </w:r>
      <w:proofErr w:type="gramEnd"/>
      <w:r w:rsidR="00F202C3">
        <w:t>字眼的文件</w:t>
      </w:r>
      <w:r w:rsidR="00F202C3">
        <w:rPr>
          <w:rFonts w:hint="eastAsia"/>
        </w:rPr>
        <w:t>，</w:t>
      </w:r>
      <w:r w:rsidR="00F202C3">
        <w:t>可以在</w:t>
      </w:r>
      <w:r w:rsidR="00F202C3">
        <w:rPr>
          <w:rFonts w:hint="eastAsia"/>
        </w:rPr>
        <w:t>Data-&gt;Full Samples Report</w:t>
      </w:r>
      <w:r w:rsidR="00F202C3">
        <w:rPr>
          <w:rFonts w:hint="eastAsia"/>
        </w:rPr>
        <w:t>中看到。</w:t>
      </w:r>
    </w:p>
    <w:p w:rsidR="005A12CD" w:rsidRDefault="005A12CD" w:rsidP="00D8764C">
      <w:pPr>
        <w:pStyle w:val="5"/>
      </w:pPr>
      <w:r>
        <w:t>Mutation</w:t>
      </w:r>
      <w:r>
        <w:t>数据</w:t>
      </w:r>
    </w:p>
    <w:p w:rsidR="001226F0" w:rsidRDefault="005A1016" w:rsidP="008F73BC">
      <w:r>
        <w:t>Level</w:t>
      </w:r>
      <w:r>
        <w:rPr>
          <w:rFonts w:hint="eastAsia"/>
        </w:rPr>
        <w:t>-</w:t>
      </w:r>
      <w:r>
        <w:t>3</w:t>
      </w:r>
      <w:r>
        <w:t>中有关</w:t>
      </w:r>
      <w:r>
        <w:t>mutation</w:t>
      </w:r>
      <w:r>
        <w:t>的数据有两个</w:t>
      </w:r>
      <w:r>
        <w:rPr>
          <w:rFonts w:hint="eastAsia"/>
        </w:rPr>
        <w:t>，</w:t>
      </w:r>
      <w:proofErr w:type="spellStart"/>
      <w:r w:rsidR="00EB2062">
        <w:t>maf</w:t>
      </w:r>
      <w:proofErr w:type="spellEnd"/>
      <w:r w:rsidR="00EB2062">
        <w:t>文件和</w:t>
      </w:r>
      <w:r w:rsidR="00EB2062">
        <w:t>wig</w:t>
      </w:r>
      <w:r w:rsidR="00EB2062">
        <w:t>文件</w:t>
      </w:r>
      <w:r w:rsidR="00EB2062">
        <w:rPr>
          <w:rFonts w:hint="eastAsia"/>
        </w:rPr>
        <w:t>。</w:t>
      </w:r>
      <w:proofErr w:type="spellStart"/>
      <w:r w:rsidR="00EB2062">
        <w:t>Maf</w:t>
      </w:r>
      <w:proofErr w:type="spellEnd"/>
      <w:r w:rsidR="00EB2062">
        <w:t>文件描述了每个病人</w:t>
      </w:r>
      <w:r w:rsidR="003F6E91">
        <w:t>call</w:t>
      </w:r>
      <w:r w:rsidR="003F6E91">
        <w:t>出来的</w:t>
      </w:r>
      <w:r w:rsidR="003F6E91">
        <w:t>mutation</w:t>
      </w:r>
      <w:r w:rsidR="003F6E91">
        <w:t>以及相应性质</w:t>
      </w:r>
      <w:r w:rsidR="003F6E91">
        <w:rPr>
          <w:rFonts w:hint="eastAsia"/>
        </w:rPr>
        <w:t>(</w:t>
      </w:r>
      <w:r w:rsidR="003F6E91">
        <w:t>properties</w:t>
      </w:r>
      <w:r w:rsidR="003F6E91">
        <w:rPr>
          <w:rFonts w:hint="eastAsia"/>
        </w:rPr>
        <w:t>)</w:t>
      </w:r>
      <w:r w:rsidR="007534C1">
        <w:rPr>
          <w:rFonts w:hint="eastAsia"/>
        </w:rPr>
        <w:t>，其</w:t>
      </w:r>
      <w:r w:rsidR="007534C1">
        <w:rPr>
          <w:rFonts w:hint="eastAsia"/>
        </w:rPr>
        <w:t>annotation</w:t>
      </w:r>
      <w:r w:rsidR="007534C1">
        <w:rPr>
          <w:rFonts w:hint="eastAsia"/>
        </w:rPr>
        <w:t>可在</w:t>
      </w:r>
      <w:r w:rsidR="007534C1">
        <w:fldChar w:fldCharType="begin"/>
      </w:r>
      <w:r w:rsidR="007534C1">
        <w:instrText xml:space="preserve"> HYPERLINK "</w:instrText>
      </w:r>
      <w:r w:rsidR="007534C1" w:rsidRPr="007534C1">
        <w:instrText>https://wiki.nci.nih.gov/display/TCGA/Mutation+Annotation+Format+%28MAF%29+Specification</w:instrText>
      </w:r>
      <w:r w:rsidR="007534C1">
        <w:instrText xml:space="preserve">" </w:instrText>
      </w:r>
      <w:r w:rsidR="007534C1">
        <w:fldChar w:fldCharType="separate"/>
      </w:r>
      <w:r w:rsidR="007534C1" w:rsidRPr="00A81605">
        <w:rPr>
          <w:rStyle w:val="a3"/>
        </w:rPr>
        <w:t>https://wiki.nci.nih.gov/display/TCGA/Mutation+Annotation+Format+%28MAF%29+Specification</w:t>
      </w:r>
      <w:r w:rsidR="007534C1">
        <w:fldChar w:fldCharType="end"/>
      </w:r>
      <w:r w:rsidR="007534C1">
        <w:t>中查到</w:t>
      </w:r>
      <w:r w:rsidR="003F6E91">
        <w:rPr>
          <w:rFonts w:hint="eastAsia"/>
        </w:rPr>
        <w:t>。</w:t>
      </w:r>
      <w:r w:rsidR="003F6E91">
        <w:rPr>
          <w:rFonts w:hint="eastAsia"/>
        </w:rPr>
        <w:t>Wig</w:t>
      </w:r>
      <w:r w:rsidR="004E7305">
        <w:t>gle</w:t>
      </w:r>
      <w:r w:rsidR="003F6E91">
        <w:rPr>
          <w:rFonts w:hint="eastAsia"/>
        </w:rPr>
        <w:t>文件</w:t>
      </w:r>
      <w:r w:rsidR="00DD5BFB">
        <w:rPr>
          <w:rFonts w:hint="eastAsia"/>
        </w:rPr>
        <w:t>描述了</w:t>
      </w:r>
      <w:r w:rsidR="006635F8">
        <w:rPr>
          <w:rFonts w:hint="eastAsia"/>
        </w:rPr>
        <w:t xml:space="preserve">dense, continuous data such as </w:t>
      </w:r>
      <w:r w:rsidR="006635F8">
        <w:t>sequence coverage</w:t>
      </w:r>
      <w:r w:rsidR="00DA72E2">
        <w:rPr>
          <w:rFonts w:hint="eastAsia"/>
        </w:rPr>
        <w:t>，可以参考</w:t>
      </w:r>
      <w:r w:rsidR="00DA72E2">
        <w:fldChar w:fldCharType="begin"/>
      </w:r>
      <w:r w:rsidR="00DA72E2">
        <w:instrText xml:space="preserve"> HYPERLINK "</w:instrText>
      </w:r>
      <w:r w:rsidR="00DA72E2" w:rsidRPr="00DA72E2">
        <w:instrText>https://wiki.nci.nih.gov/display/TCGA/Wiggle+format</w:instrText>
      </w:r>
      <w:r w:rsidR="00DA72E2">
        <w:instrText xml:space="preserve">" </w:instrText>
      </w:r>
      <w:r w:rsidR="00DA72E2">
        <w:fldChar w:fldCharType="separate"/>
      </w:r>
      <w:r w:rsidR="00DA72E2" w:rsidRPr="00A81605">
        <w:rPr>
          <w:rStyle w:val="a3"/>
        </w:rPr>
        <w:t>https://wiki.nci.nih.gov/display/TCGA/Wiggle+format</w:t>
      </w:r>
      <w:r w:rsidR="00DA72E2">
        <w:fldChar w:fldCharType="end"/>
      </w:r>
    </w:p>
    <w:p w:rsidR="00B90062" w:rsidRDefault="00B90062" w:rsidP="008F73BC">
      <w:hyperlink r:id="rId22" w:history="1">
        <w:r w:rsidRPr="00A81605">
          <w:rPr>
            <w:rStyle w:val="a3"/>
          </w:rPr>
          <w:t>http://en.wikipedia.org/wiki/Deep_sequencing</w:t>
        </w:r>
      </w:hyperlink>
    </w:p>
    <w:p w:rsidR="005A1016" w:rsidRPr="008F73BC" w:rsidRDefault="00DA72E2" w:rsidP="008F73BC">
      <w:r>
        <w:t>和</w:t>
      </w:r>
      <w:r>
        <w:fldChar w:fldCharType="begin"/>
      </w:r>
      <w:r>
        <w:instrText xml:space="preserve"> HYPERLINK "</w:instrText>
      </w:r>
      <w:r w:rsidRPr="00DA72E2">
        <w:instrText>https://wiki.nci.nih.gov/display/TCGA/Wiggle+Format+Specification#WiggleFormatSpecification-Wiggle(WIG)filespecification</w:instrText>
      </w:r>
      <w:r>
        <w:instrText xml:space="preserve">" </w:instrText>
      </w:r>
      <w:r>
        <w:fldChar w:fldCharType="separate"/>
      </w:r>
      <w:r w:rsidRPr="00A81605">
        <w:rPr>
          <w:rStyle w:val="a3"/>
        </w:rPr>
        <w:t>https://wiki.nci</w:t>
      </w:r>
      <w:bookmarkStart w:id="0" w:name="_GoBack"/>
      <w:bookmarkEnd w:id="0"/>
      <w:r w:rsidRPr="00A81605">
        <w:rPr>
          <w:rStyle w:val="a3"/>
        </w:rPr>
        <w:t>.nih.gov/display/TCGA/Wiggle+Format+Specification#WiggleFormatSpecification-</w:t>
      </w:r>
      <w:r w:rsidRPr="00A81605">
        <w:rPr>
          <w:rStyle w:val="a3"/>
        </w:rPr>
        <w:lastRenderedPageBreak/>
        <w:t>Wiggle(WIG)filespecification</w:t>
      </w:r>
      <w:r>
        <w:fldChar w:fldCharType="end"/>
      </w:r>
      <w:r>
        <w:rPr>
          <w:rFonts w:hint="eastAsia"/>
        </w:rPr>
        <w:t>。</w:t>
      </w:r>
    </w:p>
    <w:p w:rsidR="00D8764C" w:rsidRDefault="00D8764C" w:rsidP="00210A46">
      <w:pPr>
        <w:pStyle w:val="5"/>
      </w:pPr>
      <w:r>
        <w:t>DNA</w:t>
      </w:r>
      <w:r>
        <w:t>甲基化数据</w:t>
      </w:r>
    </w:p>
    <w:p w:rsidR="00A564B2" w:rsidRPr="00A564B2" w:rsidRDefault="002156BE" w:rsidP="00A564B2">
      <w:r>
        <w:rPr>
          <w:rFonts w:hint="eastAsia"/>
        </w:rPr>
        <w:t>预处理后的甲基</w:t>
      </w:r>
      <w:proofErr w:type="gramStart"/>
      <w:r>
        <w:rPr>
          <w:rFonts w:hint="eastAsia"/>
        </w:rPr>
        <w:t>化数据</w:t>
      </w:r>
      <w:proofErr w:type="gramEnd"/>
      <w:r>
        <w:rPr>
          <w:rFonts w:hint="eastAsia"/>
        </w:rPr>
        <w:t>在上文已经描述过。</w:t>
      </w:r>
    </w:p>
    <w:p w:rsidR="00F4770C" w:rsidRDefault="00210A46" w:rsidP="00226534">
      <w:pPr>
        <w:pStyle w:val="5"/>
      </w:pPr>
      <w:r>
        <w:t>CNV</w:t>
      </w:r>
      <w:r>
        <w:t>数据</w:t>
      </w:r>
    </w:p>
    <w:p w:rsidR="00AD08CE" w:rsidRPr="00AD08CE" w:rsidRDefault="00AD08CE" w:rsidP="00AD08CE">
      <w:r>
        <w:t>Level</w:t>
      </w:r>
      <w:r>
        <w:rPr>
          <w:rFonts w:hint="eastAsia"/>
        </w:rPr>
        <w:t>-</w:t>
      </w:r>
      <w:r>
        <w:t>3</w:t>
      </w:r>
      <w:r>
        <w:t>都是</w:t>
      </w:r>
      <w:r>
        <w:rPr>
          <w:rFonts w:hint="eastAsia"/>
        </w:rPr>
        <w:t>segmented data</w:t>
      </w:r>
      <w:r>
        <w:rPr>
          <w:rFonts w:hint="eastAsia"/>
        </w:rPr>
        <w:t>，那么这些</w:t>
      </w:r>
      <w:r>
        <w:rPr>
          <w:rFonts w:hint="eastAsia"/>
        </w:rPr>
        <w:t>data</w:t>
      </w:r>
      <w:r>
        <w:rPr>
          <w:rFonts w:hint="eastAsia"/>
        </w:rPr>
        <w:t>是如何计算得到的？</w:t>
      </w:r>
    </w:p>
    <w:p w:rsidR="000B4111" w:rsidRDefault="000B4111" w:rsidP="000B4111">
      <w:pPr>
        <w:pStyle w:val="5"/>
      </w:pPr>
      <w:r>
        <w:t>RNA</w:t>
      </w:r>
      <w:r>
        <w:rPr>
          <w:rFonts w:hint="eastAsia"/>
        </w:rPr>
        <w:t>-</w:t>
      </w:r>
      <w:proofErr w:type="spellStart"/>
      <w:r>
        <w:t>Seq</w:t>
      </w:r>
      <w:proofErr w:type="spellEnd"/>
      <w:r>
        <w:t>数据</w:t>
      </w:r>
    </w:p>
    <w:p w:rsidR="006129F3" w:rsidRPr="006129F3" w:rsidRDefault="006129F3" w:rsidP="006129F3">
      <w:proofErr w:type="spellStart"/>
      <w:r>
        <w:rPr>
          <w:rFonts w:hint="eastAsia"/>
        </w:rPr>
        <w:t>Illumina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HiSeq</w:t>
      </w:r>
      <w:proofErr w:type="spellEnd"/>
      <w:r>
        <w:rPr>
          <w:rFonts w:hint="eastAsia"/>
        </w:rPr>
        <w:t>/GA</w:t>
      </w:r>
      <w:r>
        <w:rPr>
          <w:rFonts w:hint="eastAsia"/>
        </w:rPr>
        <w:t>两个平台经常被拿到一起用，那么是否可以一起用？</w:t>
      </w:r>
    </w:p>
    <w:p w:rsidR="000B4111" w:rsidRDefault="000B4111" w:rsidP="000B4111">
      <w:pPr>
        <w:pStyle w:val="5"/>
      </w:pPr>
      <w:r>
        <w:t>miRNA</w:t>
      </w:r>
      <w:r>
        <w:rPr>
          <w:rFonts w:hint="eastAsia"/>
        </w:rPr>
        <w:t>-</w:t>
      </w:r>
      <w:proofErr w:type="spellStart"/>
      <w:r>
        <w:t>Seq</w:t>
      </w:r>
      <w:proofErr w:type="spellEnd"/>
      <w:r>
        <w:t>数据</w:t>
      </w:r>
    </w:p>
    <w:p w:rsidR="0099282B" w:rsidRPr="0099282B" w:rsidRDefault="0099282B" w:rsidP="0099282B">
      <w:proofErr w:type="spellStart"/>
      <w:r>
        <w:t>Illunima</w:t>
      </w:r>
      <w:proofErr w:type="spellEnd"/>
      <w:r>
        <w:t xml:space="preserve"> </w:t>
      </w:r>
      <w:proofErr w:type="spellStart"/>
      <w:r>
        <w:t>Hiseq</w:t>
      </w:r>
      <w:proofErr w:type="spellEnd"/>
      <w:r>
        <w:t>/GA</w:t>
      </w:r>
      <w:r>
        <w:t>两个平台</w:t>
      </w:r>
      <w:r>
        <w:rPr>
          <w:rFonts w:hint="eastAsia"/>
        </w:rPr>
        <w:t>，</w:t>
      </w:r>
      <w:r>
        <w:t>是否可以融合一起来使用</w:t>
      </w:r>
      <w:r>
        <w:rPr>
          <w:rFonts w:hint="eastAsia"/>
        </w:rPr>
        <w:t>？</w:t>
      </w:r>
      <w:r w:rsidR="00244620">
        <w:rPr>
          <w:rFonts w:hint="eastAsia"/>
        </w:rPr>
        <w:t>机器的区别在于</w:t>
      </w:r>
      <w:r w:rsidR="00244620">
        <w:rPr>
          <w:rFonts w:hint="eastAsia"/>
        </w:rPr>
        <w:t>reads</w:t>
      </w:r>
      <w:r w:rsidR="00244620">
        <w:rPr>
          <w:rFonts w:hint="eastAsia"/>
        </w:rPr>
        <w:t>长度、测序深度等吧？</w:t>
      </w:r>
    </w:p>
    <w:p w:rsidR="003A7C68" w:rsidRDefault="000B4111" w:rsidP="005701B5">
      <w:pPr>
        <w:pStyle w:val="5"/>
      </w:pPr>
      <w:r>
        <w:t>mRNA</w:t>
      </w:r>
      <w:r>
        <w:t>表达数据</w:t>
      </w:r>
    </w:p>
    <w:p w:rsidR="005701B5" w:rsidRPr="005701B5" w:rsidRDefault="00290ADC" w:rsidP="005701B5">
      <w:r>
        <w:rPr>
          <w:rFonts w:hint="eastAsia"/>
        </w:rPr>
        <w:t>有多个平台，</w:t>
      </w:r>
      <w:r w:rsidR="009205B7">
        <w:rPr>
          <w:rFonts w:hint="eastAsia"/>
        </w:rPr>
        <w:t>各个平台之间有不同，测量的信号应该也用不同的</w:t>
      </w:r>
      <w:r w:rsidR="009205B7">
        <w:rPr>
          <w:rFonts w:hint="eastAsia"/>
        </w:rPr>
        <w:t xml:space="preserve"> </w:t>
      </w:r>
      <w:r w:rsidR="009205B7">
        <w:rPr>
          <w:rFonts w:hint="eastAsia"/>
        </w:rPr>
        <w:t>数学公式来表达？</w:t>
      </w:r>
    </w:p>
    <w:p w:rsidR="00567AFE" w:rsidRDefault="00567AFE" w:rsidP="00567AFE">
      <w:pPr>
        <w:pStyle w:val="5"/>
      </w:pPr>
      <w:r>
        <w:rPr>
          <w:rFonts w:hint="eastAsia"/>
        </w:rPr>
        <w:t>clinical</w:t>
      </w:r>
      <w:r>
        <w:rPr>
          <w:rFonts w:hint="eastAsia"/>
        </w:rPr>
        <w:t>信息</w:t>
      </w:r>
      <w:r w:rsidR="0075713A">
        <w:rPr>
          <w:rFonts w:hint="eastAsia"/>
        </w:rPr>
        <w:t>(</w:t>
      </w:r>
      <w:r w:rsidR="0075713A">
        <w:t>level-1&amp;2</w:t>
      </w:r>
      <w:r w:rsidR="0075713A">
        <w:rPr>
          <w:rFonts w:hint="eastAsia"/>
        </w:rPr>
        <w:t>)</w:t>
      </w:r>
    </w:p>
    <w:p w:rsidR="00845F77" w:rsidRPr="00BE1D73" w:rsidRDefault="00477C26" w:rsidP="00A74269">
      <w:r>
        <w:t>首先</w:t>
      </w:r>
      <w:r>
        <w:rPr>
          <w:rFonts w:hint="eastAsia"/>
        </w:rPr>
        <w:t>，</w:t>
      </w:r>
      <w:r>
        <w:t>clinical data</w:t>
      </w:r>
      <w:r>
        <w:t>包括</w:t>
      </w:r>
      <w:r>
        <w:rPr>
          <w:rFonts w:hint="eastAsia"/>
        </w:rPr>
        <w:t>clinical data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bio</w:t>
      </w:r>
      <w:r>
        <w:t>speciman</w:t>
      </w:r>
      <w:proofErr w:type="spellEnd"/>
      <w:r>
        <w:t xml:space="preserve"> data</w:t>
      </w:r>
      <w:r>
        <w:rPr>
          <w:rFonts w:hint="eastAsia"/>
        </w:rPr>
        <w:t>。</w:t>
      </w:r>
      <w:r w:rsidR="002F408F">
        <w:t>其中</w:t>
      </w:r>
      <w:r w:rsidR="002F408F">
        <w:rPr>
          <w:rFonts w:hint="eastAsia"/>
        </w:rPr>
        <w:t>，</w:t>
      </w:r>
      <w:r w:rsidR="002F408F">
        <w:t>clinical data</w:t>
      </w:r>
      <w:r w:rsidR="002F408F">
        <w:t>主要包括病人的人口统计信息</w:t>
      </w:r>
      <w:r w:rsidR="002F408F">
        <w:rPr>
          <w:rFonts w:hint="eastAsia"/>
        </w:rPr>
        <w:t>(</w:t>
      </w:r>
      <w:r w:rsidR="002F408F">
        <w:t>demographic information</w:t>
      </w:r>
      <w:r w:rsidR="002F408F">
        <w:rPr>
          <w:rFonts w:hint="eastAsia"/>
        </w:rPr>
        <w:t>)</w:t>
      </w:r>
      <w:r w:rsidR="002F408F">
        <w:rPr>
          <w:rFonts w:hint="eastAsia"/>
        </w:rPr>
        <w:t>、治疗信息</w:t>
      </w:r>
      <w:r w:rsidR="002F408F">
        <w:rPr>
          <w:rFonts w:hint="eastAsia"/>
        </w:rPr>
        <w:t>(</w:t>
      </w:r>
      <w:r w:rsidR="002F408F">
        <w:t>treatment information</w:t>
      </w:r>
      <w:r w:rsidR="002F408F">
        <w:rPr>
          <w:rFonts w:hint="eastAsia"/>
        </w:rPr>
        <w:t>)</w:t>
      </w:r>
      <w:r w:rsidR="002F408F">
        <w:rPr>
          <w:rFonts w:hint="eastAsia"/>
        </w:rPr>
        <w:t>和生存信息</w:t>
      </w:r>
      <w:r w:rsidR="002F408F">
        <w:rPr>
          <w:rFonts w:hint="eastAsia"/>
        </w:rPr>
        <w:t>(</w:t>
      </w:r>
      <w:r w:rsidR="002F408F">
        <w:t>survival data</w:t>
      </w:r>
      <w:r w:rsidR="002F408F">
        <w:rPr>
          <w:rFonts w:hint="eastAsia"/>
        </w:rPr>
        <w:t>)</w:t>
      </w:r>
      <w:r w:rsidR="002F408F">
        <w:rPr>
          <w:rFonts w:hint="eastAsia"/>
        </w:rPr>
        <w:t>等</w:t>
      </w:r>
      <w:r w:rsidR="00FD0906">
        <w:rPr>
          <w:rFonts w:hint="eastAsia"/>
        </w:rPr>
        <w:t>；</w:t>
      </w:r>
      <w:proofErr w:type="spellStart"/>
      <w:r w:rsidR="00F10FD8">
        <w:rPr>
          <w:rFonts w:hint="eastAsia"/>
        </w:rPr>
        <w:t>biospecimen</w:t>
      </w:r>
      <w:proofErr w:type="spellEnd"/>
      <w:r w:rsidR="00F10FD8">
        <w:t xml:space="preserve"> data</w:t>
      </w:r>
      <w:r w:rsidR="00F10FD8">
        <w:t>主要描述了</w:t>
      </w:r>
      <w:r w:rsidR="00BE1D73">
        <w:t>从病人得到的组织样本是如何被</w:t>
      </w:r>
      <w:proofErr w:type="spellStart"/>
      <w:r w:rsidR="00BE1D73">
        <w:rPr>
          <w:rFonts w:hint="eastAsia"/>
        </w:rPr>
        <w:t>Biospeciman</w:t>
      </w:r>
      <w:proofErr w:type="spellEnd"/>
      <w:r w:rsidR="00BE1D73">
        <w:rPr>
          <w:rFonts w:hint="eastAsia"/>
        </w:rPr>
        <w:t xml:space="preserve"> </w:t>
      </w:r>
      <w:r w:rsidR="00BE1D73">
        <w:t>core resource center(BCR)</w:t>
      </w:r>
      <w:r w:rsidR="00BE1D73">
        <w:t>处理的</w:t>
      </w:r>
      <w:r w:rsidR="00BE1D73">
        <w:rPr>
          <w:rFonts w:hint="eastAsia"/>
        </w:rPr>
        <w:t>。</w:t>
      </w:r>
    </w:p>
    <w:p w:rsidR="00D0501F" w:rsidRPr="00273754" w:rsidRDefault="00845F77" w:rsidP="00A74269">
      <w:r>
        <w:t>根据</w:t>
      </w:r>
      <w:r>
        <w:rPr>
          <w:rFonts w:hint="eastAsia"/>
        </w:rPr>
        <w:t xml:space="preserve">Data levels and </w:t>
      </w:r>
      <w:r>
        <w:t>Data types</w:t>
      </w:r>
      <w:r>
        <w:t>可以知道</w:t>
      </w:r>
      <w:r>
        <w:rPr>
          <w:rFonts w:hint="eastAsia"/>
        </w:rPr>
        <w:t>，</w:t>
      </w:r>
      <w:r w:rsidR="00BC0C3C">
        <w:rPr>
          <w:rFonts w:hint="eastAsia"/>
        </w:rPr>
        <w:t>Clinical</w:t>
      </w:r>
      <w:r w:rsidR="00EA6248">
        <w:t xml:space="preserve"> data</w:t>
      </w:r>
      <w:r w:rsidR="00EA6248">
        <w:t>主要包括</w:t>
      </w:r>
      <w:proofErr w:type="spellStart"/>
      <w:r w:rsidR="002B5703">
        <w:rPr>
          <w:rFonts w:hint="eastAsia"/>
        </w:rPr>
        <w:t>biotab</w:t>
      </w:r>
      <w:proofErr w:type="spellEnd"/>
      <w:r w:rsidR="002B5703">
        <w:rPr>
          <w:rFonts w:hint="eastAsia"/>
        </w:rPr>
        <w:t>(</w:t>
      </w:r>
      <w:r w:rsidR="00EA5ACE">
        <w:rPr>
          <w:rFonts w:hint="eastAsia"/>
        </w:rPr>
        <w:t>level-2</w:t>
      </w:r>
      <w:r w:rsidR="002B5703">
        <w:rPr>
          <w:rFonts w:hint="eastAsia"/>
        </w:rPr>
        <w:t>)</w:t>
      </w:r>
      <w:r w:rsidR="002B5703">
        <w:rPr>
          <w:rFonts w:hint="eastAsia"/>
        </w:rPr>
        <w:t>临床信息</w:t>
      </w:r>
      <w:r w:rsidR="00EA6248">
        <w:rPr>
          <w:rFonts w:hint="eastAsia"/>
        </w:rPr>
        <w:t>，</w:t>
      </w:r>
      <w:r w:rsidR="00E4396F">
        <w:rPr>
          <w:rFonts w:hint="eastAsia"/>
        </w:rPr>
        <w:t>每个病人单独显示的信息</w:t>
      </w:r>
      <w:r w:rsidR="00E4396F">
        <w:rPr>
          <w:rFonts w:hint="eastAsia"/>
        </w:rPr>
        <w:t>xml</w:t>
      </w:r>
      <w:r w:rsidR="0075713A">
        <w:t>(level-1)</w:t>
      </w:r>
      <w:r w:rsidR="00EA6248">
        <w:rPr>
          <w:rFonts w:hint="eastAsia"/>
        </w:rPr>
        <w:t>，</w:t>
      </w:r>
      <w:r w:rsidR="00EA6248">
        <w:t>一些病人有</w:t>
      </w:r>
      <w:r w:rsidR="00477C26">
        <w:rPr>
          <w:rFonts w:hint="eastAsia"/>
        </w:rPr>
        <w:t>pathological reports</w:t>
      </w:r>
      <w:r w:rsidR="00E4396F">
        <w:rPr>
          <w:rFonts w:hint="eastAsia"/>
        </w:rPr>
        <w:t>。</w:t>
      </w:r>
      <w:r w:rsidR="00FE4298">
        <w:rPr>
          <w:rFonts w:hint="eastAsia"/>
        </w:rPr>
        <w:t>我们选择</w:t>
      </w:r>
      <w:proofErr w:type="spellStart"/>
      <w:r w:rsidR="00FE4298">
        <w:rPr>
          <w:rFonts w:hint="eastAsia"/>
        </w:rPr>
        <w:t>biotab</w:t>
      </w:r>
      <w:proofErr w:type="spellEnd"/>
      <w:r w:rsidR="00FE4298">
        <w:rPr>
          <w:rFonts w:hint="eastAsia"/>
        </w:rPr>
        <w:t>格式</w:t>
      </w:r>
      <w:r w:rsidR="005D7CC1">
        <w:rPr>
          <w:rFonts w:hint="eastAsia"/>
        </w:rPr>
        <w:t>进行研究，并选择其中较为重要的词条</w:t>
      </w:r>
      <w:r w:rsidR="005D7CC1">
        <w:rPr>
          <w:rFonts w:hint="eastAsia"/>
        </w:rPr>
        <w:t>(</w:t>
      </w:r>
      <w:r w:rsidR="005D7CC1">
        <w:t>CDE term</w:t>
      </w:r>
      <w:r w:rsidR="005D7CC1">
        <w:rPr>
          <w:rFonts w:hint="eastAsia"/>
        </w:rPr>
        <w:t>)</w:t>
      </w:r>
      <w:r w:rsidR="005D7CC1">
        <w:rPr>
          <w:rFonts w:hint="eastAsia"/>
        </w:rPr>
        <w:t>作为备选。</w:t>
      </w:r>
      <w:proofErr w:type="spellStart"/>
      <w:r w:rsidR="0064514E">
        <w:t>B</w:t>
      </w:r>
      <w:r w:rsidR="0064514E">
        <w:rPr>
          <w:rFonts w:hint="eastAsia"/>
        </w:rPr>
        <w:t>iotab</w:t>
      </w:r>
      <w:proofErr w:type="spellEnd"/>
      <w:r w:rsidR="00076078">
        <w:rPr>
          <w:rFonts w:hint="eastAsia"/>
        </w:rPr>
        <w:t>文件分成两类</w:t>
      </w:r>
      <w:r w:rsidR="00B95B4F">
        <w:rPr>
          <w:rFonts w:hint="eastAsia"/>
        </w:rPr>
        <w:t>，分别以</w:t>
      </w:r>
      <w:proofErr w:type="spellStart"/>
      <w:r w:rsidR="00B95B4F">
        <w:rPr>
          <w:rFonts w:hint="eastAsia"/>
        </w:rPr>
        <w:t>biospeciman</w:t>
      </w:r>
      <w:proofErr w:type="spellEnd"/>
      <w:r w:rsidR="00B95B4F">
        <w:rPr>
          <w:rFonts w:hint="eastAsia"/>
        </w:rPr>
        <w:t>和</w:t>
      </w:r>
      <w:r w:rsidR="009F30CE">
        <w:rPr>
          <w:rFonts w:hint="eastAsia"/>
        </w:rPr>
        <w:t>clinical</w:t>
      </w:r>
      <w:r w:rsidR="009F30CE">
        <w:rPr>
          <w:rFonts w:hint="eastAsia"/>
        </w:rPr>
        <w:t>作为关键字。</w:t>
      </w:r>
      <w:proofErr w:type="spellStart"/>
      <w:r w:rsidR="007F2D37">
        <w:rPr>
          <w:rFonts w:hint="eastAsia"/>
        </w:rPr>
        <w:t>Biospeciman</w:t>
      </w:r>
      <w:proofErr w:type="spellEnd"/>
      <w:r w:rsidR="007F2D37">
        <w:rPr>
          <w:rFonts w:hint="eastAsia"/>
        </w:rPr>
        <w:t>关键字文件有</w:t>
      </w:r>
      <w:r w:rsidR="007F2D37">
        <w:rPr>
          <w:rFonts w:hint="eastAsia"/>
        </w:rPr>
        <w:t>11</w:t>
      </w:r>
      <w:r w:rsidR="007F2D37">
        <w:rPr>
          <w:rFonts w:hint="eastAsia"/>
        </w:rPr>
        <w:t>个，分别以</w:t>
      </w:r>
      <w:r w:rsidR="007F2D37">
        <w:rPr>
          <w:rFonts w:hint="eastAsia"/>
        </w:rPr>
        <w:t xml:space="preserve">aliquot, </w:t>
      </w:r>
      <w:proofErr w:type="spellStart"/>
      <w:r w:rsidR="007F2D37">
        <w:t>analyte</w:t>
      </w:r>
      <w:proofErr w:type="spellEnd"/>
      <w:r w:rsidR="007F2D37">
        <w:t xml:space="preserve">, </w:t>
      </w:r>
      <w:proofErr w:type="spellStart"/>
      <w:r w:rsidR="007F2D37">
        <w:t>cqcf</w:t>
      </w:r>
      <w:proofErr w:type="spellEnd"/>
      <w:r w:rsidR="007F2D37">
        <w:t xml:space="preserve">, </w:t>
      </w:r>
      <w:proofErr w:type="spellStart"/>
      <w:r w:rsidR="007F2D37">
        <w:t>diagnostic_slides</w:t>
      </w:r>
      <w:proofErr w:type="spellEnd"/>
      <w:r w:rsidR="007F2D37">
        <w:t xml:space="preserve">, </w:t>
      </w:r>
      <w:proofErr w:type="spellStart"/>
      <w:r w:rsidR="007F2D37">
        <w:t>normal_control</w:t>
      </w:r>
      <w:proofErr w:type="spellEnd"/>
      <w:r w:rsidR="007F2D37">
        <w:t xml:space="preserve">, portion, protocol, sample, </w:t>
      </w:r>
      <w:proofErr w:type="spellStart"/>
      <w:r w:rsidR="007F2D37">
        <w:t>shipment_portion</w:t>
      </w:r>
      <w:proofErr w:type="spellEnd"/>
      <w:r w:rsidR="007F2D37">
        <w:t>, slide</w:t>
      </w:r>
      <w:r w:rsidR="007F2D37">
        <w:t>和</w:t>
      </w:r>
      <w:r w:rsidR="007F2D37">
        <w:rPr>
          <w:rFonts w:hint="eastAsia"/>
        </w:rPr>
        <w:t>tumor sample</w:t>
      </w:r>
      <w:r w:rsidR="004801E3">
        <w:rPr>
          <w:rFonts w:hint="eastAsia"/>
        </w:rPr>
        <w:t>；</w:t>
      </w:r>
      <w:r w:rsidR="004801E3">
        <w:rPr>
          <w:rFonts w:hint="eastAsia"/>
        </w:rPr>
        <w:t>clinical</w:t>
      </w:r>
      <w:r w:rsidR="004801E3">
        <w:rPr>
          <w:rFonts w:hint="eastAsia"/>
        </w:rPr>
        <w:t>关键字文件一般有</w:t>
      </w:r>
      <w:r w:rsidR="004801E3">
        <w:rPr>
          <w:rFonts w:hint="eastAsia"/>
        </w:rPr>
        <w:t>8</w:t>
      </w:r>
      <w:r w:rsidR="004801E3">
        <w:rPr>
          <w:rFonts w:hint="eastAsia"/>
        </w:rPr>
        <w:t>个，分别是</w:t>
      </w:r>
      <w:proofErr w:type="spellStart"/>
      <w:r w:rsidR="004801E3">
        <w:rPr>
          <w:rFonts w:hint="eastAsia"/>
        </w:rPr>
        <w:t>cqcf</w:t>
      </w:r>
      <w:proofErr w:type="spellEnd"/>
      <w:r w:rsidR="004801E3">
        <w:rPr>
          <w:rFonts w:hint="eastAsia"/>
        </w:rPr>
        <w:t xml:space="preserve">, </w:t>
      </w:r>
      <w:r w:rsidR="004801E3">
        <w:t xml:space="preserve">drug, follow_up_v4.0, follow_up_v4.0_nte, </w:t>
      </w:r>
      <w:proofErr w:type="spellStart"/>
      <w:r w:rsidR="004801E3">
        <w:t>nte</w:t>
      </w:r>
      <w:proofErr w:type="spellEnd"/>
      <w:r w:rsidR="004801E3">
        <w:t>, omf_v4.0, patient</w:t>
      </w:r>
      <w:r w:rsidR="004801E3">
        <w:t>和</w:t>
      </w:r>
      <w:r w:rsidR="004801E3">
        <w:rPr>
          <w:rFonts w:hint="eastAsia"/>
        </w:rPr>
        <w:t>radiation</w:t>
      </w:r>
      <w:r w:rsidR="004801E3">
        <w:rPr>
          <w:rFonts w:hint="eastAsia"/>
        </w:rPr>
        <w:t>。</w:t>
      </w:r>
      <w:r w:rsidR="00413B6B">
        <w:t>下面就按照这两大类关键字中相应文件介绍</w:t>
      </w:r>
      <w:r w:rsidR="00413B6B">
        <w:rPr>
          <w:rFonts w:hint="eastAsia"/>
        </w:rPr>
        <w:t>。</w:t>
      </w:r>
      <w:r w:rsidR="00413B6B">
        <w:t>在介绍之前</w:t>
      </w:r>
      <w:r w:rsidR="00413B6B">
        <w:rPr>
          <w:rFonts w:hint="eastAsia"/>
        </w:rPr>
        <w:t>，</w:t>
      </w:r>
      <w:r w:rsidR="00413B6B">
        <w:t>有必要了解</w:t>
      </w:r>
      <w:r w:rsidR="00B963CB">
        <w:t>我们应以哪种方式理解</w:t>
      </w:r>
      <w:r w:rsidR="00EC1BFD">
        <w:t>clinical</w:t>
      </w:r>
      <w:r w:rsidR="00EC1BFD">
        <w:t>信息</w:t>
      </w:r>
      <w:r w:rsidR="00EC1BFD">
        <w:rPr>
          <w:rFonts w:hint="eastAsia"/>
        </w:rPr>
        <w:t>。</w:t>
      </w:r>
      <w:r w:rsidR="00DC7F78">
        <w:rPr>
          <w:rFonts w:hint="eastAsia"/>
        </w:rPr>
        <w:t>在观察</w:t>
      </w:r>
      <w:proofErr w:type="spellStart"/>
      <w:r w:rsidR="00DC7F78">
        <w:rPr>
          <w:rFonts w:hint="eastAsia"/>
        </w:rPr>
        <w:t>biotab</w:t>
      </w:r>
      <w:proofErr w:type="spellEnd"/>
      <w:r w:rsidR="00DC7F78">
        <w:rPr>
          <w:rFonts w:hint="eastAsia"/>
        </w:rPr>
        <w:t>文件时，每个</w:t>
      </w:r>
      <w:r w:rsidR="00DC7F78">
        <w:rPr>
          <w:rFonts w:hint="eastAsia"/>
        </w:rPr>
        <w:t>term</w:t>
      </w:r>
      <w:r w:rsidR="00332C88">
        <w:rPr>
          <w:rFonts w:hint="eastAsia"/>
        </w:rPr>
        <w:t>一般来说对应一个</w:t>
      </w:r>
      <w:r w:rsidR="00332C88">
        <w:rPr>
          <w:rFonts w:hint="eastAsia"/>
        </w:rPr>
        <w:t>CDE</w:t>
      </w:r>
      <w:r w:rsidR="00332C88">
        <w:rPr>
          <w:rFonts w:hint="eastAsia"/>
        </w:rPr>
        <w:t>的</w:t>
      </w:r>
      <w:r w:rsidR="00332C88">
        <w:rPr>
          <w:rFonts w:hint="eastAsia"/>
        </w:rPr>
        <w:t>ID</w:t>
      </w:r>
      <w:r w:rsidR="00332C88">
        <w:rPr>
          <w:rFonts w:hint="eastAsia"/>
        </w:rPr>
        <w:t>，有两个资源可以用于理解该</w:t>
      </w:r>
      <w:r w:rsidR="00332C88">
        <w:rPr>
          <w:rFonts w:hint="eastAsia"/>
        </w:rPr>
        <w:t>term</w:t>
      </w:r>
      <w:r w:rsidR="00273754">
        <w:rPr>
          <w:rFonts w:hint="eastAsia"/>
        </w:rPr>
        <w:t>具体含义。</w:t>
      </w:r>
    </w:p>
    <w:p w:rsidR="0075713A" w:rsidRDefault="007457C4" w:rsidP="007457C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BCR</w:t>
      </w:r>
      <w:r>
        <w:t xml:space="preserve"> data dictionary</w:t>
      </w:r>
    </w:p>
    <w:p w:rsidR="00A42C3E" w:rsidRDefault="00B90062" w:rsidP="00A42C3E">
      <w:pPr>
        <w:pStyle w:val="a4"/>
        <w:ind w:left="360" w:firstLineChars="0" w:firstLine="0"/>
      </w:pPr>
      <w:hyperlink r:id="rId23" w:history="1">
        <w:r w:rsidR="00A42C3E" w:rsidRPr="004A5A27">
          <w:rPr>
            <w:rStyle w:val="a3"/>
          </w:rPr>
          <w:t>https://tcga-data.nci.nih.gov/docs/dictionary/</w:t>
        </w:r>
      </w:hyperlink>
    </w:p>
    <w:p w:rsidR="00A42C3E" w:rsidRDefault="00A42C3E" w:rsidP="00A42C3E">
      <w:pPr>
        <w:pStyle w:val="a4"/>
        <w:ind w:left="360" w:firstLineChars="0" w:firstLine="0"/>
      </w:pPr>
      <w:r>
        <w:lastRenderedPageBreak/>
        <w:t>其中描述了当前</w:t>
      </w:r>
      <w:r>
        <w:t>clinical data</w:t>
      </w:r>
      <w:r>
        <w:t>中已经有的所有</w:t>
      </w:r>
      <w:r>
        <w:rPr>
          <w:rFonts w:hint="eastAsia"/>
        </w:rPr>
        <w:t>term</w:t>
      </w:r>
      <w:r>
        <w:rPr>
          <w:rFonts w:hint="eastAsia"/>
        </w:rPr>
        <w:t>所指含义</w:t>
      </w:r>
    </w:p>
    <w:p w:rsidR="007457C4" w:rsidRDefault="007457C4" w:rsidP="007457C4">
      <w:pPr>
        <w:pStyle w:val="a4"/>
        <w:numPr>
          <w:ilvl w:val="0"/>
          <w:numId w:val="3"/>
        </w:numPr>
        <w:ind w:firstLineChars="0"/>
      </w:pPr>
      <w:r>
        <w:t>Clinical Data Elements (CDE) browser</w:t>
      </w:r>
    </w:p>
    <w:p w:rsidR="00076F5C" w:rsidRDefault="00B90062" w:rsidP="00076F5C">
      <w:pPr>
        <w:pStyle w:val="a4"/>
        <w:ind w:left="360" w:firstLineChars="0" w:firstLine="0"/>
      </w:pPr>
      <w:hyperlink r:id="rId24" w:history="1">
        <w:r w:rsidR="00076F5C" w:rsidRPr="004A5A27">
          <w:rPr>
            <w:rStyle w:val="a3"/>
          </w:rPr>
          <w:t>https://cdebrowser.nci.nih.gov/CDEBrowser/</w:t>
        </w:r>
      </w:hyperlink>
    </w:p>
    <w:p w:rsidR="00076F5C" w:rsidRDefault="00076F5C" w:rsidP="00076F5C">
      <w:pPr>
        <w:pStyle w:val="a4"/>
        <w:ind w:left="360" w:firstLineChars="0" w:firstLine="0"/>
      </w:pPr>
      <w:r>
        <w:t>包含</w:t>
      </w:r>
      <w:r>
        <w:t>TCGA</w:t>
      </w:r>
      <w:r>
        <w:t>中还尚未包括的</w:t>
      </w:r>
      <w:r>
        <w:t>term</w:t>
      </w:r>
      <w:r>
        <w:t>所指含义</w:t>
      </w:r>
      <w:r>
        <w:rPr>
          <w:rFonts w:hint="eastAsia"/>
        </w:rPr>
        <w:t>。</w:t>
      </w:r>
    </w:p>
    <w:p w:rsidR="00DC7F78" w:rsidRPr="00076F5C" w:rsidRDefault="002060E0" w:rsidP="00DC7F78">
      <w:r>
        <w:rPr>
          <w:rFonts w:hint="eastAsia"/>
        </w:rPr>
        <w:t>截止到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月，</w:t>
      </w:r>
      <w:r>
        <w:rPr>
          <w:rFonts w:hint="eastAsia"/>
        </w:rPr>
        <w:t>TCGA</w:t>
      </w:r>
      <w:r w:rsidR="00CB04A3">
        <w:rPr>
          <w:rFonts w:hint="eastAsia"/>
        </w:rPr>
        <w:t>只给出了每个病人初次确诊的年费而没有精确的月日。</w:t>
      </w:r>
      <w:r w:rsidR="002B2666">
        <w:rPr>
          <w:rFonts w:hint="eastAsia"/>
        </w:rPr>
        <w:t>我们不能用样本处理的信息来反推病人的临床信息</w:t>
      </w:r>
      <w:r w:rsidR="00DB286E">
        <w:rPr>
          <w:rFonts w:hint="eastAsia"/>
        </w:rPr>
        <w:t>。在</w:t>
      </w:r>
      <w:r w:rsidR="00DB286E">
        <w:rPr>
          <w:rFonts w:hint="eastAsia"/>
        </w:rPr>
        <w:t>omf_v4.0</w:t>
      </w:r>
      <w:r w:rsidR="00DB286E">
        <w:rPr>
          <w:rFonts w:hint="eastAsia"/>
        </w:rPr>
        <w:t>文件中，只有少量样本提供了</w:t>
      </w:r>
      <w:r w:rsidR="00DB286E">
        <w:rPr>
          <w:rFonts w:hint="eastAsia"/>
        </w:rPr>
        <w:t>surgical resection</w:t>
      </w:r>
      <w:r w:rsidR="00DB286E">
        <w:rPr>
          <w:rFonts w:hint="eastAsia"/>
        </w:rPr>
        <w:t>时间。在</w:t>
      </w:r>
      <w:r w:rsidR="00DB286E">
        <w:rPr>
          <w:rFonts w:hint="eastAsia"/>
        </w:rPr>
        <w:t>drug</w:t>
      </w:r>
      <w:r w:rsidR="00DB286E">
        <w:rPr>
          <w:rFonts w:hint="eastAsia"/>
        </w:rPr>
        <w:t>文件中，描述了</w:t>
      </w:r>
      <w:r w:rsidR="00DB286E">
        <w:rPr>
          <w:rFonts w:hint="eastAsia"/>
        </w:rPr>
        <w:t>TCGA</w:t>
      </w:r>
      <w:r w:rsidR="00B76743">
        <w:rPr>
          <w:rFonts w:hint="eastAsia"/>
        </w:rPr>
        <w:t>中一些病人的用药信息。</w:t>
      </w:r>
      <w:r w:rsidR="00331142">
        <w:rPr>
          <w:rFonts w:hint="eastAsia"/>
        </w:rPr>
        <w:t>可以通过</w:t>
      </w:r>
      <w:r w:rsidR="00331142">
        <w:rPr>
          <w:rFonts w:hint="eastAsia"/>
        </w:rPr>
        <w:t>follow_up_v4.0</w:t>
      </w:r>
      <w:r w:rsidR="00331142">
        <w:rPr>
          <w:rFonts w:hint="eastAsia"/>
        </w:rPr>
        <w:t>文件提取病人的生存信息。</w:t>
      </w:r>
    </w:p>
    <w:p w:rsidR="004F2747" w:rsidRDefault="009366AA" w:rsidP="009366AA">
      <w:pPr>
        <w:pStyle w:val="4"/>
      </w:pPr>
      <w:r>
        <w:rPr>
          <w:rFonts w:hint="eastAsia"/>
        </w:rPr>
        <w:t>Level-4 analyses</w:t>
      </w:r>
    </w:p>
    <w:p w:rsidR="0018778B" w:rsidRDefault="0018778B" w:rsidP="002576DC">
      <w:pPr>
        <w:pStyle w:val="5"/>
      </w:pPr>
      <w:r>
        <w:t>M</w:t>
      </w:r>
      <w:r>
        <w:rPr>
          <w:rFonts w:hint="eastAsia"/>
        </w:rPr>
        <w:t>utation</w:t>
      </w:r>
    </w:p>
    <w:p w:rsidR="00DD5DB6" w:rsidRPr="00E15B62" w:rsidRDefault="00DD5DB6" w:rsidP="00DD5DB6">
      <w:r>
        <w:rPr>
          <w:rFonts w:hint="eastAsia"/>
        </w:rPr>
        <w:t>GDAC</w:t>
      </w:r>
      <w:r>
        <w:rPr>
          <w:rFonts w:hint="eastAsia"/>
        </w:rPr>
        <w:t>利用</w:t>
      </w:r>
      <w:r>
        <w:rPr>
          <w:rFonts w:hint="eastAsia"/>
        </w:rPr>
        <w:t>MutSig</w:t>
      </w:r>
      <w:r w:rsidR="00E15B62">
        <w:t>1.5</w:t>
      </w:r>
      <w:r w:rsidR="00E15B62">
        <w:rPr>
          <w:rFonts w:hint="eastAsia"/>
        </w:rPr>
        <w:t>，</w:t>
      </w:r>
      <w:r w:rsidR="00E15B62">
        <w:rPr>
          <w:rFonts w:hint="eastAsia"/>
        </w:rPr>
        <w:t>MutSig</w:t>
      </w:r>
      <w:r w:rsidR="00E15B62">
        <w:t>2.0</w:t>
      </w:r>
      <w:r w:rsidR="00E15B62">
        <w:t>和</w:t>
      </w:r>
      <w:proofErr w:type="spellStart"/>
      <w:r w:rsidR="00E15B62">
        <w:t>MutSigCV</w:t>
      </w:r>
      <w:proofErr w:type="spellEnd"/>
      <w:r w:rsidR="00E15B62">
        <w:t>来</w:t>
      </w:r>
      <w:r w:rsidR="00947FE5">
        <w:t>计算</w:t>
      </w:r>
      <w:r w:rsidR="00947FE5">
        <w:t>significantly mutated genes</w:t>
      </w:r>
      <w:r w:rsidR="00947FE5">
        <w:rPr>
          <w:rFonts w:hint="eastAsia"/>
        </w:rPr>
        <w:t>。</w:t>
      </w:r>
    </w:p>
    <w:p w:rsidR="00F90EE2" w:rsidRDefault="00E11CDF" w:rsidP="00EB487F">
      <w:pPr>
        <w:pStyle w:val="6"/>
      </w:pPr>
      <w:proofErr w:type="spellStart"/>
      <w:r>
        <w:rPr>
          <w:rFonts w:hint="eastAsia"/>
        </w:rPr>
        <w:t>MutSig</w:t>
      </w:r>
      <w:proofErr w:type="spellEnd"/>
    </w:p>
    <w:p w:rsidR="00EB487F" w:rsidRDefault="00B90062" w:rsidP="00EB487F">
      <w:hyperlink r:id="rId25" w:history="1">
        <w:r w:rsidR="00DD5DB6" w:rsidRPr="004A5A27">
          <w:rPr>
            <w:rStyle w:val="a3"/>
          </w:rPr>
          <w:t>http://www.broadinstitute.org/cancer/cga/mutsig</w:t>
        </w:r>
      </w:hyperlink>
    </w:p>
    <w:p w:rsidR="00E11CDF" w:rsidRDefault="00DD5DB6" w:rsidP="00EB487F">
      <w:r>
        <w:t>该链接非常清楚的解释了</w:t>
      </w:r>
      <w:proofErr w:type="spellStart"/>
      <w:r w:rsidR="004C512E">
        <w:t>MutSig</w:t>
      </w:r>
      <w:proofErr w:type="spellEnd"/>
      <w:r w:rsidR="004C512E">
        <w:t>几个版本的软件</w:t>
      </w:r>
      <w:r w:rsidR="004C512E">
        <w:rPr>
          <w:rFonts w:hint="eastAsia"/>
        </w:rPr>
        <w:t>，</w:t>
      </w:r>
      <w:r w:rsidR="004C512E">
        <w:t>包括</w:t>
      </w:r>
      <w:r w:rsidR="004C512E">
        <w:rPr>
          <w:rFonts w:hint="eastAsia"/>
        </w:rPr>
        <w:t>1.0, 1.5, S2N</w:t>
      </w:r>
      <w:r w:rsidR="004C512E">
        <w:rPr>
          <w:rFonts w:hint="eastAsia"/>
        </w:rPr>
        <w:t>和</w:t>
      </w:r>
      <w:r w:rsidR="004C512E">
        <w:rPr>
          <w:rFonts w:hint="eastAsia"/>
        </w:rPr>
        <w:t>CV</w:t>
      </w:r>
      <w:r w:rsidR="004C512E">
        <w:rPr>
          <w:rFonts w:hint="eastAsia"/>
        </w:rPr>
        <w:t>的区别</w:t>
      </w:r>
      <w:r w:rsidR="00E67A8B">
        <w:rPr>
          <w:rFonts w:hint="eastAsia"/>
        </w:rPr>
        <w:t>。当前最新的软件为</w:t>
      </w:r>
      <w:proofErr w:type="spellStart"/>
      <w:r w:rsidR="00536E53">
        <w:rPr>
          <w:rFonts w:hint="eastAsia"/>
        </w:rPr>
        <w:t>MutSigCV</w:t>
      </w:r>
      <w:proofErr w:type="spellEnd"/>
      <w:r w:rsidR="00536E53">
        <w:rPr>
          <w:rFonts w:hint="eastAsia"/>
        </w:rPr>
        <w:t>。</w:t>
      </w:r>
    </w:p>
    <w:p w:rsidR="00B65AE8" w:rsidRDefault="00B90062" w:rsidP="00EB487F">
      <w:hyperlink r:id="rId26" w:history="1">
        <w:r w:rsidR="00B65AE8" w:rsidRPr="004A5A27">
          <w:rPr>
            <w:rStyle w:val="a3"/>
          </w:rPr>
          <w:t>http://www.broadinstitute.org/cancer/cga/mutsig_run</w:t>
        </w:r>
      </w:hyperlink>
    </w:p>
    <w:p w:rsidR="00B65AE8" w:rsidRDefault="00B65AE8" w:rsidP="00EB487F">
      <w:r>
        <w:t>该链接解释了如何使用</w:t>
      </w:r>
      <w:proofErr w:type="spellStart"/>
      <w:r>
        <w:t>MutSigCV</w:t>
      </w:r>
      <w:proofErr w:type="spellEnd"/>
      <w:r>
        <w:rPr>
          <w:rFonts w:hint="eastAsia"/>
        </w:rPr>
        <w:t>。</w:t>
      </w:r>
      <w:r w:rsidR="007F4370">
        <w:rPr>
          <w:rFonts w:hint="eastAsia"/>
        </w:rPr>
        <w:t>其中</w:t>
      </w:r>
      <w:proofErr w:type="gramStart"/>
      <w:r w:rsidR="007F4370">
        <w:t>”</w:t>
      </w:r>
      <w:proofErr w:type="gramEnd"/>
      <w:r w:rsidR="007F4370">
        <w:t>CV</w:t>
      </w:r>
      <w:proofErr w:type="gramStart"/>
      <w:r w:rsidR="007F4370">
        <w:t>”</w:t>
      </w:r>
      <w:proofErr w:type="gramEnd"/>
      <w:r w:rsidR="00826B7F">
        <w:t>指</w:t>
      </w:r>
      <w:proofErr w:type="spellStart"/>
      <w:r w:rsidR="00826B7F">
        <w:rPr>
          <w:rFonts w:hint="eastAsia"/>
        </w:rPr>
        <w:t>coviriate</w:t>
      </w:r>
      <w:proofErr w:type="spellEnd"/>
      <w:r w:rsidR="00826B7F">
        <w:rPr>
          <w:rFonts w:hint="eastAsia"/>
        </w:rPr>
        <w:t>，是</w:t>
      </w:r>
      <w:proofErr w:type="spellStart"/>
      <w:r w:rsidR="00826B7F">
        <w:rPr>
          <w:rFonts w:hint="eastAsia"/>
        </w:rPr>
        <w:t>mutsig</w:t>
      </w:r>
      <w:proofErr w:type="spellEnd"/>
      <w:r w:rsidR="00826B7F">
        <w:rPr>
          <w:rFonts w:hint="eastAsia"/>
        </w:rPr>
        <w:t>其他版本算法软件中没有使用过的一种</w:t>
      </w:r>
      <w:r w:rsidR="006027D9">
        <w:rPr>
          <w:rFonts w:hint="eastAsia"/>
        </w:rPr>
        <w:t>数据，主要描述了？</w:t>
      </w:r>
    </w:p>
    <w:p w:rsidR="006027D9" w:rsidRDefault="00DB2442" w:rsidP="00DB2442">
      <w:pPr>
        <w:pStyle w:val="6"/>
      </w:pPr>
      <w:proofErr w:type="spellStart"/>
      <w:r>
        <w:rPr>
          <w:rFonts w:hint="eastAsia"/>
        </w:rPr>
        <w:t>IntOGen</w:t>
      </w:r>
      <w:proofErr w:type="spellEnd"/>
    </w:p>
    <w:p w:rsidR="00DB2442" w:rsidRPr="00DB2442" w:rsidRDefault="00DB2442" w:rsidP="00DB2442">
      <w:proofErr w:type="spellStart"/>
      <w:r>
        <w:t>IntOGen</w:t>
      </w:r>
      <w:proofErr w:type="spellEnd"/>
      <w:r>
        <w:t>采用了</w:t>
      </w:r>
      <w:proofErr w:type="spellStart"/>
      <w:r>
        <w:rPr>
          <w:rFonts w:hint="eastAsia"/>
        </w:rPr>
        <w:t>Oncodrive</w:t>
      </w:r>
      <w:proofErr w:type="spellEnd"/>
      <w:r>
        <w:rPr>
          <w:rFonts w:hint="eastAsia"/>
        </w:rPr>
        <w:t>-FM</w:t>
      </w:r>
      <w:r>
        <w:rPr>
          <w:rFonts w:hint="eastAsia"/>
        </w:rPr>
        <w:t>来</w:t>
      </w:r>
      <w:r w:rsidR="0091365A">
        <w:rPr>
          <w:rFonts w:hint="eastAsia"/>
        </w:rPr>
        <w:t>计算</w:t>
      </w:r>
      <w:r w:rsidR="0091365A">
        <w:rPr>
          <w:rFonts w:hint="eastAsia"/>
        </w:rPr>
        <w:t>candidate driver gene</w:t>
      </w:r>
      <w:r w:rsidR="0091365A">
        <w:rPr>
          <w:rFonts w:hint="eastAsia"/>
        </w:rPr>
        <w:t>；用</w:t>
      </w:r>
      <w:proofErr w:type="spellStart"/>
      <w:r w:rsidR="0091365A">
        <w:rPr>
          <w:rFonts w:hint="eastAsia"/>
        </w:rPr>
        <w:t>oncodriveClust</w:t>
      </w:r>
      <w:proofErr w:type="spellEnd"/>
      <w:r w:rsidR="0091365A">
        <w:rPr>
          <w:rFonts w:hint="eastAsia"/>
        </w:rPr>
        <w:t>来计算</w:t>
      </w:r>
      <w:r w:rsidR="0060768F">
        <w:rPr>
          <w:rFonts w:hint="eastAsia"/>
        </w:rPr>
        <w:t>在一个</w:t>
      </w:r>
      <w:r w:rsidR="0060768F">
        <w:rPr>
          <w:rFonts w:hint="eastAsia"/>
        </w:rPr>
        <w:t>protein</w:t>
      </w:r>
      <w:r w:rsidR="0060768F">
        <w:rPr>
          <w:rFonts w:hint="eastAsia"/>
        </w:rPr>
        <w:t>中，</w:t>
      </w:r>
      <w:r w:rsidR="0060768F">
        <w:rPr>
          <w:rFonts w:hint="eastAsia"/>
        </w:rPr>
        <w:t>gene</w:t>
      </w:r>
      <w:r w:rsidR="0060768F">
        <w:rPr>
          <w:rFonts w:hint="eastAsia"/>
        </w:rPr>
        <w:t>层次的</w:t>
      </w:r>
      <w:r w:rsidR="00921A02">
        <w:rPr>
          <w:rFonts w:hint="eastAsia"/>
        </w:rPr>
        <w:t>mutation</w:t>
      </w:r>
      <w:r w:rsidR="003B4E45">
        <w:rPr>
          <w:rFonts w:hint="eastAsia"/>
        </w:rPr>
        <w:t>是不是显著聚集。</w:t>
      </w:r>
    </w:p>
    <w:p w:rsidR="0018778B" w:rsidRDefault="0018778B" w:rsidP="002576DC">
      <w:pPr>
        <w:pStyle w:val="5"/>
      </w:pPr>
      <w:r>
        <w:t>CNV</w:t>
      </w:r>
    </w:p>
    <w:p w:rsidR="00564043" w:rsidRDefault="00564043" w:rsidP="00564043">
      <w:r>
        <w:t>GDAC</w:t>
      </w:r>
      <w:r>
        <w:t>利用</w:t>
      </w:r>
      <w:r>
        <w:t>Gistic2</w:t>
      </w:r>
      <w:r w:rsidR="00AB605F">
        <w:rPr>
          <w:rFonts w:hint="eastAsia"/>
        </w:rPr>
        <w:t>，</w:t>
      </w:r>
      <w:r w:rsidR="00AB605F">
        <w:t>根据</w:t>
      </w:r>
      <w:r w:rsidR="00AB605F">
        <w:t>segmented value</w:t>
      </w:r>
      <w:r w:rsidR="00AB605F">
        <w:t>来计算出</w:t>
      </w:r>
      <w:r w:rsidR="00971759">
        <w:t xml:space="preserve">significant focal or arm level </w:t>
      </w:r>
      <w:r w:rsidR="00531B7D">
        <w:t>amplification/deletion</w:t>
      </w:r>
      <w:r w:rsidR="00D72CC2">
        <w:rPr>
          <w:rFonts w:hint="eastAsia"/>
        </w:rPr>
        <w:t>。</w:t>
      </w:r>
    </w:p>
    <w:p w:rsidR="00DB2442" w:rsidRDefault="00DB2442" w:rsidP="00BA7C32">
      <w:pPr>
        <w:pStyle w:val="6"/>
      </w:pPr>
      <w:r>
        <w:t>Gistic2</w:t>
      </w:r>
    </w:p>
    <w:p w:rsidR="00554AE2" w:rsidRPr="00554AE2" w:rsidRDefault="00554AE2" w:rsidP="00554AE2">
      <w:r>
        <w:t>利用</w:t>
      </w:r>
      <w:r>
        <w:t>segmented value</w:t>
      </w:r>
      <w:r>
        <w:t>来计算</w:t>
      </w:r>
      <w:r>
        <w:t>focal and arm-level amplification/deletions</w:t>
      </w:r>
      <w:r>
        <w:rPr>
          <w:rFonts w:hint="eastAsia"/>
        </w:rPr>
        <w:t>。</w:t>
      </w:r>
    </w:p>
    <w:p w:rsidR="00DB2442" w:rsidRPr="00564043" w:rsidRDefault="00DB2442" w:rsidP="00BA7C32">
      <w:pPr>
        <w:pStyle w:val="6"/>
      </w:pPr>
      <w:proofErr w:type="spellStart"/>
      <w:r>
        <w:lastRenderedPageBreak/>
        <w:t>Oncodrive</w:t>
      </w:r>
      <w:r w:rsidR="00554AE2">
        <w:t>CIS</w:t>
      </w:r>
      <w:proofErr w:type="spellEnd"/>
    </w:p>
    <w:p w:rsidR="0018778B" w:rsidRPr="0018778B" w:rsidRDefault="0018778B" w:rsidP="00564043">
      <w:pPr>
        <w:pStyle w:val="5"/>
      </w:pPr>
      <w:r>
        <w:t>Methylation</w:t>
      </w:r>
    </w:p>
    <w:p w:rsidR="009366AA" w:rsidRPr="009366AA" w:rsidRDefault="009366AA" w:rsidP="009366AA"/>
    <w:p w:rsidR="00101173" w:rsidRPr="00101173" w:rsidRDefault="00101173" w:rsidP="00AC2142"/>
    <w:sectPr w:rsidR="00101173" w:rsidRPr="00101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B03CE"/>
    <w:multiLevelType w:val="hybridMultilevel"/>
    <w:tmpl w:val="E6FE4C0A"/>
    <w:lvl w:ilvl="0" w:tplc="C3947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BD4EA2"/>
    <w:multiLevelType w:val="hybridMultilevel"/>
    <w:tmpl w:val="9620DA6E"/>
    <w:lvl w:ilvl="0" w:tplc="8C809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5623ED"/>
    <w:multiLevelType w:val="hybridMultilevel"/>
    <w:tmpl w:val="51D263DA"/>
    <w:lvl w:ilvl="0" w:tplc="167260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FC7"/>
    <w:rsid w:val="000045D6"/>
    <w:rsid w:val="00011495"/>
    <w:rsid w:val="000114BD"/>
    <w:rsid w:val="00011DAC"/>
    <w:rsid w:val="00014BD5"/>
    <w:rsid w:val="00045922"/>
    <w:rsid w:val="00076078"/>
    <w:rsid w:val="00076F5C"/>
    <w:rsid w:val="000950A8"/>
    <w:rsid w:val="000B3D53"/>
    <w:rsid w:val="000B4111"/>
    <w:rsid w:val="000C03F8"/>
    <w:rsid w:val="000C6DF2"/>
    <w:rsid w:val="000D3196"/>
    <w:rsid w:val="000D3F4D"/>
    <w:rsid w:val="000E529A"/>
    <w:rsid w:val="000E607B"/>
    <w:rsid w:val="000E7D0F"/>
    <w:rsid w:val="000F5E28"/>
    <w:rsid w:val="00101173"/>
    <w:rsid w:val="00107972"/>
    <w:rsid w:val="00111194"/>
    <w:rsid w:val="0011418B"/>
    <w:rsid w:val="001226F0"/>
    <w:rsid w:val="001308B3"/>
    <w:rsid w:val="00135CFB"/>
    <w:rsid w:val="001446AB"/>
    <w:rsid w:val="00155CD0"/>
    <w:rsid w:val="001769A4"/>
    <w:rsid w:val="00176FC7"/>
    <w:rsid w:val="0018778B"/>
    <w:rsid w:val="001A02B5"/>
    <w:rsid w:val="001A1821"/>
    <w:rsid w:val="001A6D97"/>
    <w:rsid w:val="001C1045"/>
    <w:rsid w:val="001C5227"/>
    <w:rsid w:val="001D5035"/>
    <w:rsid w:val="001F2FDC"/>
    <w:rsid w:val="0020357B"/>
    <w:rsid w:val="00203BF4"/>
    <w:rsid w:val="002060E0"/>
    <w:rsid w:val="00210A46"/>
    <w:rsid w:val="002156BE"/>
    <w:rsid w:val="00226534"/>
    <w:rsid w:val="00244620"/>
    <w:rsid w:val="00245EE7"/>
    <w:rsid w:val="002576DC"/>
    <w:rsid w:val="00270B8D"/>
    <w:rsid w:val="00273754"/>
    <w:rsid w:val="00290ADC"/>
    <w:rsid w:val="002A312F"/>
    <w:rsid w:val="002B0EB6"/>
    <w:rsid w:val="002B2666"/>
    <w:rsid w:val="002B5703"/>
    <w:rsid w:val="002E17AA"/>
    <w:rsid w:val="002F22C3"/>
    <w:rsid w:val="002F383D"/>
    <w:rsid w:val="002F408F"/>
    <w:rsid w:val="00302426"/>
    <w:rsid w:val="00317837"/>
    <w:rsid w:val="0032576D"/>
    <w:rsid w:val="00326C20"/>
    <w:rsid w:val="00331142"/>
    <w:rsid w:val="00332C88"/>
    <w:rsid w:val="00364083"/>
    <w:rsid w:val="0037120A"/>
    <w:rsid w:val="00376C84"/>
    <w:rsid w:val="00381047"/>
    <w:rsid w:val="003909CF"/>
    <w:rsid w:val="003A7C68"/>
    <w:rsid w:val="003B0FD0"/>
    <w:rsid w:val="003B4E45"/>
    <w:rsid w:val="003C4295"/>
    <w:rsid w:val="003D6CB1"/>
    <w:rsid w:val="003F6E91"/>
    <w:rsid w:val="00413B6B"/>
    <w:rsid w:val="0042403F"/>
    <w:rsid w:val="00426263"/>
    <w:rsid w:val="00460313"/>
    <w:rsid w:val="00460FF7"/>
    <w:rsid w:val="00461839"/>
    <w:rsid w:val="00477C26"/>
    <w:rsid w:val="004801E3"/>
    <w:rsid w:val="0049325F"/>
    <w:rsid w:val="00493881"/>
    <w:rsid w:val="004977DE"/>
    <w:rsid w:val="004A1FBF"/>
    <w:rsid w:val="004A70D1"/>
    <w:rsid w:val="004A74DD"/>
    <w:rsid w:val="004C3825"/>
    <w:rsid w:val="004C512E"/>
    <w:rsid w:val="004C6365"/>
    <w:rsid w:val="004D0125"/>
    <w:rsid w:val="004D5430"/>
    <w:rsid w:val="004D6AAB"/>
    <w:rsid w:val="004E645A"/>
    <w:rsid w:val="004E7305"/>
    <w:rsid w:val="004F2747"/>
    <w:rsid w:val="00531B7D"/>
    <w:rsid w:val="005343FE"/>
    <w:rsid w:val="00536E53"/>
    <w:rsid w:val="00537DDF"/>
    <w:rsid w:val="00546F28"/>
    <w:rsid w:val="00554AE2"/>
    <w:rsid w:val="00564043"/>
    <w:rsid w:val="00567AFE"/>
    <w:rsid w:val="005701B5"/>
    <w:rsid w:val="005755F4"/>
    <w:rsid w:val="00586835"/>
    <w:rsid w:val="005917B0"/>
    <w:rsid w:val="005A1016"/>
    <w:rsid w:val="005A12CD"/>
    <w:rsid w:val="005A63ED"/>
    <w:rsid w:val="005B3CD0"/>
    <w:rsid w:val="005D7CC1"/>
    <w:rsid w:val="005F5032"/>
    <w:rsid w:val="005F6385"/>
    <w:rsid w:val="006027D9"/>
    <w:rsid w:val="0060768F"/>
    <w:rsid w:val="006129F3"/>
    <w:rsid w:val="00616234"/>
    <w:rsid w:val="0062593C"/>
    <w:rsid w:val="006344D4"/>
    <w:rsid w:val="006374BE"/>
    <w:rsid w:val="00641591"/>
    <w:rsid w:val="00644088"/>
    <w:rsid w:val="0064514E"/>
    <w:rsid w:val="00646684"/>
    <w:rsid w:val="00651BE9"/>
    <w:rsid w:val="006524F4"/>
    <w:rsid w:val="006635F8"/>
    <w:rsid w:val="006759C3"/>
    <w:rsid w:val="006B5E97"/>
    <w:rsid w:val="006C1B28"/>
    <w:rsid w:val="006C6264"/>
    <w:rsid w:val="006E68B4"/>
    <w:rsid w:val="006F6299"/>
    <w:rsid w:val="00713DE2"/>
    <w:rsid w:val="007230B9"/>
    <w:rsid w:val="00737F0A"/>
    <w:rsid w:val="007457C4"/>
    <w:rsid w:val="00747FC6"/>
    <w:rsid w:val="007534C1"/>
    <w:rsid w:val="0075713A"/>
    <w:rsid w:val="00763B8B"/>
    <w:rsid w:val="00775FE4"/>
    <w:rsid w:val="00792884"/>
    <w:rsid w:val="007939CD"/>
    <w:rsid w:val="007A0E89"/>
    <w:rsid w:val="007B2324"/>
    <w:rsid w:val="007B6365"/>
    <w:rsid w:val="007E79E5"/>
    <w:rsid w:val="007F2D37"/>
    <w:rsid w:val="007F4370"/>
    <w:rsid w:val="00804E18"/>
    <w:rsid w:val="00824A7C"/>
    <w:rsid w:val="00826B7F"/>
    <w:rsid w:val="00827F05"/>
    <w:rsid w:val="00832B25"/>
    <w:rsid w:val="008330CB"/>
    <w:rsid w:val="00845F77"/>
    <w:rsid w:val="008612FD"/>
    <w:rsid w:val="008747E7"/>
    <w:rsid w:val="008814F8"/>
    <w:rsid w:val="00882DE6"/>
    <w:rsid w:val="00893530"/>
    <w:rsid w:val="008A7BF5"/>
    <w:rsid w:val="008B1486"/>
    <w:rsid w:val="008B2102"/>
    <w:rsid w:val="008B292E"/>
    <w:rsid w:val="008B3ABB"/>
    <w:rsid w:val="008C01CD"/>
    <w:rsid w:val="008C1DE1"/>
    <w:rsid w:val="008C3BFB"/>
    <w:rsid w:val="008F048D"/>
    <w:rsid w:val="008F59AF"/>
    <w:rsid w:val="008F73BC"/>
    <w:rsid w:val="00910802"/>
    <w:rsid w:val="0091365A"/>
    <w:rsid w:val="009141DD"/>
    <w:rsid w:val="0091501D"/>
    <w:rsid w:val="00916A34"/>
    <w:rsid w:val="009205B7"/>
    <w:rsid w:val="00921A02"/>
    <w:rsid w:val="009366AA"/>
    <w:rsid w:val="0094686B"/>
    <w:rsid w:val="00947FE5"/>
    <w:rsid w:val="00971759"/>
    <w:rsid w:val="0099282B"/>
    <w:rsid w:val="009B1618"/>
    <w:rsid w:val="009B6A47"/>
    <w:rsid w:val="009D3676"/>
    <w:rsid w:val="009F0678"/>
    <w:rsid w:val="009F30CE"/>
    <w:rsid w:val="009F4AC9"/>
    <w:rsid w:val="00A02773"/>
    <w:rsid w:val="00A02D27"/>
    <w:rsid w:val="00A0754A"/>
    <w:rsid w:val="00A25428"/>
    <w:rsid w:val="00A42C3E"/>
    <w:rsid w:val="00A442A6"/>
    <w:rsid w:val="00A52249"/>
    <w:rsid w:val="00A52474"/>
    <w:rsid w:val="00A564B2"/>
    <w:rsid w:val="00A67483"/>
    <w:rsid w:val="00A74269"/>
    <w:rsid w:val="00A83EE7"/>
    <w:rsid w:val="00A86AF7"/>
    <w:rsid w:val="00A97B5C"/>
    <w:rsid w:val="00AA0E34"/>
    <w:rsid w:val="00AA288A"/>
    <w:rsid w:val="00AB3D0F"/>
    <w:rsid w:val="00AB605F"/>
    <w:rsid w:val="00AB68D1"/>
    <w:rsid w:val="00AC09F2"/>
    <w:rsid w:val="00AC2142"/>
    <w:rsid w:val="00AD08CE"/>
    <w:rsid w:val="00AE4BE1"/>
    <w:rsid w:val="00AF21FF"/>
    <w:rsid w:val="00AF7A4B"/>
    <w:rsid w:val="00B111C8"/>
    <w:rsid w:val="00B1461F"/>
    <w:rsid w:val="00B14761"/>
    <w:rsid w:val="00B21C1A"/>
    <w:rsid w:val="00B35A64"/>
    <w:rsid w:val="00B41956"/>
    <w:rsid w:val="00B55E0D"/>
    <w:rsid w:val="00B65AE8"/>
    <w:rsid w:val="00B76743"/>
    <w:rsid w:val="00B80126"/>
    <w:rsid w:val="00B86299"/>
    <w:rsid w:val="00B90062"/>
    <w:rsid w:val="00B95B4F"/>
    <w:rsid w:val="00B963CB"/>
    <w:rsid w:val="00B9799F"/>
    <w:rsid w:val="00BA7C32"/>
    <w:rsid w:val="00BB144A"/>
    <w:rsid w:val="00BC0C3C"/>
    <w:rsid w:val="00BC2446"/>
    <w:rsid w:val="00BD6A45"/>
    <w:rsid w:val="00BE1D73"/>
    <w:rsid w:val="00BE65C1"/>
    <w:rsid w:val="00C02588"/>
    <w:rsid w:val="00C029B9"/>
    <w:rsid w:val="00C02D4B"/>
    <w:rsid w:val="00C031EB"/>
    <w:rsid w:val="00C23173"/>
    <w:rsid w:val="00C23789"/>
    <w:rsid w:val="00C31D97"/>
    <w:rsid w:val="00C335F1"/>
    <w:rsid w:val="00C408BE"/>
    <w:rsid w:val="00C529A6"/>
    <w:rsid w:val="00C56853"/>
    <w:rsid w:val="00C619DF"/>
    <w:rsid w:val="00C61DA4"/>
    <w:rsid w:val="00C86D3E"/>
    <w:rsid w:val="00C92BF1"/>
    <w:rsid w:val="00CA7902"/>
    <w:rsid w:val="00CB04A3"/>
    <w:rsid w:val="00CD66AB"/>
    <w:rsid w:val="00CF7B68"/>
    <w:rsid w:val="00D03464"/>
    <w:rsid w:val="00D0501F"/>
    <w:rsid w:val="00D074DF"/>
    <w:rsid w:val="00D13CF1"/>
    <w:rsid w:val="00D21623"/>
    <w:rsid w:val="00D25AA5"/>
    <w:rsid w:val="00D43AA6"/>
    <w:rsid w:val="00D70E66"/>
    <w:rsid w:val="00D72CC2"/>
    <w:rsid w:val="00D7669E"/>
    <w:rsid w:val="00D76D35"/>
    <w:rsid w:val="00D8764C"/>
    <w:rsid w:val="00DA12BC"/>
    <w:rsid w:val="00DA2226"/>
    <w:rsid w:val="00DA710F"/>
    <w:rsid w:val="00DA72E2"/>
    <w:rsid w:val="00DA73EC"/>
    <w:rsid w:val="00DB2442"/>
    <w:rsid w:val="00DB286E"/>
    <w:rsid w:val="00DC2B54"/>
    <w:rsid w:val="00DC7F78"/>
    <w:rsid w:val="00DD2634"/>
    <w:rsid w:val="00DD5BFB"/>
    <w:rsid w:val="00DD5DB6"/>
    <w:rsid w:val="00DF0F49"/>
    <w:rsid w:val="00E11CDF"/>
    <w:rsid w:val="00E15B62"/>
    <w:rsid w:val="00E34AC6"/>
    <w:rsid w:val="00E4396F"/>
    <w:rsid w:val="00E4489B"/>
    <w:rsid w:val="00E527D5"/>
    <w:rsid w:val="00E6709E"/>
    <w:rsid w:val="00E67A8B"/>
    <w:rsid w:val="00E709BB"/>
    <w:rsid w:val="00E70F01"/>
    <w:rsid w:val="00E716FD"/>
    <w:rsid w:val="00E81C69"/>
    <w:rsid w:val="00EA5ACE"/>
    <w:rsid w:val="00EA6248"/>
    <w:rsid w:val="00EB09AD"/>
    <w:rsid w:val="00EB1C2D"/>
    <w:rsid w:val="00EB2062"/>
    <w:rsid w:val="00EB487F"/>
    <w:rsid w:val="00EB4A38"/>
    <w:rsid w:val="00EC1BFD"/>
    <w:rsid w:val="00ED6A09"/>
    <w:rsid w:val="00EE10BF"/>
    <w:rsid w:val="00EE45E0"/>
    <w:rsid w:val="00EF0C15"/>
    <w:rsid w:val="00EF146B"/>
    <w:rsid w:val="00EF207D"/>
    <w:rsid w:val="00EF73EA"/>
    <w:rsid w:val="00F01446"/>
    <w:rsid w:val="00F10FD8"/>
    <w:rsid w:val="00F1770B"/>
    <w:rsid w:val="00F202C3"/>
    <w:rsid w:val="00F3207C"/>
    <w:rsid w:val="00F3311A"/>
    <w:rsid w:val="00F35E9F"/>
    <w:rsid w:val="00F41546"/>
    <w:rsid w:val="00F4770C"/>
    <w:rsid w:val="00F52372"/>
    <w:rsid w:val="00F57A42"/>
    <w:rsid w:val="00F64626"/>
    <w:rsid w:val="00F661E6"/>
    <w:rsid w:val="00F8766B"/>
    <w:rsid w:val="00F90EE2"/>
    <w:rsid w:val="00F91966"/>
    <w:rsid w:val="00FA43BE"/>
    <w:rsid w:val="00FA7D50"/>
    <w:rsid w:val="00FB40F4"/>
    <w:rsid w:val="00FD0906"/>
    <w:rsid w:val="00FD0BEB"/>
    <w:rsid w:val="00FE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444F3-DD9C-4647-B752-B2DC0B5B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3F8"/>
    <w:pPr>
      <w:widowControl w:val="0"/>
      <w:spacing w:line="360" w:lineRule="auto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0357B"/>
    <w:pPr>
      <w:keepNext/>
      <w:keepLines/>
      <w:spacing w:before="160" w:after="200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24F4"/>
    <w:pPr>
      <w:keepNext/>
      <w:keepLines/>
      <w:spacing w:before="120" w:after="160"/>
      <w:outlineLvl w:val="2"/>
    </w:pPr>
    <w:rPr>
      <w:rFonts w:ascii="Times New Roman" w:hAnsi="Times New Roman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4761"/>
    <w:pPr>
      <w:keepNext/>
      <w:keepLines/>
      <w:spacing w:before="80" w:after="120"/>
      <w:outlineLvl w:val="3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A63ED"/>
    <w:pPr>
      <w:keepNext/>
      <w:keepLines/>
      <w:spacing w:before="40" w:after="80"/>
      <w:outlineLvl w:val="4"/>
    </w:pPr>
    <w:rPr>
      <w:rFonts w:ascii="Times New Roman" w:hAnsi="Times New Roman"/>
      <w:b/>
      <w:bCs/>
      <w:sz w:val="24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B487F"/>
    <w:pPr>
      <w:keepNext/>
      <w:keepLines/>
      <w:spacing w:before="20" w:after="40"/>
      <w:outlineLvl w:val="5"/>
    </w:pPr>
    <w:rPr>
      <w:rFonts w:ascii="Times New Roman" w:eastAsiaTheme="majorEastAsia" w:hAnsi="Times New Roman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0357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24F4"/>
    <w:rPr>
      <w:rFonts w:ascii="Times New Roman" w:hAnsi="Times New Roman"/>
      <w:b/>
      <w:bCs/>
      <w:sz w:val="30"/>
      <w:szCs w:val="32"/>
    </w:rPr>
  </w:style>
  <w:style w:type="character" w:styleId="a3">
    <w:name w:val="Hyperlink"/>
    <w:basedOn w:val="a0"/>
    <w:uiPriority w:val="99"/>
    <w:unhideWhenUsed/>
    <w:rsid w:val="00FA7D50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1476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A63ED"/>
    <w:rPr>
      <w:rFonts w:ascii="Times New Roman" w:hAnsi="Times New Roman"/>
      <w:b/>
      <w:bCs/>
      <w:sz w:val="24"/>
      <w:szCs w:val="28"/>
    </w:rPr>
  </w:style>
  <w:style w:type="paragraph" w:styleId="a4">
    <w:name w:val="List Paragraph"/>
    <w:basedOn w:val="a"/>
    <w:uiPriority w:val="34"/>
    <w:qFormat/>
    <w:rsid w:val="008612FD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EB487F"/>
    <w:rPr>
      <w:rFonts w:ascii="Times New Roman" w:eastAsiaTheme="majorEastAsia" w:hAnsi="Times New Roman" w:cstheme="majorBidi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cga-data.nci.nih.gov/datareports/codeTablesReport.htm?codeTable=Tissue%20Source%20Site" TargetMode="External"/><Relationship Id="rId13" Type="http://schemas.openxmlformats.org/officeDocument/2006/relationships/hyperlink" Target="https://wiki.nci.nih.gov/x/_ZdXAg" TargetMode="External"/><Relationship Id="rId18" Type="http://schemas.openxmlformats.org/officeDocument/2006/relationships/hyperlink" Target="https://wiki.nci.nih.gov/x/IJZXAg" TargetMode="External"/><Relationship Id="rId26" Type="http://schemas.openxmlformats.org/officeDocument/2006/relationships/hyperlink" Target="http://www.broadinstitute.org/cancer/cga/mutsig_ru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cga-data.nci.nih.gov/datareports/codeTablesReport.htm?codeTable=center" TargetMode="External"/><Relationship Id="rId7" Type="http://schemas.openxmlformats.org/officeDocument/2006/relationships/hyperlink" Target="https://wiki.nci.nih.gov/x/IJhXAg" TargetMode="External"/><Relationship Id="rId12" Type="http://schemas.openxmlformats.org/officeDocument/2006/relationships/hyperlink" Target="https://wiki.nci.nih.gov/x/KJhXAg" TargetMode="External"/><Relationship Id="rId17" Type="http://schemas.openxmlformats.org/officeDocument/2006/relationships/hyperlink" Target="https://wiki.nci.nih.gov/x/2wlhAg" TargetMode="External"/><Relationship Id="rId25" Type="http://schemas.openxmlformats.org/officeDocument/2006/relationships/hyperlink" Target="http://www.broadinstitute.org/cancer/cga/mutsi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nci.nih.gov/x/95dXAg" TargetMode="External"/><Relationship Id="rId20" Type="http://schemas.openxmlformats.org/officeDocument/2006/relationships/hyperlink" Target="https://wiki.nci.nih.gov/x/CJZXA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cga-data.nci.nih.gov/datareports/codeTablesReport.htm?codeTable=Sample%20type" TargetMode="External"/><Relationship Id="rId24" Type="http://schemas.openxmlformats.org/officeDocument/2006/relationships/hyperlink" Target="https://cdebrowser.nci.nih.gov/CDEBrowser/" TargetMode="External"/><Relationship Id="rId5" Type="http://schemas.openxmlformats.org/officeDocument/2006/relationships/hyperlink" Target="http://gdac.broadinstitute.org/runs/sampleReports/latest/UCEC_FFPE_Cases.html" TargetMode="External"/><Relationship Id="rId15" Type="http://schemas.openxmlformats.org/officeDocument/2006/relationships/hyperlink" Target="https://tcga-data.nci.nih.gov/datareports/codeTablesReport.htm?codeTable=portion%20analyte" TargetMode="External"/><Relationship Id="rId23" Type="http://schemas.openxmlformats.org/officeDocument/2006/relationships/hyperlink" Target="https://tcga-data.nci.nih.gov/docs/dictionary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iki.nci.nih.gov/x/BZhXAg" TargetMode="External"/><Relationship Id="rId19" Type="http://schemas.openxmlformats.org/officeDocument/2006/relationships/hyperlink" Target="https://wiki.nci.nih.gov/x/CJZX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nci.nih.gov/x/8ZdXAg" TargetMode="External"/><Relationship Id="rId14" Type="http://schemas.openxmlformats.org/officeDocument/2006/relationships/hyperlink" Target="https://wiki.nci.nih.gov/x/dZRXAg" TargetMode="External"/><Relationship Id="rId22" Type="http://schemas.openxmlformats.org/officeDocument/2006/relationships/hyperlink" Target="http://en.wikipedia.org/wiki/Deep_sequenci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8</Pages>
  <Words>1221</Words>
  <Characters>6965</Characters>
  <Application>Microsoft Office Word</Application>
  <DocSecurity>0</DocSecurity>
  <Lines>58</Lines>
  <Paragraphs>16</Paragraphs>
  <ScaleCrop>false</ScaleCrop>
  <Company/>
  <LinksUpToDate>false</LinksUpToDate>
  <CharactersWithSpaces>8170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zding ding</dc:creator>
  <cp:keywords/>
  <dc:description/>
  <cp:lastModifiedBy>zding ding</cp:lastModifiedBy>
  <cp:revision>433</cp:revision>
  <dcterms:created xsi:type="dcterms:W3CDTF">2015-02-05T02:02:00Z</dcterms:created>
  <dcterms:modified xsi:type="dcterms:W3CDTF">2015-03-06T08:53:00Z</dcterms:modified>
</cp:coreProperties>
</file>