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V3 分子研究工作台项目报告</w:t>
      </w:r>
    </w:p>
    <w:p>
      <w:pPr>
        <w:pStyle w:val="Subtitle"/>
      </w:pPr>
      <w:r>
        <w:t>实现方法 计算能力与验收结果</w:t>
      </w:r>
    </w:p>
    <w:p>
      <w:r>
        <w:rPr>
          <w:b w:val="0"/>
          <w:sz w:val="18"/>
        </w:rPr>
        <w:t>报告日期  2026年9月29日    面向课程教师与招新实操考核</w:t>
      </w:r>
    </w:p>
    <w:p>
      <w:pPr>
        <w:pStyle w:val="Heading1"/>
      </w:pPr>
      <w:r>
        <w:t>1 项目概况</w:t>
      </w:r>
    </w:p>
    <w:p>
      <w:r>
        <w:rPr>
          <w:b w:val="0"/>
        </w:rPr>
        <w:t>Molecule Studio V3 是一个可以在个人电脑上运行的分子研究工作台。用户输入 SMILES 后，可以获得分子结构、三种理化性质的模型估计及其适用范围；选择深入分析后，还可生成可旋转的三维构象并导出结构文件。数据库页提供实验记录和量化计算参考查询。</w:t>
      </w:r>
    </w:p>
    <w:p>
      <w:r>
        <w:rPr>
          <w:b/>
        </w:rPr>
        <w:t>项目使用 FastAPI 提供 HTTP API，Uvicorn 运行服务。预测模型、数据库和网页都在本地，不需要付费 API 密钥。报告及交付包均以 V3 为对象。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366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8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V3 已实现内容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模型计算</w:t>
            </w:r>
          </w:p>
        </w:tc>
        <w:tc>
          <w:tcPr>
            <w:tcW w:type="dxa" w:w="8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219 项二维描述符与 2048 位 Morgan 指纹；每个性质比较七个候选，按验证集选择单模型或双模型集成。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三维计算</w:t>
            </w:r>
          </w:p>
        </w:tc>
        <w:tc>
          <w:tcPr>
            <w:tcW w:type="dxa" w:w="8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ETKDGv3 采样与 MMFF94 优化；仅将收敛构象用于图形、相对能量和 SDF。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数据查询</w:t>
            </w:r>
          </w:p>
        </w:tc>
        <w:tc>
          <w:tcPr>
            <w:tcW w:type="dxa" w:w="8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14685 条实验性质观测；独立收录 130831 条 QM9 计算参考；精确结构、相似结构与来源筛选。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后端工程</w:t>
            </w:r>
          </w:p>
        </w:tc>
        <w:tc>
          <w:tcPr>
            <w:tcW w:type="dxa" w:w="8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异步任务、排队、取消、20 秒三维子进程时限、本地历史及明确错误响应。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前端交互</w:t>
            </w:r>
          </w:p>
        </w:tc>
        <w:tc>
          <w:tcPr>
            <w:tcW w:type="dxa" w:w="8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分析工作台、分子对比、双类别数据库、模型证据、交互三维、批量 CSV 与深浅色模式。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题目兼容</w:t>
            </w:r>
          </w:p>
        </w:tc>
        <w:tc>
          <w:tcPr>
            <w:tcW w:type="dxa" w:w="8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保留根目录 model.pkl 和纯 ESOL 随机森林接口，便于单独复核指定训练方案。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sz w:val="21"/>
        </w:rPr>
        <w:t>这些能力已通过代码检查、真实模型调用和浏览器操作验收。其用途是展示可复现的软件与计算流程；内部测试成绩不等于独立实验验证。</w:t>
      </w:r>
    </w:p>
    <w:p>
      <w:pPr>
        <w:pStyle w:val="Heading1"/>
        <w:pageBreakBefore/>
      </w:pPr>
      <w:r>
        <w:t>2 系统架构与 API 服务</w:t>
      </w:r>
    </w:p>
    <w:p>
      <w:r>
        <w:rPr>
          <w:b w:val="0"/>
        </w:rPr>
        <w:t>API 是程序之间提交数据、接收结果的约定。本项目的网页只是其中一种调用方，Python 脚本或其他程序也能发送同样的 HTTP 请求。127.0.0.1 是当前电脑的地址；服务运行时才可访问。密钥是访问控制手段，不是 API 成立的必要条件。</w:t>
      </w:r>
    </w:p>
    <w:p>
      <w:r>
        <w:drawing>
          <wp:inline xmlns:a="http://schemas.openxmlformats.org/drawingml/2006/main" xmlns:pic="http://schemas.openxmlformats.org/drawingml/2006/picture">
            <wp:extent cx="6455664" cy="999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99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V3 一次分析的主要流程  标准预测完成后，深入模式继续执行受时间限制的三维步骤。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63"/>
        <w:gridCol w:w="5803"/>
      </w:tblGrid>
      <w:tr>
        <w:trPr>
          <w:tblHeader/>
          <w:cantSplit/>
        </w:trPr>
        <w:tc>
          <w:tcPr>
            <w:tcW w:type="dxa" w:w="43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5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43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POST /predict</w:t>
            </w:r>
          </w:p>
        </w:tc>
        <w:tc>
          <w:tcPr>
            <w:tcW w:type="dxa" w:w="5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同步多性质预测，保留 valid、molecule、logS_prediction、descriptor 等字段。</w:t>
            </w:r>
          </w:p>
        </w:tc>
      </w:tr>
      <w:tr>
        <w:trPr>
          <w:cantSplit/>
        </w:trPr>
        <w:tc>
          <w:tcPr>
            <w:tcW w:type="dxa" w:w="43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POST /analyses</w:t>
            </w:r>
          </w:p>
        </w:tc>
        <w:tc>
          <w:tcPr>
            <w:tcW w:type="dxa" w:w="5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提交 standard 或 deep 任务，立即返回 HTTP 202 与任务编号。</w:t>
            </w:r>
          </w:p>
        </w:tc>
      </w:tr>
      <w:tr>
        <w:trPr>
          <w:cantSplit/>
        </w:trPr>
        <w:tc>
          <w:tcPr>
            <w:tcW w:type="dxa" w:w="43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GET 或 DELETE /analyses/{id}</w:t>
            </w:r>
          </w:p>
        </w:tc>
        <w:tc>
          <w:tcPr>
            <w:tcW w:type="dxa" w:w="5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查询真实阶段和结果，或取消对应任务。</w:t>
            </w:r>
          </w:p>
        </w:tc>
      </w:tr>
      <w:tr>
        <w:trPr>
          <w:cantSplit/>
        </w:trPr>
        <w:tc>
          <w:tcPr>
            <w:tcW w:type="dxa" w:w="43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GET /analyses/{id}/conformers.sdf</w:t>
            </w:r>
          </w:p>
        </w:tc>
        <w:tc>
          <w:tcPr>
            <w:tcW w:type="dxa" w:w="5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下载已经完成的收敛构象合集。</w:t>
            </w:r>
          </w:p>
        </w:tc>
      </w:tr>
      <w:tr>
        <w:trPr>
          <w:cantSplit/>
        </w:trPr>
        <w:tc>
          <w:tcPr>
            <w:tcW w:type="dxa" w:w="43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GET /database/advanced</w:t>
            </w:r>
          </w:p>
        </w:tc>
        <w:tc>
          <w:tcPr>
            <w:tcW w:type="dxa" w:w="5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按文本、精确或相似结构查询实验参考，支持来源与性质筛选。</w:t>
            </w:r>
          </w:p>
        </w:tc>
      </w:tr>
      <w:tr>
        <w:trPr>
          <w:cantSplit/>
        </w:trPr>
        <w:tc>
          <w:tcPr>
            <w:tcW w:type="dxa" w:w="43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GET /quantum/search</w:t>
            </w:r>
          </w:p>
        </w:tc>
        <w:tc>
          <w:tcPr>
            <w:tcW w:type="dxa" w:w="5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查询 QM9 原有量化计算参考，不临时启动 DFT。</w:t>
            </w:r>
          </w:p>
        </w:tc>
      </w:tr>
      <w:tr>
        <w:trPr>
          <w:cantSplit/>
        </w:trPr>
        <w:tc>
          <w:tcPr>
            <w:tcW w:type="dxa" w:w="43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POST /assignment/predict</w:t>
            </w:r>
          </w:p>
        </w:tc>
        <w:tc>
          <w:tcPr>
            <w:tcW w:type="dxa" w:w="5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用根目录纯 ESOL 随机森林 model.pkl 重演题目基础预测。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一次请求怎样完成</w:t>
      </w:r>
    </w:p>
    <w:p>
      <w:pPr>
        <w:spacing w:after="0" w:line="252" w:lineRule="auto"/>
      </w:pPr>
      <w:r>
        <w:rPr>
          <w:rFonts w:ascii="Consolas" w:hAnsi="Consolas" w:eastAsia="宋体"/>
          <w:sz w:val="18"/>
        </w:rPr>
        <w:t>POST http://127.0.0.1:8003/analyses</w:t>
      </w:r>
    </w:p>
    <w:p>
      <w:pPr>
        <w:spacing w:after="0" w:line="252" w:lineRule="auto"/>
      </w:pPr>
      <w:r>
        <w:rPr>
          <w:rFonts w:ascii="Consolas" w:hAnsi="Consolas" w:eastAsia="宋体"/>
          <w:sz w:val="18"/>
        </w:rPr>
        <w:t>{"smiles":"CCO", "mode":"deep"}</w:t>
      </w:r>
    </w:p>
    <w:p>
      <w:pPr>
        <w:spacing w:after="0" w:line="252" w:lineRule="auto"/>
      </w:pPr>
      <w:r>
        <w:rPr>
          <w:rFonts w:ascii="Consolas" w:hAnsi="Consolas" w:eastAsia="宋体"/>
          <w:sz w:val="18"/>
        </w:rPr>
      </w:r>
    </w:p>
    <w:p>
      <w:pPr>
        <w:spacing w:after="0" w:line="252" w:lineRule="auto"/>
      </w:pPr>
      <w:r>
        <w:rPr>
          <w:rFonts w:ascii="Consolas" w:hAnsi="Consolas" w:eastAsia="宋体"/>
          <w:sz w:val="18"/>
        </w:rPr>
        <w:t>GET http://127.0.0.1:8003/analyses/{返回的任务编号}</w:t>
      </w:r>
    </w:p>
    <w:p>
      <w:pPr>
        <w:spacing w:after="0"/>
      </w:pPr>
    </w:p>
    <w:p>
      <w:r>
        <w:rPr>
          <w:b w:val="0"/>
          <w:sz w:val="21"/>
        </w:rPr>
        <w:t>后台按“排队—性质预测—构象计算—完成”推进，前端轮询真实阶段。完成时，JSON 中的 predictions、measurements、descriptor 和 conformers 分别保存模型估计、数据库原值、结构描述符和三维结果。</w:t>
      </w:r>
    </w:p>
    <w:p>
      <w:r>
        <w:rPr>
          <w:b w:val="0"/>
          <w:sz w:val="20"/>
        </w:rPr>
        <w:t>默认只监听本机 8003 端口。目前没有公网托管、用户账号或密钥鉴权；本次交付没有把这些未完成的能力计入成果。</w:t>
      </w:r>
    </w:p>
    <w:p>
      <w:pPr>
        <w:pStyle w:val="Heading1"/>
        <w:pageBreakBefore/>
      </w:pPr>
      <w:r>
        <w:t>3 数据库与来源追溯</w:t>
      </w:r>
    </w:p>
    <w:p>
      <w:r>
        <w:rPr>
          <w:b w:val="0"/>
        </w:rPr>
        <w:t>实验参考库用 SQLite 保存结构、原始观测、来源数据集和指纹索引。相同分子的多条记录保留各自来源，不把查询结果覆盖成一个“标准答案”。来源和性质筛选必须由同一条观测同时满足。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1800"/>
        <w:gridCol w:w="1800"/>
        <w:gridCol w:w="3974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原始行数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收录观测</w:t>
            </w:r>
          </w:p>
        </w:tc>
        <w:tc>
          <w:tcPr>
            <w:tcW w:type="dxa" w:w="39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主要性质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ESOL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1128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1128</w:t>
            </w:r>
          </w:p>
        </w:tc>
        <w:tc>
          <w:tcPr>
            <w:tcW w:type="dxa" w:w="39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水溶解度 logS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AqSolDB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9982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8718</w:t>
            </w:r>
          </w:p>
        </w:tc>
        <w:tc>
          <w:tcPr>
            <w:tcW w:type="dxa" w:w="39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水溶解度 logS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Lipophilicity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4200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4197</w:t>
            </w:r>
          </w:p>
        </w:tc>
        <w:tc>
          <w:tcPr>
            <w:tcW w:type="dxa" w:w="39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pH 7.4 的 logD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FreeSolv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642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642</w:t>
            </w:r>
          </w:p>
        </w:tc>
        <w:tc>
          <w:tcPr>
            <w:tcW w:type="dxa" w:w="39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实验水合自由能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</w:rPr>
        <w:t>实验库共 14685 条观测，覆盖 12843 个规范结构。训练时按结构身份归组；logS 重复来源优先使用 AqSolDB，并将与固定 ESOL 测试身份或骨架重叠的记录隔离。数据库记录量不等于独立训练样本数。</w:t>
      </w:r>
    </w:p>
    <w:p>
      <w:pPr>
        <w:pStyle w:val="Heading2"/>
      </w:pPr>
      <w:r>
        <w:t>独立 QM9 计算参考库</w:t>
      </w:r>
    </w:p>
    <w:p>
      <w:r>
        <w:rPr>
          <w:b w:val="0"/>
        </w:rPr>
        <w:t>V3 复用带哈希校验的 QM9 原始快照，并剔除官方列出的 3054 条几何一致性失败记录。最终收录 130831 条参考记录，对应 130744 个规范结构；同一结构的不同源编号仍分别保留。原作者特别标记的收敛问题会在命中记录中提示。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1584"/>
        <w:gridCol w:w="5198"/>
      </w:tblGrid>
      <w:tr>
        <w:trPr>
          <w:tblHeader/>
          <w:cantSplit/>
        </w:trPr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查询字段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页面单位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数值来源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偶极矩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Debye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文献 B3LYP/6-31G(2df,p) 计算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各向同性极化率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Bohr³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同一 QM9 原始计算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HOMO 和 LUMO 能量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eV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由原始 Hartree 数值换算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HOMO–LUMO 能隙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eV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保留原表能隙，不以显示后舍入值重算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/>
          <w:sz w:val="21"/>
        </w:rPr>
        <w:t>这些是已有计算的查询结果，没有用来训练三个实测性质模型，也不是本次运行新算的量子化学结果。库中主要是小型 H、C、N、O、F 分子；查不到某个结构时返回未命中，不填零、不推断任意大分子的轨道性质。</w:t>
      </w:r>
    </w:p>
    <w:p>
      <w:r>
        <w:rPr>
          <w:b w:val="0"/>
          <w:sz w:val="20"/>
        </w:rPr>
        <w:t>两个库存在跨库重复结构，不能把结构数直接相加。原始来源、CC0 数据许可记录、单位、排除列表和文件哈希位于 data/SOURCES.md、data/raw 与 reports/catalog_audit.json。</w:t>
      </w:r>
    </w:p>
    <w:p>
      <w:pPr>
        <w:pStyle w:val="Heading1"/>
        <w:pageBreakBefore/>
      </w:pPr>
      <w:r>
        <w:t>4 模型训练与选择方法</w:t>
      </w:r>
    </w:p>
    <w:p>
      <w:r>
        <w:rPr>
          <w:b w:val="0"/>
        </w:rPr>
        <w:t>分子首先经 RDKit 解析并统一为规范结构。V3 生成 219 项固定顺序的二维描述符，包括分子量、氢键、环结构、拓扑、部分电荷和官能团计数，并生成 2048 位 Morgan 指纹。输入维数增加不等于预测精度必然提高，因此需要比较候选模型。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6422"/>
      </w:tblGrid>
      <w:tr>
        <w:trPr>
          <w:tblHeader/>
          <w:cantSplit/>
        </w:trPr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候选类型</w:t>
            </w:r>
          </w:p>
        </w:tc>
        <w:tc>
          <w:tcPr>
            <w:tcW w:type="dxa" w:w="6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使用的输入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随机森林</w:t>
            </w:r>
          </w:p>
        </w:tc>
        <w:tc>
          <w:tcPr>
            <w:tcW w:type="dxa" w:w="6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28 项基础描述符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ExtraTrees</w:t>
            </w:r>
          </w:p>
        </w:tc>
        <w:tc>
          <w:tcPr>
            <w:tcW w:type="dxa" w:w="6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28 项描述符＋Morgan 指纹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ExtraTrees</w:t>
            </w:r>
          </w:p>
        </w:tc>
        <w:tc>
          <w:tcPr>
            <w:tcW w:type="dxa" w:w="6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219 项扩展描述符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直方图梯度提升</w:t>
            </w:r>
          </w:p>
        </w:tc>
        <w:tc>
          <w:tcPr>
            <w:tcW w:type="dxa" w:w="6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219 项扩展描述符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Ridge 正则回归</w:t>
            </w:r>
          </w:p>
        </w:tc>
        <w:tc>
          <w:tcPr>
            <w:tcW w:type="dxa" w:w="6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219 项描述符＋Morgan 指纹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支持向量回归</w:t>
            </w:r>
          </w:p>
        </w:tc>
        <w:tc>
          <w:tcPr>
            <w:tcW w:type="dxa" w:w="6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219 项扩展描述符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ExtraTrees</w:t>
            </w:r>
          </w:p>
        </w:tc>
        <w:tc>
          <w:tcPr>
            <w:tcW w:type="dxa" w:w="6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219 项描述符＋Morgan 指纹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</w:rPr>
        <w:t>七个候选及参数在拟合前写入训练协议。每个候选只用训练集拟合，并在验证集评分；仅在验证集排名前三的候选之间比较双模型组合。组合的权重非负且总和为一；只有验证 RMSE 至少改善 1% 才采用集成，否则保留最优单模型。确定成员和权重后，用训练加验证数据重新拟合。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1641"/>
        <w:gridCol w:w="1641"/>
        <w:gridCol w:w="1641"/>
        <w:gridCol w:w="1641"/>
      </w:tblGrid>
      <w:tr>
        <w:trPr>
          <w:tblHeader/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目标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训练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验证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校准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测试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水溶解度 logS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6149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769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768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224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pH 7.4 分配系数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2664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410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410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615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水合自由能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469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46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46</w:t>
            </w:r>
          </w:p>
        </w:tc>
        <w:tc>
          <w:tcPr>
            <w:tcW w:type="dxa" w:w="16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78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</w:rPr>
        <w:t>划分保持完整分子骨架互不交叉，全部无环分子按同一骨架组处理。校准集只用于计算误差区间，测试集只用于最终报告；测试标签没有进入候选排序或集成权重拟合。各分区的结构身份与骨架交集均为零。</w:t>
      </w:r>
    </w:p>
    <w:p>
      <w:r>
        <w:rPr>
          <w:b w:val="0"/>
          <w:sz w:val="21"/>
        </w:rPr>
        <w:t>无法计算的扩展描述符记为缺失，不填造化学数值。每个候选的中位数填补和标准化只在其拟合集上学习。主模型与训练共用同一特征实现，并核对 RDKit、scikit-learn 和特征版本。CPU 最多使用两个训练线程，特征以 float32 缓存到磁盘。</w:t>
      </w:r>
    </w:p>
    <w:p>
      <w:pPr>
        <w:pStyle w:val="Heading1"/>
        <w:pageBreakBefore/>
      </w:pPr>
      <w:r>
        <w:t>5 真实预测成绩与适用范围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42"/>
        <w:gridCol w:w="1224"/>
        <w:gridCol w:w="1800"/>
        <w:gridCol w:w="1800"/>
        <w:gridCol w:w="1800"/>
      </w:tblGrid>
      <w:tr>
        <w:trPr>
          <w:tblHeader/>
          <w:cantSplit/>
        </w:trPr>
        <w:tc>
          <w:tcPr>
            <w:tcW w:type="dxa" w:w="35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性质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测试数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R²</w:t>
            </w:r>
          </w:p>
        </w:tc>
      </w:tr>
      <w:tr>
        <w:trPr>
          <w:cantSplit/>
        </w:trPr>
        <w:tc>
          <w:tcPr>
            <w:tcW w:type="dxa" w:w="35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水溶解度 logS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224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0.8256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0.6374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0.8415</w:t>
            </w:r>
          </w:p>
        </w:tc>
      </w:tr>
      <w:tr>
        <w:trPr>
          <w:cantSplit/>
        </w:trPr>
        <w:tc>
          <w:tcPr>
            <w:tcW w:type="dxa" w:w="35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pH 7.4 分配系数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615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0.7269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0.5514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0.6095</w:t>
            </w:r>
          </w:p>
        </w:tc>
      </w:tr>
      <w:tr>
        <w:trPr>
          <w:cantSplit/>
        </w:trPr>
        <w:tc>
          <w:tcPr>
            <w:tcW w:type="dxa" w:w="35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水合自由能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78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1.3424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1.0967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0.8038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Caption"/>
      </w:pPr>
      <w:r>
        <w:t>表中 logS 与 logD 使用各自对数单位；水合自由能使用 kcal/mol。不同性质的 RMSE 不能横向当作同一尺度比较。</w:t>
      </w:r>
    </w:p>
    <w:p>
      <w:r>
        <w:rPr>
          <w:b w:val="0"/>
          <w:sz w:val="20"/>
        </w:rPr>
        <w:t>同一固定测试集上的对比显示：logS 与 logD₇.₄ 的 RMSE 下降，水合自由能从 1.3339 略增至 1.3424 kcal/mol。升级并未改善每一个目标，本次保留验证集选择结果，没有据测试结果重挑模型。</w:t>
      </w:r>
    </w:p>
    <w:p>
      <w:r>
        <w:drawing>
          <wp:inline xmlns:a="http://schemas.openxmlformats.org/drawingml/2006/main" xmlns:pic="http://schemas.openxmlformats.org/drawingml/2006/picture">
            <wp:extent cx="6455664" cy="2017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edictions_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201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交付模型在全部固定测试行上的真实值与预测值  虚线表示预测等于观测，偏离距离反映误差。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574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性质</w:t>
            </w:r>
          </w:p>
        </w:tc>
        <w:tc>
          <w:tcPr>
            <w:tcW w:type="dxa" w:w="75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最终成员与权重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水溶解度 logS</w:t>
            </w:r>
          </w:p>
        </w:tc>
        <w:tc>
          <w:tcPr>
            <w:tcW w:type="dxa" w:w="75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梯度提升 219D 52.7%；ExtraTrees 219D＋指纹 47.3%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pH 7.4 分配系数</w:t>
            </w:r>
          </w:p>
        </w:tc>
        <w:tc>
          <w:tcPr>
            <w:tcW w:type="dxa" w:w="75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支持向量回归 219D 54.0%；梯度提升 219D 46.0%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水合自由能</w:t>
            </w:r>
          </w:p>
        </w:tc>
        <w:tc>
          <w:tcPr>
            <w:tcW w:type="dxa" w:w="75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Ridge 219D＋指纹 55.1%；ExtraTrees 219D 44.9%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1584"/>
        <w:gridCol w:w="2592"/>
        <w:gridCol w:w="2822"/>
      </w:tblGrid>
      <w:tr>
        <w:trPr>
          <w:tblHeader/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性质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名义覆盖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实际测试覆盖</w:t>
            </w:r>
          </w:p>
        </w:tc>
        <w:tc>
          <w:tcPr>
            <w:tcW w:type="dxa" w:w="28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平均区间全宽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水溶解度 logS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90%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95.98%</w:t>
            </w:r>
          </w:p>
        </w:tc>
        <w:tc>
          <w:tcPr>
            <w:tcW w:type="dxa" w:w="28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3.682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pH 7.4 分配系数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90%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85.85%</w:t>
            </w:r>
          </w:p>
        </w:tc>
        <w:tc>
          <w:tcPr>
            <w:tcW w:type="dxa" w:w="28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2.095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水合自由能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90%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100.00%</w:t>
            </w:r>
          </w:p>
        </w:tc>
        <w:tc>
          <w:tcPr>
            <w:tcW w:type="dxa" w:w="28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12.172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sz w:val="20"/>
        </w:rPr>
        <w:t>RMSE 和 MAE 越小越好；R² 不是预测正确率。logS 相差一个单位，浓度相差十倍。名义 90% 区间来自独立校准集残差，不保证任意新分子的覆盖。尤其水合自由能只有 46 个校准样本，应同时阅读区间宽度。</w:t>
      </w:r>
    </w:p>
    <w:p>
      <w:r>
        <w:rPr>
          <w:b/>
          <w:sz w:val="20"/>
        </w:rPr>
        <w:t>未达到名义水平：pH 7.4 分配系数 实际覆盖 85.85%。本次保留这个结果，没有针对测试集重新调整区间。</w:t>
      </w:r>
    </w:p>
    <w:p>
      <w:r>
        <w:rPr>
          <w:b w:val="0"/>
          <w:sz w:val="20"/>
        </w:rPr>
        <w:t>指标使用固定内部测试集，并已在开发过程中查看过；本次没有获得新的外部实验验证。模型遇到明显过大、特征越界的结构会隐藏数值与成员预测，通过筛查也不证明可靠。</w:t>
      </w:r>
    </w:p>
    <w:p>
      <w:pPr>
        <w:pStyle w:val="Heading1"/>
        <w:pageBreakBefore/>
      </w:pPr>
      <w:r>
        <w:t>6 深入分析与计算耗时</w:t>
      </w:r>
    </w:p>
    <w:p>
      <w:r>
        <w:rPr>
          <w:b w:val="0"/>
        </w:rPr>
        <w:t>深入模式先运行与标准模式相同的性质模型，再在独立进程中生成三维构象。ETKDGv3 最多请求 16 个构象，按几何相似程度去重，再用 MMFF94 优化。页面可旋转球棍图、切换构象并比较同一分子的相对能量。</w:t>
      </w:r>
    </w:p>
    <w:p>
      <w:r>
        <w:rPr>
          <w:b/>
        </w:rPr>
        <w:t>只有优化收敛的构象进入图形、形状描述符和 SDF。若没有收敛构象，则返回明确失败状态。三维步骤不直接改变三个二维机器学习模型的预测，也不计算 DFT、溶液相自由能或跨分子的相对稳定性。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862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计算约束</w:t>
            </w:r>
          </w:p>
        </w:tc>
        <w:tc>
          <w:tcPr>
            <w:tcW w:type="dxa" w:w="78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实际处理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单任务时间</w:t>
            </w:r>
          </w:p>
        </w:tc>
        <w:tc>
          <w:tcPr>
            <w:tcW w:type="dxa" w:w="78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三维子进程最多 20 秒，包含启动时间；超时停止该进程并保留已完成的性质预测。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队列与取消</w:t>
            </w:r>
          </w:p>
        </w:tc>
        <w:tc>
          <w:tcPr>
            <w:tcW w:type="dxa" w:w="78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单分析 worker，最多八个待处理任务；取消正在运行的任务会回收对应子进程。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结构规模</w:t>
            </w:r>
          </w:p>
        </w:tc>
        <w:tc>
          <w:tcPr>
            <w:tcW w:type="dxa" w:w="78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重原子超过 60、可旋转键超过 12 或加氢后超过 200 原子时跳过深入步骤。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参数与失败</w:t>
            </w:r>
          </w:p>
        </w:tc>
        <w:tc>
          <w:tcPr>
            <w:tcW w:type="dxa" w:w="78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缺少 MMFF94 参数、无法嵌入、未收敛、取消与超时分别报告，不制造占位结果。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6"/>
        <w:gridCol w:w="2304"/>
        <w:gridCol w:w="2304"/>
        <w:gridCol w:w="2822"/>
      </w:tblGrid>
      <w:tr>
        <w:trPr>
          <w:tblHeader/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样例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标准分析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深入分析</w:t>
            </w:r>
          </w:p>
        </w:tc>
        <w:tc>
          <w:tcPr>
            <w:tcW w:type="dxa" w:w="28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收敛构象数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乙醇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0.79 s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1.79 s</w:t>
            </w:r>
          </w:p>
        </w:tc>
        <w:tc>
          <w:tcPr>
            <w:tcW w:type="dxa" w:w="28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阿司匹林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0.42 s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1.60 s</w:t>
            </w:r>
          </w:p>
        </w:tc>
        <w:tc>
          <w:tcPr>
            <w:tcW w:type="dxa" w:w="28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咖啡因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0.43 s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1.77 s</w:t>
            </w:r>
          </w:p>
        </w:tc>
        <w:tc>
          <w:tcPr>
            <w:tcW w:type="dxa" w:w="28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对乙酰氨基酚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0.44 s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1.73 s</w:t>
            </w:r>
          </w:p>
        </w:tc>
        <w:tc>
          <w:tcPr>
            <w:tcW w:type="dxa" w:w="28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山梨醇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0.45 s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2.01 s</w:t>
            </w:r>
          </w:p>
        </w:tc>
        <w:tc>
          <w:tcPr>
            <w:tcW w:type="dxa" w:w="28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16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sz w:val="21"/>
        </w:rPr>
        <w:t>上述是当前 Windows 电脑上的五种普通分子，每种模式各运行一次，计入 HTTP 提交与轮询时间。硬件为 Intel Core i7-13700H、16 GB 内存；时间会受负载和结构复杂性影响，不代表任意输入或高并发的保证。</w:t>
      </w:r>
    </w:p>
    <w:p>
      <w:r>
        <w:rPr>
          <w:b w:val="0"/>
          <w:sz w:val="21"/>
        </w:rPr>
        <w:t>最近任务保存在独立的本地工作记录库，保留最近一百个终态任务。实验与 QM9 参考库不被计算历史修改；交付压缩包也不包含个人历史和临时构象附件。</w:t>
      </w:r>
    </w:p>
    <w:p>
      <w:pPr>
        <w:pStyle w:val="Heading1"/>
        <w:pageBreakBefore/>
      </w:pPr>
      <w:r>
        <w:t>7 前端工作台与操作验收</w:t>
      </w:r>
    </w:p>
    <w:p>
      <w:r>
        <w:rPr>
          <w:b w:val="0"/>
        </w:rPr>
        <w:t>页面围绕分析、对比、参考数据库和模型证据组织。输入修改后会清除旧结果；用户可以读取完整 JSON，查看未命中、范围外或失败原因，而不是只看到一个缺少来源的预测数值。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55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ep-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5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V3 实际深入分析页面  三维坐标与构象来自本机 MMFF94 计算，不使用示意数值替代结果。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934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交互</w:t>
            </w:r>
          </w:p>
        </w:tc>
        <w:tc>
          <w:tcPr>
            <w:tcW w:type="dxa" w:w="79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实现要点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结构查看</w:t>
            </w:r>
          </w:p>
        </w:tc>
        <w:tc>
          <w:tcPr>
            <w:tcW w:type="dxa" w:w="79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二维与交互三维切换；拖动旋转、滚轮缩放、键盘控制和构象选择。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分子对比</w:t>
            </w:r>
          </w:p>
        </w:tc>
        <w:tc>
          <w:tcPr>
            <w:tcW w:type="dxa" w:w="79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最多四个结果并排显示，保留单位、区间与适用范围状态。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批量与导出</w:t>
            </w:r>
          </w:p>
        </w:tc>
        <w:tc>
          <w:tcPr>
            <w:tcW w:type="dxa" w:w="79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粘贴或 CSV 导入最多 50 行；逐行保留错误；JSON、CSV 和 SDF 各自保留相应信息。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移动端与外观</w:t>
            </w:r>
          </w:p>
        </w:tc>
        <w:tc>
          <w:tcPr>
            <w:tcW w:type="dxa" w:w="79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响应式布局、深浅色模式；关键操作和错误提示可在小屏幕访问。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sz w:val="21"/>
        </w:rPr>
        <w:t>页面数值区分模型估计、结构计算、实验记录和文献计算参考。模型证据页可以追溯候选评分、最终成员、测试样本数量与区间覆盖，而不把算法复杂程度当成正确性证明。</w:t>
      </w:r>
    </w:p>
    <w:p>
      <w:pPr>
        <w:pStyle w:val="Heading1"/>
        <w:pageBreakBefore/>
      </w:pPr>
      <w:r>
        <w:t>8 验收结果与题目对应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4176"/>
        <w:gridCol w:w="3614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验收层面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36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证据文件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自动测试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86 项通过，0 失败，0 跳过</w:t>
            </w:r>
          </w:p>
        </w:tc>
        <w:tc>
          <w:tcPr>
            <w:tcW w:type="dxa" w:w="36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reports/automated-tests.txt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真实 HTTP 样例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65 项断言通过；十次分析</w:t>
            </w:r>
          </w:p>
        </w:tc>
        <w:tc>
          <w:tcPr>
            <w:tcW w:type="dxa" w:w="36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reports/live_acceptance.json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浏览器工作流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23 项实际检查通过</w:t>
            </w:r>
          </w:p>
        </w:tc>
        <w:tc>
          <w:tcPr>
            <w:tcW w:type="dxa" w:w="36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reports/browser-qa.json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数据与模型追溯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哈希、划分隔离、校准与全部测试预测重算</w:t>
            </w:r>
          </w:p>
        </w:tc>
        <w:tc>
          <w:tcPr>
            <w:tcW w:type="dxa" w:w="36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reports 下各性质审计文件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</w:rPr>
        <w:t>自动验收包含非法输入、部分模型缺失、结构范围外数值遮蔽、数据库筛选、缺失索引降级、真实构象与 SDF 回读、排队和运行中取消、超时及服务关闭回收。真实模型审计重新计算全部测试预测与指标，避免报告和交付模型脱节。</w:t>
      </w:r>
    </w:p>
    <w:p>
      <w:pPr>
        <w:pStyle w:val="Heading2"/>
      </w:pPr>
      <w:r>
        <w:t>与实操题核心要求对应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6782"/>
      </w:tblGrid>
      <w:tr>
        <w:trPr>
          <w:tblHeader/>
          <w:cantSplit/>
        </w:trPr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题目要求</w:t>
            </w:r>
          </w:p>
        </w:tc>
        <w:tc>
          <w:tcPr>
            <w:tcW w:type="dxa" w:w="67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V3 对应实现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Python API 与 POST /predict</w:t>
            </w:r>
          </w:p>
        </w:tc>
        <w:tc>
          <w:tcPr>
            <w:tcW w:type="dxa" w:w="67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FastAPI 实际路由；含 smiles 的 JSON 输入和题面要求的核心输出字段。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RDKit 处理分子</w:t>
            </w:r>
          </w:p>
        </w:tc>
        <w:tc>
          <w:tcPr>
            <w:tcW w:type="dxa" w:w="67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解析、规范化、MW、LogP、HBD、HBA、TPSA、二维结构图及扩展描述符。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ESOL 与指定算法</w:t>
            </w:r>
          </w:p>
        </w:tc>
        <w:tc>
          <w:tcPr>
            <w:tcW w:type="dxa" w:w="67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独立题目兼容模型使用 ESOL 实测标签及 RandomForestRegressor；主模型是扩展方案。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保存并加载 model.pkl</w:t>
            </w:r>
          </w:p>
        </w:tc>
        <w:tc>
          <w:tcPr>
            <w:tcW w:type="dxa" w:w="67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根目录保留纯 ESOL model.pkl；题目兼容接口启动加载、请求时复用。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网页与测试截图</w:t>
            </w:r>
          </w:p>
        </w:tc>
        <w:tc>
          <w:tcPr>
            <w:tcW w:type="dxa" w:w="67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单分子网页、输入提示、结果展示、真实浏览器记录及截图随包提供。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sz w:val="21"/>
        </w:rPr>
        <w:t>需要说明的差异是：主系统 /predict 使用多数据源扩展模型；纯 ESOL 指定算法通过 /assignment/predict 单独复核。若评阅只允许题面原始方案，应使用这个明确标记的兼容入口，不能把主模型成绩当作纯 ESOL 成绩。兼容接口阿司匹林实际响应约为 -1.9999771 logS。</w:t>
      </w:r>
    </w:p>
    <w:p>
      <w:r>
        <w:rPr>
          <w:b w:val="0"/>
          <w:sz w:val="20"/>
        </w:rPr>
        <w:t>本报告描述已完成的本地实现与验收。未执行题目所列邮箱发送，也没有将工程测试等同于独立化学实验。</w:t>
      </w:r>
    </w:p>
    <w:p>
      <w:pPr>
        <w:pStyle w:val="Heading1"/>
        <w:pageBreakBefore/>
      </w:pPr>
      <w:r>
        <w:t>9 交付内容与复现方法</w:t>
      </w:r>
    </w:p>
    <w:p>
      <w:r>
        <w:rPr>
          <w:b w:val="0"/>
        </w:rPr>
        <w:t>V3 压缩包包含前后端源码、三个主模型及题目兼容模型、两个参考数据库、原始快照、训练脚本、固定依赖、测试、截图和本报告。启动不需要安装 Node.js。虚拟环境、个人计算历史和训练中间缓存不进入交付包。</w:t>
      </w:r>
    </w:p>
    <w:p>
      <w:pPr>
        <w:pStyle w:val="Heading2"/>
      </w:pPr>
      <w:r>
        <w:t>在当前电脑或新环境运行</w:t>
      </w:r>
    </w:p>
    <w:p>
      <w:pPr>
        <w:spacing w:after="0" w:line="252" w:lineRule="auto"/>
      </w:pPr>
      <w:r>
        <w:rPr>
          <w:rFonts w:ascii="Consolas" w:hAnsi="Consolas" w:eastAsia="宋体"/>
          <w:sz w:val="18"/>
        </w:rPr>
        <w:t>当前电脑  在 V3 项目目录执行</w:t>
      </w:r>
    </w:p>
    <w:p>
      <w:pPr>
        <w:spacing w:after="0" w:line="252" w:lineRule="auto"/>
      </w:pPr>
      <w:r>
        <w:rPr>
          <w:rFonts w:ascii="Consolas" w:hAnsi="Consolas" w:eastAsia="宋体"/>
          <w:sz w:val="18"/>
        </w:rPr>
        <w:t>.\start.ps1</w:t>
      </w:r>
    </w:p>
    <w:p>
      <w:pPr>
        <w:spacing w:after="0" w:line="252" w:lineRule="auto"/>
      </w:pPr>
      <w:r>
        <w:rPr>
          <w:rFonts w:ascii="Consolas" w:hAnsi="Consolas" w:eastAsia="宋体"/>
          <w:sz w:val="18"/>
        </w:rPr>
      </w:r>
    </w:p>
    <w:p>
      <w:pPr>
        <w:spacing w:after="0" w:line="252" w:lineRule="auto"/>
      </w:pPr>
      <w:r>
        <w:rPr>
          <w:rFonts w:ascii="Consolas" w:hAnsi="Consolas" w:eastAsia="宋体"/>
          <w:sz w:val="18"/>
        </w:rPr>
        <w:t>新电脑  先安装 Python 3.12</w:t>
      </w:r>
    </w:p>
    <w:p>
      <w:pPr>
        <w:spacing w:after="0" w:line="252" w:lineRule="auto"/>
      </w:pPr>
      <w:r>
        <w:rPr>
          <w:rFonts w:ascii="Consolas" w:hAnsi="Consolas" w:eastAsia="宋体"/>
          <w:sz w:val="18"/>
        </w:rPr>
        <w:t>py -3.12 -m venv .venv</w:t>
      </w:r>
    </w:p>
    <w:p>
      <w:pPr>
        <w:spacing w:after="0" w:line="252" w:lineRule="auto"/>
      </w:pPr>
      <w:r>
        <w:rPr>
          <w:rFonts w:ascii="Consolas" w:hAnsi="Consolas" w:eastAsia="宋体"/>
          <w:sz w:val="18"/>
        </w:rPr>
        <w:t>.\.venv\Scripts\python.exe -m pip install -r requirements.txt</w:t>
      </w:r>
    </w:p>
    <w:p>
      <w:pPr>
        <w:spacing w:after="0" w:line="252" w:lineRule="auto"/>
      </w:pPr>
      <w:r>
        <w:rPr>
          <w:rFonts w:ascii="Consolas" w:hAnsi="Consolas" w:eastAsia="宋体"/>
          <w:sz w:val="18"/>
        </w:rPr>
        <w:t>.\start.ps1</w:t>
      </w:r>
    </w:p>
    <w:p>
      <w:pPr>
        <w:spacing w:after="0" w:line="252" w:lineRule="auto"/>
      </w:pPr>
      <w:r>
        <w:rPr>
          <w:rFonts w:ascii="Consolas" w:hAnsi="Consolas" w:eastAsia="宋体"/>
          <w:sz w:val="18"/>
        </w:rPr>
      </w:r>
    </w:p>
    <w:p>
      <w:pPr>
        <w:spacing w:after="0" w:line="252" w:lineRule="auto"/>
      </w:pPr>
      <w:r>
        <w:rPr>
          <w:rFonts w:ascii="Consolas" w:hAnsi="Consolas" w:eastAsia="宋体"/>
          <w:sz w:val="18"/>
        </w:rPr>
        <w:t>自动验收</w:t>
      </w:r>
    </w:p>
    <w:p>
      <w:pPr>
        <w:spacing w:after="0" w:line="252" w:lineRule="auto"/>
      </w:pPr>
      <w:r>
        <w:rPr>
          <w:rFonts w:ascii="Consolas" w:hAnsi="Consolas" w:eastAsia="宋体"/>
          <w:sz w:val="18"/>
        </w:rPr>
        <w:t>.\start.ps1 -Test</w:t>
      </w:r>
    </w:p>
    <w:p>
      <w:pPr>
        <w:spacing w:after="0"/>
      </w:pPr>
    </w:p>
    <w:p>
      <w:r>
        <w:rPr>
          <w:b w:val="0"/>
        </w:rPr>
        <w:t>默认访问 http://127.0.0.1:8003/；接口文档在 /docs。模型序列化与 RDKit 特征依赖指定软件版本，换版本后应重新训练并核验。新电脑第一次安装依赖需要网络，正常网页预测与数据库查询可离线运行。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86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复核目标</w:t>
            </w:r>
          </w:p>
        </w:tc>
        <w:tc>
          <w:tcPr>
            <w:tcW w:type="dxa" w:w="72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7EF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入口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使用和 API</w:t>
            </w:r>
          </w:p>
        </w:tc>
        <w:tc>
          <w:tcPr>
            <w:tcW w:type="dxa" w:w="72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README.md；docs/API_EXAMPLES.json；浏览器 /docs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候选协议与验证选择</w:t>
            </w:r>
          </w:p>
        </w:tc>
        <w:tc>
          <w:tcPr>
            <w:tcW w:type="dxa" w:w="72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reports/&lt;性质&gt;/training_protocol.json 和 validation_predictions.csv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预测与误差</w:t>
            </w:r>
          </w:p>
        </w:tc>
        <w:tc>
          <w:tcPr>
            <w:tcW w:type="dxa" w:w="72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reports/&lt;性质&gt;/test_predictions.csv 和 metrics.json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原始数据与许可</w:t>
            </w:r>
          </w:p>
        </w:tc>
        <w:tc>
          <w:tcPr>
            <w:tcW w:type="dxa" w:w="72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data/SOURCES.md、data/raw、reports/catalog_audit.json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自动与浏览器验收</w:t>
            </w:r>
          </w:p>
        </w:tc>
        <w:tc>
          <w:tcPr>
            <w:tcW w:type="dxa" w:w="72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reports/automated-tests.txt、live_acceptance.json、browser-qa.json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归档完整性</w:t>
            </w:r>
          </w:p>
        </w:tc>
        <w:tc>
          <w:tcPr>
            <w:tcW w:type="dxa" w:w="72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PACKAGE_MANIFEST.json 记录文件 SHA-256；打包后另核 ZIP CRC、解压哈希及接口运行。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尚未完成的验证</w:t>
      </w:r>
    </w:p>
    <w:p>
      <w:r>
        <w:rPr>
          <w:b w:val="0"/>
          <w:sz w:val="21"/>
        </w:rPr>
        <w:t>当前没有新实验测量、独立外部数据验证、多次独立划分的稳定性研究或生产并发测试。开发使用的固定测试集并非全新的盲测集。区间、结构相似度和构象收敛都只能支持各自范围内的结论，不能据此作出药效、毒性或临床判断。</w:t>
      </w:r>
    </w:p>
    <w:p>
      <w:r>
        <w:rPr>
          <w:b w:val="0"/>
          <w:sz w:val="19"/>
        </w:rPr>
        <w:t>主要方法来源：RDKit 官方文档 https://www.rdkit.org/docs/RDKit_Book.html；QM9 原始研究 DOI 10.1038/sdata.2014.22；ESOL 原始研究 DOI 10.1021/ci034243x。完整数据库来源与许可见包内 SOURCES.md。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V3 分子研究工作台项目报告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20"/>
    </w:pPr>
    <w:rPr>
      <w:rFonts w:ascii="宋体" w:hAnsi="宋体" w:eastAsia="宋体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3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4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23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/>
      <w:b w:val="0"/>
      <w:i w:val="0"/>
      <w:color w:val="000000"/>
      <w:sz w:val="20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i w:val="0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/>
    </w:pPr>
    <w:rPr>
      <w:rFonts w:asciiTheme="majorHAnsi" w:eastAsiaTheme="majorEastAsia" w:hAnsiTheme="majorHAnsi" w:cstheme="majorBidi" w:ascii="微软雅黑" w:hAnsi="微软雅黑" w:eastAsia="微软雅黑"/>
      <w:b w:val="0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宋体" w:hAnsi="宋体" w:eastAsia="宋体"/>
      <w:b w:val="0"/>
      <w:bCs/>
      <w:i w:val="0"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V3 分子研究工作台项目报告</dc:title>
  <dc:subject>V3 实现方法与验收结果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