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1</w:t>
      </w:r>
    </w:p>
    <w:p>
      <w:pPr>
        <w:pStyle w:val="Author"/>
      </w:pPr>
      <w:r>
        <w:t xml:space="preserve">Elena Song</w:t>
      </w:r>
    </w:p>
    <w:p>
      <w:pPr>
        <w:pStyle w:val="Date"/>
      </w:pPr>
      <w:r>
        <w:t xml:space="preserve">2026-10-14</w:t>
      </w:r>
    </w:p>
    <w:bookmarkStart w:id="20" w:name="analytic-dataset"/>
    <w:p>
      <w:pPr>
        <w:pStyle w:val="Heading2"/>
      </w:pPr>
      <w:r>
        <w:t xml:space="preserve">Analytic Dataset</w:t>
      </w:r>
    </w:p>
    <w:p>
      <w:pPr>
        <w:pStyle w:val="FirstParagraph"/>
      </w:pPr>
      <w:r>
        <w:t xml:space="preserve">The analytic dataset contains 550 rows and 14 variables. Each row represents one patient encounter. The dataset combines encounter-level information, including encounter type, temperature, distress score, WBC, and BMI, with patient-level demographic and clinical characteristics, including race, ethnicity, financial class, hypertension, CHF, and diabetes.</w:t>
      </w:r>
    </w:p>
    <w:p>
      <w:pPr>
        <w:pStyle w:val="BodyText"/>
      </w:pPr>
      <w:r>
        <w:t xml:space="preserve"> </w:t>
      </w:r>
    </w:p>
    <w:bookmarkEnd w:id="20"/>
    <w:bookmarkStart w:id="21" w:name="data-cleaning"/>
    <w:p>
      <w:pPr>
        <w:pStyle w:val="Heading2"/>
      </w:pPr>
      <w:r>
        <w:t xml:space="preserve">Data Cleaning</w:t>
      </w:r>
    </w:p>
    <w:p>
      <w:pPr>
        <w:pStyle w:val="FirstParagraph"/>
      </w:pPr>
      <w:r>
        <w:t xml:space="preserve">The patient-level dataset contained no missing values. In the encounter-level dataset, 53 distress scores and 86 BMI values were missing. Six additional BMI values were negative and therefore considered implausible; these values were recoded as missing. Dates were converted from character strings to date variables. Fourteen WBC values were below the limit of detection and were set to 1 as specified in the project instructions.</w:t>
      </w:r>
    </w:p>
    <w:p>
      <w:pPr>
        <w:pStyle w:val="BodyText"/>
      </w:pPr>
      <w:r>
        <w:t xml:space="preserve"> </w:t>
      </w:r>
    </w:p>
    <w:bookmarkEnd w:id="21"/>
    <w:bookmarkStart w:id="22" w:name="wbc-summary-table"/>
    <w:p>
      <w:pPr>
        <w:pStyle w:val="Heading2"/>
      </w:pPr>
      <w:r>
        <w:t xml:space="preserve">WBC Summary Table</w:t>
      </w:r>
    </w:p>
    <w:p>
      <w:pPr>
        <w:pStyle w:val="FirstParagraph"/>
      </w:pPr>
      <w:r>
        <w:t xml:space="preserve">WBC was categorized as Low (&lt;3.2), Normal (3.2–9.8), High (&gt;9.8), or Not Taken. The table below summarizes the distribution of WBC categories across encounters.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WBC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Count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Not Taken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0%</w:t>
            </w:r>
          </w:p>
        </w:tc>
      </w:tr>
    </w:tbl>
    <w:p>
      <w:pPr>
        <w:pStyle w:val="BodyText"/>
      </w:pPr>
      <w:r>
        <w:t xml:space="preserve"> </w:t>
      </w:r>
    </w:p>
    <w:bookmarkEnd w:id="22"/>
    <w:bookmarkStart w:id="23" w:name="patient-characteristics"/>
    <w:p>
      <w:pPr>
        <w:pStyle w:val="Heading2"/>
      </w:pPr>
      <w:r>
        <w:t xml:space="preserve">Patient Characteristics</w:t>
      </w:r>
    </w:p>
    <w:p>
      <w:pPr>
        <w:pStyle w:val="FirstParagraph"/>
      </w:pPr>
      <w:r>
        <w:t xml:space="preserve">Table 1 summarizes demographic and clinical characteristics for the 50 unique patients in the patient-level dataset. Counts and percentages are presented for race, ethnicity, financial class, hypertension, congestive heart failure, and diabetes.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(94%)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Financial 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(4.0%)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BodyText"/>
      </w:pPr>
      <w:r>
        <w:t xml:space="preserve"> </w:t>
      </w:r>
    </w:p>
    <w:bookmarkEnd w:id="23"/>
    <w:bookmarkStart w:id="24" w:name="software-versions"/>
    <w:p>
      <w:pPr>
        <w:pStyle w:val="Heading2"/>
      </w:pPr>
      <w:r>
        <w:t xml:space="preserve">Software Versions</w:t>
      </w:r>
    </w:p>
    <w:p>
      <w:pPr>
        <w:pStyle w:val="FirstParagraph"/>
      </w:pPr>
      <w:r>
        <w:t xml:space="preserve">This analysis was conducted using R version 4.5.2. The following package versions were used: tidyverse 2.0.0, here 1.0.2, lubridate 1.9.5, gt 1.3.0, and gtsummary 2.6.1.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</dc:title>
  <dc:creator>Elena Song</dc:creator>
  <cp:keywords/>
  <dcterms:created xsi:type="dcterms:W3CDTF">2026-10-15T02:29:00Z</dcterms:created>
  <dcterms:modified xsi:type="dcterms:W3CDTF">2026-10-15T02:29:00Z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2026-10-14</vt:lpwstr>
  </property>
  <property fmtid="{D5CDD505-2E9C-101B-9397-08002B2CF9AE}" pid="3" name="output">
    <vt:lpwstr>word_document</vt:lpwstr>
  </property>
</Properties>
</file>