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49AF3" w14:textId="77777777" w:rsidR="00BF1E91" w:rsidRDefault="00000000">
      <w:pPr>
        <w:spacing w:after="60"/>
      </w:pPr>
      <w:proofErr w:type="spellStart"/>
      <w:r>
        <w:rPr>
          <w:rFonts w:ascii="맑은 고딕" w:eastAsia="맑은 고딕" w:hAnsi="맑은 고딕" w:cs="맑은 고딕"/>
          <w:color w:val="808080"/>
          <w:sz w:val="19"/>
          <w:szCs w:val="19"/>
        </w:rPr>
        <w:t>Callog</w:t>
      </w:r>
      <w:proofErr w:type="spellEnd"/>
      <w:r>
        <w:rPr>
          <w:rFonts w:ascii="맑은 고딕" w:eastAsia="맑은 고딕" w:hAnsi="맑은 고딕" w:cs="맑은 고딕"/>
          <w:color w:val="808080"/>
          <w:sz w:val="19"/>
          <w:szCs w:val="19"/>
        </w:rPr>
        <w:t>(콜록) 프로젝트 · 내부 검증 문서</w:t>
      </w:r>
    </w:p>
    <w:p w14:paraId="19F929E8" w14:textId="77777777" w:rsidR="00BF1E91" w:rsidRDefault="00000000">
      <w:pPr>
        <w:spacing w:after="90"/>
      </w:pPr>
      <w:r>
        <w:rPr>
          <w:rFonts w:ascii="맑은 고딕" w:eastAsia="맑은 고딕" w:hAnsi="맑은 고딕" w:cs="맑은 고딕"/>
          <w:b/>
          <w:bCs/>
          <w:color w:val="1F3864"/>
          <w:sz w:val="38"/>
          <w:szCs w:val="38"/>
        </w:rPr>
        <w:t>위험도 가중치 근거자료 보강 및 검증 보고서</w:t>
      </w:r>
    </w:p>
    <w:p w14:paraId="06C963A7" w14:textId="77777777" w:rsidR="00BF1E91" w:rsidRDefault="00000000">
      <w:pPr>
        <w:spacing w:after="60"/>
      </w:pPr>
      <w:r>
        <w:rPr>
          <w:rFonts w:ascii="맑은 고딕" w:eastAsia="맑은 고딕" w:hAnsi="맑은 고딕" w:cs="맑은 고딕"/>
          <w:color w:val="2E5496"/>
          <w:sz w:val="22"/>
          <w:szCs w:val="22"/>
        </w:rPr>
        <w:t>— 검증완료(peer-reviewed) 자료 기준 —</w:t>
      </w:r>
    </w:p>
    <w:p w14:paraId="7700C43F" w14:textId="77777777" w:rsidR="00BF1E91" w:rsidRDefault="00000000">
      <w:pPr>
        <w:spacing w:after="280"/>
      </w:pPr>
      <w:r>
        <w:rPr>
          <w:rFonts w:ascii="맑은 고딕" w:eastAsia="맑은 고딕" w:hAnsi="맑은 고딕" w:cs="맑은 고딕"/>
          <w:color w:val="595959"/>
          <w:sz w:val="19"/>
          <w:szCs w:val="19"/>
        </w:rPr>
        <w:t>대상 서비스: help4-ax-ton.vercel.app   |   작성일: 2026-08-23   |   버전: 2.0</w:t>
      </w:r>
    </w:p>
    <w:p w14:paraId="7375A922" w14:textId="77777777" w:rsidR="00BF1E91" w:rsidRDefault="00BF1E91">
      <w:pPr>
        <w:pBdr>
          <w:bottom w:val="single" w:sz="6" w:space="1" w:color="BFBFBF"/>
        </w:pBdr>
        <w:spacing w:before="90" w:after="200"/>
      </w:pPr>
    </w:p>
    <w:p w14:paraId="03E66E1F" w14:textId="77777777" w:rsidR="00BF1E91" w:rsidRDefault="00000000">
      <w:pPr>
        <w:pStyle w:val="1"/>
        <w:spacing w:before="380" w:after="170"/>
      </w:pPr>
      <w:r>
        <w:rPr>
          <w:rFonts w:ascii="맑은 고딕" w:eastAsia="맑은 고딕" w:hAnsi="맑은 고딕" w:cs="맑은 고딕"/>
          <w:b/>
          <w:bCs/>
          <w:color w:val="1F3864"/>
          <w:sz w:val="29"/>
          <w:szCs w:val="29"/>
        </w:rPr>
        <w:t>1. 요약 (Executive Summary)</w:t>
      </w:r>
    </w:p>
    <w:p w14:paraId="3A1B5CF9" w14:textId="77777777" w:rsidR="00BF1E91" w:rsidRDefault="00000000">
      <w:pPr>
        <w:pBdr>
          <w:left w:val="single" w:sz="18" w:space="8" w:color="2E5496"/>
        </w:pBdr>
        <w:shd w:val="clear" w:color="auto" w:fill="EDF2FA"/>
        <w:spacing w:before="120" w:after="200" w:line="300" w:lineRule="auto"/>
        <w:ind w:left="160" w:right="160"/>
      </w:pPr>
      <w:r>
        <w:rPr>
          <w:rFonts w:ascii="맑은 고딕" w:eastAsia="맑은 고딕" w:hAnsi="맑은 고딕" w:cs="맑은 고딕"/>
        </w:rPr>
        <w:t xml:space="preserve">결론: 고혈압에 적용된 ×1.5 가중치는 국제 최고등급 근거(등급 A)로 뒷받침되며, 보고된 효과크기 범위(HR/OR 1.36~2.11)의 보수적 중앙값에 해당한다. 즉 과대추정 위험이 낮은 안전한 설정이다. 다만 ① 당뇨·흡연과의 상대 배율 서열, ② </w:t>
      </w:r>
      <w:proofErr w:type="spellStart"/>
      <w:r>
        <w:rPr>
          <w:rFonts w:ascii="맑은 고딕" w:eastAsia="맑은 고딕" w:hAnsi="맑은 고딕" w:cs="맑은 고딕"/>
        </w:rPr>
        <w:t>이상지질혈증</w:t>
      </w:r>
      <w:proofErr w:type="spellEnd"/>
      <w:r>
        <w:rPr>
          <w:rFonts w:ascii="맑은 고딕" w:eastAsia="맑은 고딕" w:hAnsi="맑은 고딕" w:cs="맑은 고딕"/>
        </w:rPr>
        <w:t xml:space="preserve"> 측정 지표 확정, ③ 다중 위험요인 결합 방식은 추가 조정이 필요하다.</w:t>
      </w:r>
    </w:p>
    <w:p w14:paraId="46CAA1C3" w14:textId="77777777" w:rsidR="00BF1E91" w:rsidRDefault="00000000">
      <w:pPr>
        <w:pStyle w:val="a4"/>
        <w:numPr>
          <w:ilvl w:val="0"/>
          <w:numId w:val="1"/>
        </w:numPr>
        <w:spacing w:after="80" w:line="290" w:lineRule="auto"/>
      </w:pPr>
      <w:r>
        <w:rPr>
          <w:rFonts w:ascii="맑은 고딕" w:eastAsia="맑은 고딕" w:hAnsi="맑은 고딕" w:cs="맑은 고딕"/>
        </w:rPr>
        <w:t>검증에 사용한 자료는 모두 동료심사(peer-reviewed) 학술지 게재 논문 및 학회 공식 발간물로 한정하였다.</w:t>
      </w:r>
    </w:p>
    <w:p w14:paraId="66AC7F7E" w14:textId="77777777" w:rsidR="00BF1E91" w:rsidRDefault="00000000">
      <w:pPr>
        <w:pStyle w:val="a4"/>
        <w:numPr>
          <w:ilvl w:val="0"/>
          <w:numId w:val="1"/>
        </w:numPr>
        <w:spacing w:after="80" w:line="290" w:lineRule="auto"/>
      </w:pPr>
      <w:r>
        <w:rPr>
          <w:rFonts w:ascii="맑은 고딕" w:eastAsia="맑은 고딕" w:hAnsi="맑은 고딕" w:cs="맑은 고딕"/>
        </w:rPr>
        <w:t>총 100만명 규모 개인참여자료 메타분석(Lancet), 52개국 환자-대조군 연구(Lancet), 한국인 32만명 국민건강보험 코호트 등 검증 완료된 대규모 연구를 우선 인용하였다.</w:t>
      </w:r>
    </w:p>
    <w:p w14:paraId="02A3F3D2" w14:textId="77777777" w:rsidR="00BF1E91" w:rsidRDefault="00000000">
      <w:pPr>
        <w:pStyle w:val="a4"/>
        <w:numPr>
          <w:ilvl w:val="0"/>
          <w:numId w:val="1"/>
        </w:numPr>
        <w:spacing w:after="80" w:line="290" w:lineRule="auto"/>
      </w:pPr>
      <w:r>
        <w:rPr>
          <w:rFonts w:ascii="맑은 고딕" w:eastAsia="맑은 고딕" w:hAnsi="맑은 고딕" w:cs="맑은 고딕"/>
        </w:rPr>
        <w:t>각 근거에 대해 효과크기·95% 신뢰구간·연구규모·근거등급을 함께 명시하여 재검증이 가능하도록 하였다.</w:t>
      </w:r>
    </w:p>
    <w:p w14:paraId="73D24E33" w14:textId="77777777" w:rsidR="00BF1E91" w:rsidRDefault="00000000">
      <w:pPr>
        <w:pStyle w:val="1"/>
        <w:spacing w:before="380" w:after="170"/>
      </w:pPr>
      <w:r>
        <w:rPr>
          <w:rFonts w:ascii="맑은 고딕" w:eastAsia="맑은 고딕" w:hAnsi="맑은 고딕" w:cs="맑은 고딕"/>
          <w:b/>
          <w:bCs/>
          <w:color w:val="1F3864"/>
          <w:sz w:val="29"/>
          <w:szCs w:val="29"/>
        </w:rPr>
        <w:t>2. 근거 등급 체계</w:t>
      </w:r>
    </w:p>
    <w:p w14:paraId="660EFD0D" w14:textId="77777777" w:rsidR="00BF1E91" w:rsidRDefault="00000000">
      <w:pPr>
        <w:spacing w:after="140" w:line="300" w:lineRule="auto"/>
      </w:pPr>
      <w:r>
        <w:rPr>
          <w:rFonts w:ascii="맑은 고딕" w:eastAsia="맑은 고딕" w:hAnsi="맑은 고딕" w:cs="맑은 고딕"/>
        </w:rPr>
        <w:t>본 보고서는 아래 기준으로 근거의 신뢰 수준을 분류하였다. 서비스 로직에 반영할 가중치는 원칙적으로 등급 A 근거에 기반해야 한다.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300"/>
        <w:gridCol w:w="3900"/>
      </w:tblGrid>
      <w:tr w:rsidR="00BF1E91" w14:paraId="0A62F3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2E549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0EC5BE" w14:textId="77777777" w:rsidR="00BF1E9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등급</w:t>
            </w:r>
          </w:p>
        </w:tc>
        <w:tc>
          <w:tcPr>
            <w:tcW w:w="4300" w:type="dxa"/>
            <w:shd w:val="clear" w:color="auto" w:fill="2E549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C50B0D" w14:textId="77777777" w:rsidR="00BF1E9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정의</w:t>
            </w:r>
          </w:p>
        </w:tc>
        <w:tc>
          <w:tcPr>
            <w:tcW w:w="3900" w:type="dxa"/>
            <w:shd w:val="clear" w:color="auto" w:fill="2E549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45C352" w14:textId="77777777" w:rsidR="00BF1E9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본 보고서 해당 자료</w:t>
            </w:r>
          </w:p>
        </w:tc>
      </w:tr>
      <w:tr w:rsidR="00BF1E91" w14:paraId="51D68C3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2EFD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11930F7" w14:textId="77777777" w:rsidR="00BF1E9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A</w:t>
            </w:r>
          </w:p>
        </w:tc>
        <w:tc>
          <w:tcPr>
            <w:tcW w:w="43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E783F1D" w14:textId="77777777" w:rsidR="00BF1E91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개인참여자료(IPD) 메타분석, 10만명 이상 대규모 전향적 코호트, 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멘델리안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무작위화(인과성 검증)</w:t>
            </w:r>
          </w:p>
        </w:tc>
        <w:tc>
          <w:tcPr>
            <w:tcW w:w="39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619E4AC" w14:textId="77777777" w:rsidR="00BF1E91" w:rsidRDefault="00000000">
            <w:pPr>
              <w:spacing w:after="40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Prospective Studies Collaboration(n=100만)</w:t>
            </w:r>
          </w:p>
          <w:p w14:paraId="1A66699C" w14:textId="77777777" w:rsidR="00BF1E91" w:rsidRDefault="00000000">
            <w:pPr>
              <w:spacing w:after="40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INTERHEART(n=29,972)</w:t>
            </w:r>
          </w:p>
          <w:p w14:paraId="65EE5851" w14:textId="77777777" w:rsidR="00BF1E91" w:rsidRDefault="00000000">
            <w:pPr>
              <w:spacing w:after="40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Korean Heart Study(n=268,315)</w:t>
            </w:r>
          </w:p>
          <w:p w14:paraId="03BF02AE" w14:textId="77777777" w:rsidR="00BF1E91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K-CVD(n=325,934)</w:t>
            </w:r>
          </w:p>
        </w:tc>
      </w:tr>
      <w:tr w:rsidR="00BF1E91" w14:paraId="184031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2CC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ECE5DB2" w14:textId="77777777" w:rsidR="00BF1E9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B</w:t>
            </w:r>
          </w:p>
        </w:tc>
        <w:tc>
          <w:tcPr>
            <w:tcW w:w="43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DED3A39" w14:textId="77777777" w:rsidR="00BF1E91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체계적 문헌고찰 기반 메타분석, 다기관 전향적 코호트</w:t>
            </w:r>
          </w:p>
        </w:tc>
        <w:tc>
          <w:tcPr>
            <w:tcW w:w="39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0DF7E43" w14:textId="77777777" w:rsidR="00BF1E91" w:rsidRDefault="00000000">
            <w:pPr>
              <w:spacing w:after="40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뇌졸중 메타분석(24개 연구, n=180만)</w:t>
            </w:r>
          </w:p>
          <w:p w14:paraId="28FBBD36" w14:textId="77777777" w:rsidR="00BF1E91" w:rsidRDefault="00000000">
            <w:pPr>
              <w:spacing w:after="40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당뇨병 IPD 분석(n=82,723)</w:t>
            </w:r>
          </w:p>
          <w:p w14:paraId="5C969788" w14:textId="77777777" w:rsidR="00BF1E91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EPIC-Norfolk 가족력 연구</w:t>
            </w:r>
          </w:p>
        </w:tc>
      </w:tr>
      <w:tr w:rsidR="00BF1E91" w14:paraId="3CED518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CE4D6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1AD1200" w14:textId="77777777" w:rsidR="00BF1E9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C</w:t>
            </w:r>
          </w:p>
        </w:tc>
        <w:tc>
          <w:tcPr>
            <w:tcW w:w="43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7986FFB" w14:textId="77777777" w:rsidR="00BF1E91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단일 코호트, 관찰연구, 이질성(I²)이 높은 메타분석</w:t>
            </w:r>
          </w:p>
        </w:tc>
        <w:tc>
          <w:tcPr>
            <w:tcW w:w="39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E0CABE7" w14:textId="77777777" w:rsidR="00BF1E91" w:rsidRDefault="00000000">
            <w:pPr>
              <w:spacing w:after="40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COVID-19 중증도 메타분석(I²=44~66%)</w:t>
            </w:r>
          </w:p>
          <w:p w14:paraId="572B8DD7" w14:textId="77777777" w:rsidR="00BF1E91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가족력 관련 개별 코호트</w:t>
            </w:r>
          </w:p>
        </w:tc>
      </w:tr>
    </w:tbl>
    <w:p w14:paraId="775DEC34" w14:textId="77777777" w:rsidR="00BF1E91" w:rsidRDefault="00000000">
      <w:pPr>
        <w:spacing w:before="140" w:after="220"/>
      </w:pPr>
      <w:r>
        <w:rPr>
          <w:rFonts w:ascii="맑은 고딕" w:eastAsia="맑은 고딕" w:hAnsi="맑은 고딕" w:cs="맑은 고딕"/>
          <w:i/>
          <w:iCs/>
          <w:color w:val="6E6E6E"/>
          <w:sz w:val="17"/>
          <w:szCs w:val="17"/>
        </w:rPr>
        <w:t>HR: Hazard Ratio(</w:t>
      </w:r>
      <w:proofErr w:type="spellStart"/>
      <w:r>
        <w:rPr>
          <w:rFonts w:ascii="맑은 고딕" w:eastAsia="맑은 고딕" w:hAnsi="맑은 고딕" w:cs="맑은 고딕"/>
          <w:i/>
          <w:iCs/>
          <w:color w:val="6E6E6E"/>
          <w:sz w:val="17"/>
          <w:szCs w:val="17"/>
        </w:rPr>
        <w:t>위험비</w:t>
      </w:r>
      <w:proofErr w:type="spellEnd"/>
      <w:r>
        <w:rPr>
          <w:rFonts w:ascii="맑은 고딕" w:eastAsia="맑은 고딕" w:hAnsi="맑은 고딕" w:cs="맑은 고딕"/>
          <w:i/>
          <w:iCs/>
          <w:color w:val="6E6E6E"/>
          <w:sz w:val="17"/>
          <w:szCs w:val="17"/>
        </w:rPr>
        <w:t>) · OR: Odds Ratio(</w:t>
      </w:r>
      <w:proofErr w:type="spellStart"/>
      <w:r>
        <w:rPr>
          <w:rFonts w:ascii="맑은 고딕" w:eastAsia="맑은 고딕" w:hAnsi="맑은 고딕" w:cs="맑은 고딕"/>
          <w:i/>
          <w:iCs/>
          <w:color w:val="6E6E6E"/>
          <w:sz w:val="17"/>
          <w:szCs w:val="17"/>
        </w:rPr>
        <w:t>교차비</w:t>
      </w:r>
      <w:proofErr w:type="spellEnd"/>
      <w:r>
        <w:rPr>
          <w:rFonts w:ascii="맑은 고딕" w:eastAsia="맑은 고딕" w:hAnsi="맑은 고딕" w:cs="맑은 고딕"/>
          <w:i/>
          <w:iCs/>
          <w:color w:val="6E6E6E"/>
          <w:sz w:val="17"/>
          <w:szCs w:val="17"/>
        </w:rPr>
        <w:t>) · RR: Relative Risk(상대위험도) · CI: 신뢰구간 · PAR: 인구기여위험도</w:t>
      </w:r>
    </w:p>
    <w:p w14:paraId="693B7542" w14:textId="77777777" w:rsidR="00BF1E91" w:rsidRDefault="00000000">
      <w:pPr>
        <w:pStyle w:val="1"/>
        <w:spacing w:before="380" w:after="170"/>
      </w:pPr>
      <w:r>
        <w:rPr>
          <w:rFonts w:ascii="맑은 고딕" w:eastAsia="맑은 고딕" w:hAnsi="맑은 고딕" w:cs="맑은 고딕"/>
          <w:b/>
          <w:bCs/>
          <w:color w:val="1F3864"/>
          <w:sz w:val="29"/>
          <w:szCs w:val="29"/>
        </w:rPr>
        <w:lastRenderedPageBreak/>
        <w:t>3. 위험요인별 가중치 검증 결과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1050"/>
        <w:gridCol w:w="2350"/>
        <w:gridCol w:w="2200"/>
        <w:gridCol w:w="800"/>
        <w:gridCol w:w="1750"/>
      </w:tblGrid>
      <w:tr w:rsidR="00BF1E91" w14:paraId="7104A6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dxa"/>
            <w:shd w:val="clear" w:color="auto" w:fill="2E549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0E543F" w14:textId="77777777" w:rsidR="00BF1E9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위험요인</w:t>
            </w:r>
          </w:p>
        </w:tc>
        <w:tc>
          <w:tcPr>
            <w:tcW w:w="1050" w:type="dxa"/>
            <w:shd w:val="clear" w:color="auto" w:fill="2E549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C2C49D" w14:textId="77777777" w:rsidR="00BF1E9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가중치</w:t>
            </w:r>
          </w:p>
        </w:tc>
        <w:tc>
          <w:tcPr>
            <w:tcW w:w="2350" w:type="dxa"/>
            <w:shd w:val="clear" w:color="auto" w:fill="2E549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FD78B4" w14:textId="77777777" w:rsidR="00BF1E9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검증된 효과크기 (95% CI)</w:t>
            </w:r>
          </w:p>
        </w:tc>
        <w:tc>
          <w:tcPr>
            <w:tcW w:w="2200" w:type="dxa"/>
            <w:shd w:val="clear" w:color="auto" w:fill="2E549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0C57AD" w14:textId="77777777" w:rsidR="00BF1E9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연구 설계·규모</w:t>
            </w:r>
          </w:p>
        </w:tc>
        <w:tc>
          <w:tcPr>
            <w:tcW w:w="800" w:type="dxa"/>
            <w:shd w:val="clear" w:color="auto" w:fill="2E549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8C49DD" w14:textId="77777777" w:rsidR="00BF1E9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등급</w:t>
            </w:r>
          </w:p>
        </w:tc>
        <w:tc>
          <w:tcPr>
            <w:tcW w:w="1750" w:type="dxa"/>
            <w:shd w:val="clear" w:color="auto" w:fill="2E549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FA57BB" w14:textId="77777777" w:rsidR="00BF1E9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판정</w:t>
            </w:r>
          </w:p>
        </w:tc>
      </w:tr>
      <w:tr w:rsidR="00BF1E91" w14:paraId="1D67BE04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A8103A2" w14:textId="77777777" w:rsidR="00BF1E91" w:rsidRDefault="00000000"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고혈압</w:t>
            </w:r>
          </w:p>
        </w:tc>
        <w:tc>
          <w:tcPr>
            <w:tcW w:w="105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27537FE" w14:textId="77777777" w:rsidR="00BF1E9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×1.5</w:t>
            </w:r>
          </w:p>
        </w:tc>
        <w:tc>
          <w:tcPr>
            <w:tcW w:w="235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5F1D276" w14:textId="77777777" w:rsidR="00BF1E91" w:rsidRDefault="00000000">
            <w:pPr>
              <w:spacing w:after="40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HR 1.36 (1.24–1.49) — CVD 발생</w:t>
            </w:r>
          </w:p>
          <w:p w14:paraId="29239B69" w14:textId="77777777" w:rsidR="00BF1E91" w:rsidRDefault="00000000">
            <w:pPr>
              <w:spacing w:after="40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OR 1.91 — 심근경색</w:t>
            </w:r>
          </w:p>
          <w:p w14:paraId="560DDADE" w14:textId="77777777" w:rsidR="00BF1E91" w:rsidRDefault="00000000">
            <w:pPr>
              <w:spacing w:after="40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HR 1.49 (1.38–1.61) — SBP 10mmHg당</w:t>
            </w:r>
          </w:p>
          <w:p w14:paraId="6C925AAD" w14:textId="77777777" w:rsidR="00BF1E91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RR/HR 1.3–2.1 — 뇌졸중</w:t>
            </w:r>
          </w:p>
        </w:tc>
        <w:tc>
          <w:tcPr>
            <w:tcW w:w="22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5AD8B7E" w14:textId="77777777" w:rsidR="00BF1E91" w:rsidRDefault="00000000">
            <w:pPr>
              <w:spacing w:after="40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61개 코호트 IPD 100만명</w:t>
            </w:r>
          </w:p>
          <w:p w14:paraId="2DCD494D" w14:textId="77777777" w:rsidR="00BF1E91" w:rsidRDefault="00000000">
            <w:pPr>
              <w:spacing w:after="40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52개국 환자-대조군 29,972명</w:t>
            </w:r>
          </w:p>
          <w:p w14:paraId="3781D15C" w14:textId="77777777" w:rsidR="00BF1E91" w:rsidRDefault="00000000">
            <w:pPr>
              <w:spacing w:after="40"/>
            </w:pP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멘델리안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무작위화</w:t>
            </w:r>
          </w:p>
          <w:p w14:paraId="0A498DB8" w14:textId="77777777" w:rsidR="00BF1E91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24개 연구 180만명</w:t>
            </w:r>
          </w:p>
        </w:tc>
        <w:tc>
          <w:tcPr>
            <w:tcW w:w="8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2CE7069" w14:textId="77777777" w:rsidR="00BF1E9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A</w:t>
            </w:r>
          </w:p>
        </w:tc>
        <w:tc>
          <w:tcPr>
            <w:tcW w:w="1750" w:type="dxa"/>
            <w:shd w:val="clear" w:color="auto" w:fill="E2EFD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4BB3833" w14:textId="77777777" w:rsidR="00BF1E91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타당 — 문헌 범위 중앙값</w:t>
            </w:r>
          </w:p>
        </w:tc>
      </w:tr>
      <w:tr w:rsidR="00BF1E91" w14:paraId="19C9EC27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FF16FDA" w14:textId="77777777" w:rsidR="00BF1E91" w:rsidRDefault="00000000"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당뇨병</w:t>
            </w:r>
          </w:p>
        </w:tc>
        <w:tc>
          <w:tcPr>
            <w:tcW w:w="105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C5CD436" w14:textId="77777777" w:rsidR="00BF1E9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×2.0 권고</w:t>
            </w:r>
          </w:p>
        </w:tc>
        <w:tc>
          <w:tcPr>
            <w:tcW w:w="235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0460989" w14:textId="77777777" w:rsidR="00BF1E91" w:rsidRDefault="00000000">
            <w:pPr>
              <w:spacing w:after="40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OR 2.37 — 심근경색</w:t>
            </w:r>
          </w:p>
          <w:p w14:paraId="49E8B884" w14:textId="77777777" w:rsidR="00BF1E91" w:rsidRDefault="00000000">
            <w:pPr>
              <w:spacing w:after="40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RR 약 2.0 — 관상동맥질환</w:t>
            </w:r>
          </w:p>
          <w:p w14:paraId="7FFB8195" w14:textId="77777777" w:rsidR="00BF1E91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HR 1.44 (1.40–1.49) — 65세 이상</w:t>
            </w:r>
          </w:p>
        </w:tc>
        <w:tc>
          <w:tcPr>
            <w:tcW w:w="22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EA724F7" w14:textId="77777777" w:rsidR="00BF1E91" w:rsidRDefault="00000000">
            <w:pPr>
              <w:spacing w:after="40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INTERHEART</w:t>
            </w:r>
          </w:p>
          <w:p w14:paraId="1D42110B" w14:textId="77777777" w:rsidR="00BF1E91" w:rsidRDefault="00000000">
            <w:pPr>
              <w:spacing w:after="40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메타분석(Diabetes in America)</w:t>
            </w:r>
          </w:p>
          <w:p w14:paraId="0A948979" w14:textId="77777777" w:rsidR="00BF1E91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5개 코호트 IPD 82,723명</w:t>
            </w:r>
          </w:p>
        </w:tc>
        <w:tc>
          <w:tcPr>
            <w:tcW w:w="8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F6A9C74" w14:textId="77777777" w:rsidR="00BF1E9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A</w:t>
            </w:r>
          </w:p>
        </w:tc>
        <w:tc>
          <w:tcPr>
            <w:tcW w:w="1750" w:type="dxa"/>
            <w:shd w:val="clear" w:color="auto" w:fill="FFF2CC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8010281" w14:textId="77777777" w:rsidR="00BF1E91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고혈압보다 높게 설정 필요</w:t>
            </w:r>
          </w:p>
        </w:tc>
      </w:tr>
      <w:tr w:rsidR="00BF1E91" w14:paraId="327BA2DE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2754D1C" w14:textId="77777777" w:rsidR="00BF1E91" w:rsidRDefault="00000000"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흡연(현재)</w:t>
            </w:r>
          </w:p>
        </w:tc>
        <w:tc>
          <w:tcPr>
            <w:tcW w:w="105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91C2D2D" w14:textId="77777777" w:rsidR="00BF1E9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×2.5~2.9 권고</w:t>
            </w:r>
          </w:p>
        </w:tc>
        <w:tc>
          <w:tcPr>
            <w:tcW w:w="235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8FDD084" w14:textId="77777777" w:rsidR="00BF1E91" w:rsidRDefault="00000000">
            <w:pPr>
              <w:spacing w:after="40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OR 2.87 — 심근경색(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비흡연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대비)</w:t>
            </w:r>
          </w:p>
          <w:p w14:paraId="6C35487E" w14:textId="77777777" w:rsidR="00BF1E91" w:rsidRDefault="00000000">
            <w:pPr>
              <w:spacing w:after="40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OR 9.16 — 40개비/일 초과</w:t>
            </w:r>
          </w:p>
          <w:p w14:paraId="532B033B" w14:textId="77777777" w:rsidR="00BF1E91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PAR 35.7% (단일 최대)</w:t>
            </w:r>
          </w:p>
        </w:tc>
        <w:tc>
          <w:tcPr>
            <w:tcW w:w="22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427D935" w14:textId="77777777" w:rsidR="00BF1E91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INTERHEART 52개국 29,972명</w:t>
            </w:r>
          </w:p>
        </w:tc>
        <w:tc>
          <w:tcPr>
            <w:tcW w:w="8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7C499DF" w14:textId="77777777" w:rsidR="00BF1E9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A</w:t>
            </w:r>
          </w:p>
        </w:tc>
        <w:tc>
          <w:tcPr>
            <w:tcW w:w="1750" w:type="dxa"/>
            <w:shd w:val="clear" w:color="auto" w:fill="FFF2CC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C4FF520" w14:textId="77777777" w:rsidR="00BF1E91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용량-반응 단계화 권장</w:t>
            </w:r>
          </w:p>
        </w:tc>
      </w:tr>
      <w:tr w:rsidR="00BF1E91" w14:paraId="057BEDF7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C23FB1C" w14:textId="77777777" w:rsidR="00BF1E91" w:rsidRDefault="00000000"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이상지질혈증</w:t>
            </w:r>
            <w:proofErr w:type="spellEnd"/>
          </w:p>
        </w:tc>
        <w:tc>
          <w:tcPr>
            <w:tcW w:w="105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B65408F" w14:textId="77777777" w:rsidR="00BF1E9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×1.3~1.6 권고</w:t>
            </w:r>
          </w:p>
        </w:tc>
        <w:tc>
          <w:tcPr>
            <w:tcW w:w="235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66A6A32" w14:textId="77777777" w:rsidR="00BF1E91" w:rsidRDefault="00000000">
            <w:pPr>
              <w:spacing w:after="40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OR 3.25 — ApoB/ApoA1 상위 5분위</w:t>
            </w:r>
          </w:p>
          <w:p w14:paraId="0B78B524" w14:textId="77777777" w:rsidR="00BF1E91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RR 1.30 (1.18–1.42) — TG 1mmol/L당</w:t>
            </w:r>
          </w:p>
        </w:tc>
        <w:tc>
          <w:tcPr>
            <w:tcW w:w="22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0C9E9AA" w14:textId="77777777" w:rsidR="00BF1E91" w:rsidRDefault="00000000">
            <w:pPr>
              <w:spacing w:after="40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INTERHEART</w:t>
            </w:r>
          </w:p>
          <w:p w14:paraId="4D15F274" w14:textId="77777777" w:rsidR="00BF1E91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31개 연구 132,044명 메타분석</w:t>
            </w:r>
          </w:p>
        </w:tc>
        <w:tc>
          <w:tcPr>
            <w:tcW w:w="8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E0321DB" w14:textId="77777777" w:rsidR="00BF1E9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A</w:t>
            </w:r>
          </w:p>
        </w:tc>
        <w:tc>
          <w:tcPr>
            <w:tcW w:w="1750" w:type="dxa"/>
            <w:shd w:val="clear" w:color="auto" w:fill="FCE4D6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936C6F8" w14:textId="77777777" w:rsidR="00BF1E91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측정 지표 확정 필요</w:t>
            </w:r>
          </w:p>
        </w:tc>
      </w:tr>
      <w:tr w:rsidR="00BF1E91" w14:paraId="7D9BD7D1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E64D659" w14:textId="77777777" w:rsidR="00BF1E91" w:rsidRDefault="00000000"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복부비만</w:t>
            </w:r>
          </w:p>
        </w:tc>
        <w:tc>
          <w:tcPr>
            <w:tcW w:w="105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D800851" w14:textId="77777777" w:rsidR="00BF1E9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×1.1~1.6 권고</w:t>
            </w:r>
          </w:p>
        </w:tc>
        <w:tc>
          <w:tcPr>
            <w:tcW w:w="235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3CC1286" w14:textId="77777777" w:rsidR="00BF1E91" w:rsidRDefault="00000000">
            <w:pPr>
              <w:spacing w:after="40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OR 1.12 — 중간 3분위</w:t>
            </w:r>
          </w:p>
          <w:p w14:paraId="36EF6557" w14:textId="77777777" w:rsidR="00BF1E91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OR 1.62 — 상위 3분위</w:t>
            </w:r>
          </w:p>
        </w:tc>
        <w:tc>
          <w:tcPr>
            <w:tcW w:w="22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90F7919" w14:textId="77777777" w:rsidR="00BF1E91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INTERHEART(허리-엉덩이 비율)</w:t>
            </w:r>
          </w:p>
        </w:tc>
        <w:tc>
          <w:tcPr>
            <w:tcW w:w="8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1A57A4B" w14:textId="77777777" w:rsidR="00BF1E9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A</w:t>
            </w:r>
          </w:p>
        </w:tc>
        <w:tc>
          <w:tcPr>
            <w:tcW w:w="1750" w:type="dxa"/>
            <w:shd w:val="clear" w:color="auto" w:fill="E2EFD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4514A4A" w14:textId="77777777" w:rsidR="00BF1E91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고혈압 이하 수준 적정</w:t>
            </w:r>
          </w:p>
        </w:tc>
      </w:tr>
      <w:tr w:rsidR="00BF1E91" w14:paraId="095AE3C5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EB3578C" w14:textId="77777777" w:rsidR="00BF1E91" w:rsidRDefault="00000000"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가족력(조기)</w:t>
            </w:r>
          </w:p>
        </w:tc>
        <w:tc>
          <w:tcPr>
            <w:tcW w:w="105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13281FC" w14:textId="77777777" w:rsidR="00BF1E9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×1.3~1.7 권고</w:t>
            </w:r>
          </w:p>
        </w:tc>
        <w:tc>
          <w:tcPr>
            <w:tcW w:w="235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9B15825" w14:textId="77777777" w:rsidR="00BF1E91" w:rsidRDefault="00000000">
            <w:pPr>
              <w:spacing w:after="40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HR 1.74 (1.56–1.95) — 조기 발병</w:t>
            </w:r>
          </w:p>
          <w:p w14:paraId="138F54BE" w14:textId="77777777" w:rsidR="00BF1E91" w:rsidRDefault="00000000">
            <w:pPr>
              <w:spacing w:after="40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HR 1.30 (1.20–1.41) — 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만발성</w:t>
            </w:r>
            <w:proofErr w:type="spellEnd"/>
          </w:p>
          <w:p w14:paraId="7CB2B391" w14:textId="77777777" w:rsidR="00BF1E91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HR 1.4 (1.1–1.8) — 관상동맥질환</w:t>
            </w:r>
          </w:p>
        </w:tc>
        <w:tc>
          <w:tcPr>
            <w:tcW w:w="22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E9FCADE" w14:textId="77777777" w:rsidR="00BF1E91" w:rsidRDefault="00000000">
            <w:pPr>
              <w:spacing w:after="40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EPIC-Norfolk 전향적 코호트</w:t>
            </w:r>
          </w:p>
          <w:p w14:paraId="033696F8" w14:textId="77777777" w:rsidR="00BF1E91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MESA 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다인종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코호트</w:t>
            </w:r>
          </w:p>
        </w:tc>
        <w:tc>
          <w:tcPr>
            <w:tcW w:w="8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04A665C" w14:textId="77777777" w:rsidR="00BF1E9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B</w:t>
            </w:r>
          </w:p>
        </w:tc>
        <w:tc>
          <w:tcPr>
            <w:tcW w:w="1750" w:type="dxa"/>
            <w:shd w:val="clear" w:color="auto" w:fill="FCE4D6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145AF18" w14:textId="77777777" w:rsidR="00BF1E91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보조 지표 권장(주요 모델 미포함)</w:t>
            </w:r>
          </w:p>
        </w:tc>
      </w:tr>
    </w:tbl>
    <w:p w14:paraId="7EE0AAF2" w14:textId="77777777" w:rsidR="00BF1E91" w:rsidRDefault="00000000">
      <w:pPr>
        <w:spacing w:before="200" w:after="200"/>
      </w:pPr>
      <w:r>
        <w:rPr>
          <w:rFonts w:ascii="맑은 고딕" w:eastAsia="맑은 고딕" w:hAnsi="맑은 고딕" w:cs="맑은 고딕"/>
          <w:i/>
          <w:iCs/>
          <w:color w:val="6E6E6E"/>
          <w:sz w:val="17"/>
          <w:szCs w:val="17"/>
        </w:rPr>
        <w:t>판정 기준: 가중치가 해당 요인의 검증된 효과크기 범위 내에 있으면 '타당', 범위를 벗어나거나 상대 서열이 문헌과 불일치하면 '조정 필요'로 표기함.</w:t>
      </w:r>
    </w:p>
    <w:p w14:paraId="0C0AF077" w14:textId="77777777" w:rsidR="00BF1E91" w:rsidRDefault="00000000">
      <w:pPr>
        <w:pStyle w:val="1"/>
        <w:spacing w:before="380" w:after="170"/>
      </w:pPr>
      <w:r>
        <w:rPr>
          <w:rFonts w:ascii="맑은 고딕" w:eastAsia="맑은 고딕" w:hAnsi="맑은 고딕" w:cs="맑은 고딕"/>
          <w:b/>
          <w:bCs/>
          <w:color w:val="1F3864"/>
          <w:sz w:val="29"/>
          <w:szCs w:val="29"/>
        </w:rPr>
        <w:t>4. 상세 근거</w:t>
      </w:r>
    </w:p>
    <w:p w14:paraId="1AB7C419" w14:textId="77777777" w:rsidR="00BF1E91" w:rsidRDefault="00000000">
      <w:pPr>
        <w:pStyle w:val="2"/>
        <w:spacing w:before="290" w:after="130"/>
      </w:pPr>
      <w:r>
        <w:rPr>
          <w:rFonts w:ascii="맑은 고딕" w:eastAsia="맑은 고딕" w:hAnsi="맑은 고딕" w:cs="맑은 고딕"/>
          <w:b/>
          <w:bCs/>
          <w:color w:val="2E5496"/>
          <w:sz w:val="25"/>
          <w:szCs w:val="25"/>
        </w:rPr>
        <w:t>4.1 고혈압 — ×1.5 (검증 통과)</w:t>
      </w:r>
    </w:p>
    <w:p w14:paraId="16EAB5C5" w14:textId="77777777" w:rsidR="00BF1E91" w:rsidRDefault="00000000">
      <w:pPr>
        <w:spacing w:after="140" w:line="300" w:lineRule="auto"/>
      </w:pPr>
      <w:r>
        <w:rPr>
          <w:rFonts w:ascii="맑은 고딕" w:eastAsia="맑은 고딕" w:hAnsi="맑은 고딕" w:cs="맑은 고딕"/>
        </w:rPr>
        <w:t>고혈압은 심혈관질환 위험요인 중 가장 검증이 충실한 항목으로, 관찰연구·유전역학·중재연구가 모두 일관된 방향을 보인다.</w:t>
      </w:r>
    </w:p>
    <w:p w14:paraId="454C135E" w14:textId="77777777" w:rsidR="00BF1E91" w:rsidRDefault="00000000">
      <w:pPr>
        <w:pStyle w:val="a4"/>
        <w:numPr>
          <w:ilvl w:val="0"/>
          <w:numId w:val="1"/>
        </w:numPr>
        <w:spacing w:after="80" w:line="290" w:lineRule="auto"/>
      </w:pPr>
      <w:r>
        <w:rPr>
          <w:rFonts w:ascii="맑은 고딕" w:eastAsia="맑은 고딕" w:hAnsi="맑은 고딕" w:cs="맑은 고딕"/>
        </w:rPr>
        <w:lastRenderedPageBreak/>
        <w:t xml:space="preserve">근거① 대규모 IPD 메타분석 (등급 A): 61개 전향적 연구, 성인 100만명, 1,270만 </w:t>
      </w:r>
      <w:proofErr w:type="spellStart"/>
      <w:r>
        <w:rPr>
          <w:rFonts w:ascii="맑은 고딕" w:eastAsia="맑은 고딕" w:hAnsi="맑은 고딕" w:cs="맑은 고딕"/>
        </w:rPr>
        <w:t>인년</w:t>
      </w:r>
      <w:proofErr w:type="spellEnd"/>
      <w:r>
        <w:rPr>
          <w:rFonts w:ascii="맑은 고딕" w:eastAsia="맑은 고딕" w:hAnsi="맑은 고딕" w:cs="맑은 고딕"/>
        </w:rPr>
        <w:t xml:space="preserve">(person-year) 추적. 이 기간 중 약 56,000건의 혈관질환 사망(뇌졸중 12,000, 허혈성 </w:t>
      </w:r>
      <w:proofErr w:type="spellStart"/>
      <w:r>
        <w:rPr>
          <w:rFonts w:ascii="맑은 고딕" w:eastAsia="맑은 고딕" w:hAnsi="맑은 고딕" w:cs="맑은 고딕"/>
        </w:rPr>
        <w:t>심질환</w:t>
      </w:r>
      <w:proofErr w:type="spellEnd"/>
      <w:r>
        <w:rPr>
          <w:rFonts w:ascii="맑은 고딕" w:eastAsia="맑은 고딕" w:hAnsi="맑은 고딕" w:cs="맑은 고딕"/>
        </w:rPr>
        <w:t xml:space="preserve"> 34,000)이 관찰되었다.</w:t>
      </w:r>
    </w:p>
    <w:p w14:paraId="128FDDF5" w14:textId="77777777" w:rsidR="00BF1E91" w:rsidRDefault="00000000">
      <w:pPr>
        <w:pStyle w:val="a4"/>
        <w:numPr>
          <w:ilvl w:val="1"/>
          <w:numId w:val="1"/>
        </w:numPr>
        <w:spacing w:after="70" w:line="285" w:lineRule="auto"/>
      </w:pPr>
      <w:r>
        <w:rPr>
          <w:rFonts w:ascii="맑은 고딕" w:eastAsia="맑은 고딕" w:hAnsi="맑은 고딕" w:cs="맑은 고딕"/>
          <w:color w:val="404040"/>
          <w:sz w:val="19"/>
          <w:szCs w:val="19"/>
        </w:rPr>
        <w:t xml:space="preserve">40–69세 구간에서 평상시 </w:t>
      </w:r>
      <w:proofErr w:type="spellStart"/>
      <w:r>
        <w:rPr>
          <w:rFonts w:ascii="맑은 고딕" w:eastAsia="맑은 고딕" w:hAnsi="맑은 고딕" w:cs="맑은 고딕"/>
          <w:color w:val="404040"/>
          <w:sz w:val="19"/>
          <w:szCs w:val="19"/>
        </w:rPr>
        <w:t>수축기혈압</w:t>
      </w:r>
      <w:proofErr w:type="spellEnd"/>
      <w:r>
        <w:rPr>
          <w:rFonts w:ascii="맑은 고딕" w:eastAsia="맑은 고딕" w:hAnsi="맑은 고딕" w:cs="맑은 고딕"/>
          <w:color w:val="404040"/>
          <w:sz w:val="19"/>
          <w:szCs w:val="19"/>
        </w:rPr>
        <w:t xml:space="preserve"> 20mmHg(또는 </w:t>
      </w:r>
      <w:proofErr w:type="spellStart"/>
      <w:r>
        <w:rPr>
          <w:rFonts w:ascii="맑은 고딕" w:eastAsia="맑은 고딕" w:hAnsi="맑은 고딕" w:cs="맑은 고딕"/>
          <w:color w:val="404040"/>
          <w:sz w:val="19"/>
          <w:szCs w:val="19"/>
        </w:rPr>
        <w:t>이완기혈압</w:t>
      </w:r>
      <w:proofErr w:type="spellEnd"/>
      <w:r>
        <w:rPr>
          <w:rFonts w:ascii="맑은 고딕" w:eastAsia="맑은 고딕" w:hAnsi="맑은 고딕" w:cs="맑은 고딕"/>
          <w:color w:val="404040"/>
          <w:sz w:val="19"/>
          <w:szCs w:val="19"/>
        </w:rPr>
        <w:t xml:space="preserve"> 10mmHg) 차이마다 뇌졸중 사망률은 2배 이상, 허혈성 </w:t>
      </w:r>
      <w:proofErr w:type="spellStart"/>
      <w:r>
        <w:rPr>
          <w:rFonts w:ascii="맑은 고딕" w:eastAsia="맑은 고딕" w:hAnsi="맑은 고딕" w:cs="맑은 고딕"/>
          <w:color w:val="404040"/>
          <w:sz w:val="19"/>
          <w:szCs w:val="19"/>
        </w:rPr>
        <w:t>심질환</w:t>
      </w:r>
      <w:proofErr w:type="spellEnd"/>
      <w:r>
        <w:rPr>
          <w:rFonts w:ascii="맑은 고딕" w:eastAsia="맑은 고딕" w:hAnsi="맑은 고딕" w:cs="맑은 고딕"/>
          <w:color w:val="404040"/>
          <w:sz w:val="19"/>
          <w:szCs w:val="19"/>
        </w:rPr>
        <w:t xml:space="preserve"> 사망률은 약 2배 차이가 났다.</w:t>
      </w:r>
    </w:p>
    <w:p w14:paraId="3442CD8E" w14:textId="77777777" w:rsidR="00BF1E91" w:rsidRDefault="00000000">
      <w:pPr>
        <w:pStyle w:val="a4"/>
        <w:numPr>
          <w:ilvl w:val="1"/>
          <w:numId w:val="1"/>
        </w:numPr>
        <w:spacing w:after="70" w:line="285" w:lineRule="auto"/>
      </w:pPr>
      <w:r>
        <w:rPr>
          <w:rFonts w:ascii="맑은 고딕" w:eastAsia="맑은 고딕" w:hAnsi="맑은 고딕" w:cs="맑은 고딕"/>
          <w:color w:val="404040"/>
          <w:sz w:val="19"/>
          <w:szCs w:val="19"/>
        </w:rPr>
        <w:t>115/75mmHg까지 역치(threshold) 없이 선형 관계가 유지되어, 혈압-위험 관계가 연속적임이 확인되었다.</w:t>
      </w:r>
    </w:p>
    <w:p w14:paraId="01D49A5B" w14:textId="77777777" w:rsidR="00BF1E91" w:rsidRDefault="00000000">
      <w:pPr>
        <w:pStyle w:val="a4"/>
        <w:numPr>
          <w:ilvl w:val="0"/>
          <w:numId w:val="1"/>
        </w:numPr>
        <w:spacing w:after="80" w:line="290" w:lineRule="auto"/>
      </w:pPr>
      <w:r>
        <w:rPr>
          <w:rFonts w:ascii="맑은 고딕" w:eastAsia="맑은 고딕" w:hAnsi="맑은 고딕" w:cs="맑은 고딕"/>
        </w:rPr>
        <w:t>근거② 국제 환자-대조군 연구 (등급 A): 52개국 15,152명 환자·14,820명 대조군을 대상으로 한 INTERHEART 연구에서 고혈압 병력의 급성 심근경색 교차비는 1.91, 인구기여위험도는 17.9%로 산출되었다.</w:t>
      </w:r>
    </w:p>
    <w:p w14:paraId="54323966" w14:textId="77777777" w:rsidR="00BF1E91" w:rsidRDefault="00000000">
      <w:pPr>
        <w:pStyle w:val="a4"/>
        <w:numPr>
          <w:ilvl w:val="0"/>
          <w:numId w:val="1"/>
        </w:numPr>
        <w:spacing w:after="80" w:line="290" w:lineRule="auto"/>
      </w:pPr>
      <w:r>
        <w:rPr>
          <w:rFonts w:ascii="맑은 고딕" w:eastAsia="맑은 고딕" w:hAnsi="맑은 고딕" w:cs="맑은 고딕"/>
        </w:rPr>
        <w:t xml:space="preserve">근거③ 인과성 검증 (등급 A): </w:t>
      </w:r>
      <w:proofErr w:type="spellStart"/>
      <w:r>
        <w:rPr>
          <w:rFonts w:ascii="맑은 고딕" w:eastAsia="맑은 고딕" w:hAnsi="맑은 고딕" w:cs="맑은 고딕"/>
        </w:rPr>
        <w:t>멘델리안</w:t>
      </w:r>
      <w:proofErr w:type="spellEnd"/>
      <w:r>
        <w:rPr>
          <w:rFonts w:ascii="맑은 고딕" w:eastAsia="맑은 고딕" w:hAnsi="맑은 고딕" w:cs="맑은 고딕"/>
        </w:rPr>
        <w:t xml:space="preserve"> 무작위화 분석에서 유전적으로 </w:t>
      </w:r>
      <w:proofErr w:type="spellStart"/>
      <w:r>
        <w:rPr>
          <w:rFonts w:ascii="맑은 고딕" w:eastAsia="맑은 고딕" w:hAnsi="맑은 고딕" w:cs="맑은 고딕"/>
        </w:rPr>
        <w:t>대리된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수축기혈압</w:t>
      </w:r>
      <w:proofErr w:type="spellEnd"/>
      <w:r>
        <w:rPr>
          <w:rFonts w:ascii="맑은 고딕" w:eastAsia="맑은 고딕" w:hAnsi="맑은 고딕" w:cs="맑은 고딕"/>
        </w:rPr>
        <w:t xml:space="preserve"> 10mmHg 상승당 심혈관질환 </w:t>
      </w:r>
      <w:proofErr w:type="spellStart"/>
      <w:r>
        <w:rPr>
          <w:rFonts w:ascii="맑은 고딕" w:eastAsia="맑은 고딕" w:hAnsi="맑은 고딕" w:cs="맑은 고딕"/>
        </w:rPr>
        <w:t>위험비</w:t>
      </w:r>
      <w:proofErr w:type="spellEnd"/>
      <w:r>
        <w:rPr>
          <w:rFonts w:ascii="맑은 고딕" w:eastAsia="맑은 고딕" w:hAnsi="맑은 고딕" w:cs="맑은 고딕"/>
        </w:rPr>
        <w:t xml:space="preserve"> 1.49(95% CI 1.38–1.61), 관상동맥질환 1.50(1.38–1.63), 뇌졸중 1.44(1.22–1.70)로 나타나 단순 상관이 아닌 인과관계가 확인되었다.</w:t>
      </w:r>
    </w:p>
    <w:p w14:paraId="25D0DB92" w14:textId="77777777" w:rsidR="00BF1E91" w:rsidRDefault="00000000">
      <w:pPr>
        <w:pStyle w:val="a4"/>
        <w:numPr>
          <w:ilvl w:val="0"/>
          <w:numId w:val="1"/>
        </w:numPr>
        <w:spacing w:after="80" w:line="290" w:lineRule="auto"/>
      </w:pPr>
      <w:r>
        <w:rPr>
          <w:rFonts w:ascii="맑은 고딕" w:eastAsia="맑은 고딕" w:hAnsi="맑은 고딕" w:cs="맑은 고딕"/>
        </w:rPr>
        <w:t xml:space="preserve">근거④ 질환별 메타분석 (등급 B): 24개 연구·180만명을 종합한 뇌졸중 문헌고찰에서 고혈압은 뇌졸중 위험을 약 2배(효과크기 범위 1.3–2.1) 높였으며, </w:t>
      </w:r>
      <w:proofErr w:type="spellStart"/>
      <w:r>
        <w:rPr>
          <w:rFonts w:ascii="맑은 고딕" w:eastAsia="맑은 고딕" w:hAnsi="맑은 고딕" w:cs="맑은 고딕"/>
        </w:rPr>
        <w:t>출혈성</w:t>
      </w:r>
      <w:proofErr w:type="spellEnd"/>
      <w:r>
        <w:rPr>
          <w:rFonts w:ascii="맑은 고딕" w:eastAsia="맑은 고딕" w:hAnsi="맑은 고딕" w:cs="맑은 고딕"/>
        </w:rPr>
        <w:t xml:space="preserve"> 뇌졸중(OR 2.1)과 아시아인 집단(RR 2.0)에서 연관성이 더 강했다. 성별로는 여성 HR 1.5, 남성 HR 1.3이었다. 다만 이질성이 매우 높았다(I²=93.2%).</w:t>
      </w:r>
    </w:p>
    <w:p w14:paraId="58842E87" w14:textId="77777777" w:rsidR="00BF1E91" w:rsidRDefault="00000000">
      <w:pPr>
        <w:pStyle w:val="a4"/>
        <w:numPr>
          <w:ilvl w:val="0"/>
          <w:numId w:val="1"/>
        </w:numPr>
        <w:spacing w:after="80" w:line="290" w:lineRule="auto"/>
      </w:pPr>
      <w:r>
        <w:rPr>
          <w:rFonts w:ascii="맑은 고딕" w:eastAsia="맑은 고딕" w:hAnsi="맑은 고딕" w:cs="맑은 고딕"/>
        </w:rPr>
        <w:t xml:space="preserve">근거⑤ </w:t>
      </w:r>
      <w:proofErr w:type="spellStart"/>
      <w:r>
        <w:rPr>
          <w:rFonts w:ascii="맑은 고딕" w:eastAsia="맑은 고딕" w:hAnsi="맑은 고딕" w:cs="맑은 고딕"/>
        </w:rPr>
        <w:t>다변량</w:t>
      </w:r>
      <w:proofErr w:type="spellEnd"/>
      <w:r>
        <w:rPr>
          <w:rFonts w:ascii="맑은 고딕" w:eastAsia="맑은 고딕" w:hAnsi="맑은 고딕" w:cs="맑은 고딕"/>
        </w:rPr>
        <w:t xml:space="preserve"> 보정 코호트 (등급 B): 활동제한 변수를 통제한 코호트 분석에서 고혈압 단독 보유자의 심혈관질환 위험비는 1.36(95% CI 1.24–1.49)이었다.</w:t>
      </w:r>
    </w:p>
    <w:p w14:paraId="61F9DD9D" w14:textId="77777777" w:rsidR="00BF1E91" w:rsidRDefault="00000000">
      <w:pPr>
        <w:pBdr>
          <w:left w:val="single" w:sz="18" w:space="8" w:color="2E5496"/>
        </w:pBdr>
        <w:shd w:val="clear" w:color="auto" w:fill="EDF2FA"/>
        <w:spacing w:before="120" w:after="200" w:line="300" w:lineRule="auto"/>
        <w:ind w:left="160" w:right="160"/>
      </w:pPr>
      <w:r>
        <w:rPr>
          <w:rFonts w:ascii="맑은 고딕" w:eastAsia="맑은 고딕" w:hAnsi="맑은 고딕" w:cs="맑은 고딕"/>
        </w:rPr>
        <w:t xml:space="preserve">검증 판정: 보고된 효과크기 범위는 1.36~2.11이며 대상 질환(전체 CVD </w:t>
      </w:r>
      <w:proofErr w:type="gramStart"/>
      <w:r>
        <w:rPr>
          <w:rFonts w:ascii="맑은 고딕" w:eastAsia="맑은 고딕" w:hAnsi="맑은 고딕" w:cs="맑은 고딕"/>
        </w:rPr>
        <w:t>&lt; 심근경색</w:t>
      </w:r>
      <w:proofErr w:type="gramEnd"/>
      <w:r>
        <w:rPr>
          <w:rFonts w:ascii="맑은 고딕" w:eastAsia="맑은 고딕" w:hAnsi="맑은 고딕" w:cs="맑은 고딕"/>
        </w:rPr>
        <w:t xml:space="preserve"> </w:t>
      </w:r>
      <w:proofErr w:type="gramStart"/>
      <w:r>
        <w:rPr>
          <w:rFonts w:ascii="맑은 고딕" w:eastAsia="맑은 고딕" w:hAnsi="맑은 고딕" w:cs="맑은 고딕"/>
        </w:rPr>
        <w:t>&lt; 뇌졸중</w:t>
      </w:r>
      <w:proofErr w:type="gramEnd"/>
      <w:r>
        <w:rPr>
          <w:rFonts w:ascii="맑은 고딕" w:eastAsia="맑은 고딕" w:hAnsi="맑은 고딕" w:cs="맑은 고딕"/>
        </w:rPr>
        <w:t>) 순으로 커진다. 현재 적용 중인 ×1.5는 이 범위의 하위-중앙 구간으로, 일반 인구 대상 종합 위험도 산정에는 통계적으로 타당하고 보수적인 값이다. 만약 서비스가 뇌졸중 위험을 별도로 표시한다면 해당 항목만 ×1.8~2.0으로 상향하는 것이 근거에 더 부합한다.</w:t>
      </w:r>
    </w:p>
    <w:p w14:paraId="49B7B171" w14:textId="77777777" w:rsidR="00BF1E91" w:rsidRDefault="00000000">
      <w:pPr>
        <w:pStyle w:val="2"/>
        <w:spacing w:before="290" w:after="130"/>
      </w:pPr>
      <w:r>
        <w:rPr>
          <w:rFonts w:ascii="맑은 고딕" w:eastAsia="맑은 고딕" w:hAnsi="맑은 고딕" w:cs="맑은 고딕"/>
          <w:b/>
          <w:bCs/>
          <w:color w:val="2E5496"/>
          <w:sz w:val="25"/>
          <w:szCs w:val="25"/>
        </w:rPr>
        <w:t>4.2 당뇨병 — ×2.0 권고</w:t>
      </w:r>
    </w:p>
    <w:p w14:paraId="271F1AFD" w14:textId="77777777" w:rsidR="00BF1E91" w:rsidRDefault="00000000">
      <w:pPr>
        <w:pStyle w:val="a4"/>
        <w:numPr>
          <w:ilvl w:val="0"/>
          <w:numId w:val="1"/>
        </w:numPr>
        <w:spacing w:after="80" w:line="290" w:lineRule="auto"/>
      </w:pPr>
      <w:r>
        <w:rPr>
          <w:rFonts w:ascii="맑은 고딕" w:eastAsia="맑은 고딕" w:hAnsi="맑은 고딕" w:cs="맑은 고딕"/>
        </w:rPr>
        <w:t>INTERHEART에서 당뇨병 병력의 심근경색 교차비는 2.37로, 동일 연구 내 고혈압(1.91)보다 명확히 높았다.</w:t>
      </w:r>
    </w:p>
    <w:p w14:paraId="6F5B14B4" w14:textId="77777777" w:rsidR="00BF1E91" w:rsidRDefault="00000000">
      <w:pPr>
        <w:pStyle w:val="a4"/>
        <w:numPr>
          <w:ilvl w:val="0"/>
          <w:numId w:val="1"/>
        </w:numPr>
        <w:spacing w:after="80" w:line="290" w:lineRule="auto"/>
      </w:pPr>
      <w:r>
        <w:rPr>
          <w:rFonts w:ascii="맑은 고딕" w:eastAsia="맑은 고딕" w:hAnsi="맑은 고딕" w:cs="맑은 고딕"/>
        </w:rPr>
        <w:t xml:space="preserve">관상동맥질환 발생에 대한 메타분석 종합 결과 당뇨병군의 상대위험도는 </w:t>
      </w:r>
      <w:proofErr w:type="spellStart"/>
      <w:r>
        <w:rPr>
          <w:rFonts w:ascii="맑은 고딕" w:eastAsia="맑은 고딕" w:hAnsi="맑은 고딕" w:cs="맑은 고딕"/>
        </w:rPr>
        <w:t>비당뇨군</w:t>
      </w:r>
      <w:proofErr w:type="spellEnd"/>
      <w:r>
        <w:rPr>
          <w:rFonts w:ascii="맑은 고딕" w:eastAsia="맑은 고딕" w:hAnsi="맑은 고딕" w:cs="맑은 고딕"/>
        </w:rPr>
        <w:t xml:space="preserve"> 대비 약 2배이며, 성별 층화 시 여성에서 더 높게 나타났다.</w:t>
      </w:r>
    </w:p>
    <w:p w14:paraId="14363175" w14:textId="77777777" w:rsidR="00BF1E91" w:rsidRDefault="00000000">
      <w:pPr>
        <w:pStyle w:val="a4"/>
        <w:numPr>
          <w:ilvl w:val="0"/>
          <w:numId w:val="1"/>
        </w:numPr>
        <w:spacing w:after="80" w:line="290" w:lineRule="auto"/>
      </w:pPr>
      <w:r>
        <w:rPr>
          <w:rFonts w:ascii="맑은 고딕" w:eastAsia="맑은 고딕" w:hAnsi="맑은 고딕" w:cs="맑은 고딕"/>
        </w:rPr>
        <w:t>65세 이상 8만2,723명을 포함한 5개 전향적 연구 개인참여자료 분석에서 제2형 당뇨병의 심혈관 사건·전체 사망 복합 위험비는 1.44(95% CI 1.40–1.49)였다.</w:t>
      </w:r>
    </w:p>
    <w:p w14:paraId="7E1416EA" w14:textId="77777777" w:rsidR="00BF1E91" w:rsidRDefault="00000000">
      <w:pPr>
        <w:spacing w:after="140" w:line="300" w:lineRule="auto"/>
      </w:pPr>
      <w:r>
        <w:rPr>
          <w:rFonts w:ascii="맑은 고딕" w:eastAsia="맑은 고딕" w:hAnsi="맑은 고딕" w:cs="맑은 고딕"/>
        </w:rPr>
        <w:t>동일 연구(INTERHEART) 내 직접 비교가 가능하다는 점에서, 당뇨 가중치는 반드시 고혈압보다 높게 설정되어야 상대 서열의 내적 정합성이 확보된다.</w:t>
      </w:r>
    </w:p>
    <w:p w14:paraId="63BFFECD" w14:textId="77777777" w:rsidR="00BF1E91" w:rsidRDefault="00000000">
      <w:pPr>
        <w:pStyle w:val="2"/>
        <w:spacing w:before="290" w:after="130"/>
      </w:pPr>
      <w:r>
        <w:rPr>
          <w:rFonts w:ascii="맑은 고딕" w:eastAsia="맑은 고딕" w:hAnsi="맑은 고딕" w:cs="맑은 고딕"/>
          <w:b/>
          <w:bCs/>
          <w:color w:val="2E5496"/>
          <w:sz w:val="25"/>
          <w:szCs w:val="25"/>
        </w:rPr>
        <w:lastRenderedPageBreak/>
        <w:t>4.3 흡연 — ×2.5~2.9 권고 (용량 반응 반영)</w:t>
      </w:r>
    </w:p>
    <w:p w14:paraId="579ED89C" w14:textId="77777777" w:rsidR="00BF1E91" w:rsidRDefault="00000000">
      <w:pPr>
        <w:pStyle w:val="a4"/>
        <w:numPr>
          <w:ilvl w:val="0"/>
          <w:numId w:val="1"/>
        </w:numPr>
        <w:spacing w:after="80" w:line="290" w:lineRule="auto"/>
      </w:pPr>
      <w:r>
        <w:rPr>
          <w:rFonts w:ascii="맑은 고딕" w:eastAsia="맑은 고딕" w:hAnsi="맑은 고딕" w:cs="맑은 고딕"/>
        </w:rPr>
        <w:t>INTERHEART에서 현재 흡연자의 심근경색 교차비는 2.87(비흡연자 대비)이며, 인구기여위험도 35.7%로 단일 위험요인 중 최고 수준이었다.</w:t>
      </w:r>
    </w:p>
    <w:p w14:paraId="03E8C639" w14:textId="77777777" w:rsidR="00BF1E91" w:rsidRDefault="00000000">
      <w:pPr>
        <w:pStyle w:val="a4"/>
        <w:numPr>
          <w:ilvl w:val="0"/>
          <w:numId w:val="1"/>
        </w:numPr>
        <w:spacing w:after="80" w:line="290" w:lineRule="auto"/>
      </w:pPr>
      <w:r>
        <w:rPr>
          <w:rFonts w:ascii="맑은 고딕" w:eastAsia="맑은 고딕" w:hAnsi="맑은 고딕" w:cs="맑은 고딕"/>
        </w:rPr>
        <w:t>하루 40개비를 초과하는 흡연자에서는 교차비가 9.16(99% CI 6.18–13.58)까지 상승해, 흡연량 증가에 따른 명확한 용량-반응 관계가 확인되었다.</w:t>
      </w:r>
    </w:p>
    <w:p w14:paraId="14091B41" w14:textId="77777777" w:rsidR="00BF1E91" w:rsidRDefault="00000000">
      <w:pPr>
        <w:spacing w:after="140" w:line="300" w:lineRule="auto"/>
      </w:pPr>
      <w:r>
        <w:rPr>
          <w:rFonts w:ascii="맑은 고딕" w:eastAsia="맑은 고딕" w:hAnsi="맑은 고딕" w:cs="맑은 고딕"/>
        </w:rPr>
        <w:t>단일 배율보다는 흡연량 구간별 단계 가중치(예: 1~10개비 ×1.6, 11~20개비 ×2.3, 21개비 이상 ×3.0)를 적용하는 것이 역학적으로 더 정확하다.</w:t>
      </w:r>
    </w:p>
    <w:p w14:paraId="3C6735F9" w14:textId="77777777" w:rsidR="00BF1E91" w:rsidRDefault="00000000">
      <w:pPr>
        <w:pStyle w:val="2"/>
        <w:spacing w:before="290" w:after="130"/>
      </w:pPr>
      <w:r>
        <w:rPr>
          <w:rFonts w:ascii="맑은 고딕" w:eastAsia="맑은 고딕" w:hAnsi="맑은 고딕" w:cs="맑은 고딕"/>
          <w:b/>
          <w:bCs/>
          <w:color w:val="2E5496"/>
          <w:sz w:val="25"/>
          <w:szCs w:val="25"/>
        </w:rPr>
        <w:t xml:space="preserve">4.4 </w:t>
      </w:r>
      <w:proofErr w:type="spellStart"/>
      <w:r>
        <w:rPr>
          <w:rFonts w:ascii="맑은 고딕" w:eastAsia="맑은 고딕" w:hAnsi="맑은 고딕" w:cs="맑은 고딕"/>
          <w:b/>
          <w:bCs/>
          <w:color w:val="2E5496"/>
          <w:sz w:val="25"/>
          <w:szCs w:val="25"/>
        </w:rPr>
        <w:t>이상지질혈증</w:t>
      </w:r>
      <w:proofErr w:type="spellEnd"/>
      <w:r>
        <w:rPr>
          <w:rFonts w:ascii="맑은 고딕" w:eastAsia="맑은 고딕" w:hAnsi="맑은 고딕" w:cs="맑은 고딕"/>
          <w:b/>
          <w:bCs/>
          <w:color w:val="2E5496"/>
          <w:sz w:val="25"/>
          <w:szCs w:val="25"/>
        </w:rPr>
        <w:t xml:space="preserve"> — 측정 지표 확정 필요</w:t>
      </w:r>
    </w:p>
    <w:p w14:paraId="5E8E757C" w14:textId="77777777" w:rsidR="00BF1E91" w:rsidRDefault="00000000">
      <w:pPr>
        <w:pStyle w:val="a4"/>
        <w:numPr>
          <w:ilvl w:val="0"/>
          <w:numId w:val="1"/>
        </w:numPr>
        <w:spacing w:after="80" w:line="290" w:lineRule="auto"/>
      </w:pPr>
      <w:r>
        <w:rPr>
          <w:rFonts w:ascii="맑은 고딕" w:eastAsia="맑은 고딕" w:hAnsi="맑은 고딕" w:cs="맑은 고딕"/>
        </w:rPr>
        <w:t>INTERHEART에서 ApoB/ApoA1 비율 상위 5분위군의 교차비는 3.25, 인구기여위험도는 49.2%로 9개 위험요인 중 가장 컸다.</w:t>
      </w:r>
    </w:p>
    <w:p w14:paraId="1A3E02B2" w14:textId="77777777" w:rsidR="00BF1E91" w:rsidRDefault="00000000">
      <w:pPr>
        <w:pStyle w:val="a4"/>
        <w:numPr>
          <w:ilvl w:val="0"/>
          <w:numId w:val="1"/>
        </w:numPr>
        <w:spacing w:after="80" w:line="290" w:lineRule="auto"/>
      </w:pPr>
      <w:r>
        <w:rPr>
          <w:rFonts w:ascii="맑은 고딕" w:eastAsia="맑은 고딕" w:hAnsi="맑은 고딕" w:cs="맑은 고딕"/>
        </w:rPr>
        <w:t xml:space="preserve">31개 전향적 연구·132,044명을 종합한 메타분석에서 중성지방 </w:t>
      </w:r>
      <w:proofErr w:type="spellStart"/>
      <w:r>
        <w:rPr>
          <w:rFonts w:ascii="맑은 고딕" w:eastAsia="맑은 고딕" w:hAnsi="맑은 고딕" w:cs="맑은 고딕"/>
        </w:rPr>
        <w:t>로그값</w:t>
      </w:r>
      <w:proofErr w:type="spellEnd"/>
      <w:r>
        <w:rPr>
          <w:rFonts w:ascii="맑은 고딕" w:eastAsia="맑은 고딕" w:hAnsi="맑은 고딕" w:cs="맑은 고딕"/>
        </w:rPr>
        <w:t xml:space="preserve"> 1mmol/L 증가당 심혈관질환 상대위험도는 1.30(95% CI 1.18–1.42)이었다.</w:t>
      </w:r>
    </w:p>
    <w:p w14:paraId="57FA28AD" w14:textId="77777777" w:rsidR="00BF1E91" w:rsidRDefault="00000000">
      <w:pPr>
        <w:pBdr>
          <w:left w:val="single" w:sz="18" w:space="8" w:color="2E5496"/>
        </w:pBdr>
        <w:shd w:val="clear" w:color="auto" w:fill="EDF2FA"/>
        <w:spacing w:before="120" w:after="200" w:line="300" w:lineRule="auto"/>
        <w:ind w:left="160" w:right="160"/>
      </w:pPr>
      <w:r>
        <w:rPr>
          <w:rFonts w:ascii="맑은 고딕" w:eastAsia="맑은 고딕" w:hAnsi="맑은 고딕" w:cs="맑은 고딕"/>
        </w:rPr>
        <w:t>주의: 동일한 '</w:t>
      </w:r>
      <w:proofErr w:type="spellStart"/>
      <w:r>
        <w:rPr>
          <w:rFonts w:ascii="맑은 고딕" w:eastAsia="맑은 고딕" w:hAnsi="맑은 고딕" w:cs="맑은 고딕"/>
        </w:rPr>
        <w:t>이상지질혈증</w:t>
      </w:r>
      <w:proofErr w:type="spellEnd"/>
      <w:r>
        <w:rPr>
          <w:rFonts w:ascii="맑은 고딕" w:eastAsia="맑은 고딕" w:hAnsi="맑은 고딕" w:cs="맑은 고딕"/>
        </w:rPr>
        <w:t xml:space="preserve">' 항목이라도 총콜레스테롤·LDL·HDL·중성지방·ApoB/ApoA1 중 무엇을 기준으로 </w:t>
      </w:r>
      <w:proofErr w:type="spellStart"/>
      <w:r>
        <w:rPr>
          <w:rFonts w:ascii="맑은 고딕" w:eastAsia="맑은 고딕" w:hAnsi="맑은 고딕" w:cs="맑은 고딕"/>
        </w:rPr>
        <w:t>하느냐에</w:t>
      </w:r>
      <w:proofErr w:type="spellEnd"/>
      <w:r>
        <w:rPr>
          <w:rFonts w:ascii="맑은 고딕" w:eastAsia="맑은 고딕" w:hAnsi="맑은 고딕" w:cs="맑은 고딕"/>
        </w:rPr>
        <w:t xml:space="preserve"> 따라 효과크기가 1.06에서 3.25까지 3배 이상 차이 난다. 콜록 서비스에서 사용하는 구체적 측정 지표와 </w:t>
      </w:r>
      <w:proofErr w:type="spellStart"/>
      <w:r>
        <w:rPr>
          <w:rFonts w:ascii="맑은 고딕" w:eastAsia="맑은 고딕" w:hAnsi="맑은 고딕" w:cs="맑은 고딕"/>
        </w:rPr>
        <w:t>기준값</w:t>
      </w:r>
      <w:proofErr w:type="spellEnd"/>
      <w:r>
        <w:rPr>
          <w:rFonts w:ascii="맑은 고딕" w:eastAsia="맑은 고딕" w:hAnsi="맑은 고딕" w:cs="맑은 고딕"/>
        </w:rPr>
        <w:t>(cut-off)을 문서화하지 않으면 가중치 검증 자체가 성립하지 않는다.</w:t>
      </w:r>
    </w:p>
    <w:p w14:paraId="32F74FA9" w14:textId="77777777" w:rsidR="00BF1E91" w:rsidRDefault="00000000">
      <w:pPr>
        <w:pStyle w:val="2"/>
        <w:spacing w:before="290" w:after="130"/>
      </w:pPr>
      <w:r>
        <w:rPr>
          <w:rFonts w:ascii="맑은 고딕" w:eastAsia="맑은 고딕" w:hAnsi="맑은 고딕" w:cs="맑은 고딕"/>
          <w:b/>
          <w:bCs/>
          <w:color w:val="2E5496"/>
          <w:sz w:val="25"/>
          <w:szCs w:val="25"/>
        </w:rPr>
        <w:t>4.5 복부비만 — ×1.1~1.6 권고</w:t>
      </w:r>
    </w:p>
    <w:p w14:paraId="54B7E5ED" w14:textId="77777777" w:rsidR="00BF1E91" w:rsidRDefault="00000000">
      <w:pPr>
        <w:pStyle w:val="a4"/>
        <w:numPr>
          <w:ilvl w:val="0"/>
          <w:numId w:val="1"/>
        </w:numPr>
        <w:spacing w:after="80" w:line="290" w:lineRule="auto"/>
      </w:pPr>
      <w:r>
        <w:rPr>
          <w:rFonts w:ascii="맑은 고딕" w:eastAsia="맑은 고딕" w:hAnsi="맑은 고딕" w:cs="맑은 고딕"/>
        </w:rPr>
        <w:t xml:space="preserve">INTERHEART에서 허리-엉덩이 비율 기준 중간 3분위군 </w:t>
      </w:r>
      <w:proofErr w:type="spellStart"/>
      <w:r>
        <w:rPr>
          <w:rFonts w:ascii="맑은 고딕" w:eastAsia="맑은 고딕" w:hAnsi="맑은 고딕" w:cs="맑은 고딕"/>
        </w:rPr>
        <w:t>교차비</w:t>
      </w:r>
      <w:proofErr w:type="spellEnd"/>
      <w:r>
        <w:rPr>
          <w:rFonts w:ascii="맑은 고딕" w:eastAsia="맑은 고딕" w:hAnsi="맑은 고딕" w:cs="맑은 고딕"/>
        </w:rPr>
        <w:t xml:space="preserve"> 1.12, 상위 3분위군 1.62(최하위 3분위 대비)로, 상위 2개 분위의 인구기여위험도는 20.1%였다.</w:t>
      </w:r>
    </w:p>
    <w:p w14:paraId="2DFCA5A4" w14:textId="77777777" w:rsidR="00BF1E91" w:rsidRDefault="00000000">
      <w:pPr>
        <w:pStyle w:val="a4"/>
        <w:numPr>
          <w:ilvl w:val="0"/>
          <w:numId w:val="1"/>
        </w:numPr>
        <w:spacing w:after="80" w:line="290" w:lineRule="auto"/>
      </w:pPr>
      <w:r>
        <w:rPr>
          <w:rFonts w:ascii="맑은 고딕" w:eastAsia="맑은 고딕" w:hAnsi="맑은 고딕" w:cs="맑은 고딕"/>
        </w:rPr>
        <w:t>비만은 고혈압·</w:t>
      </w:r>
      <w:proofErr w:type="spellStart"/>
      <w:r>
        <w:rPr>
          <w:rFonts w:ascii="맑은 고딕" w:eastAsia="맑은 고딕" w:hAnsi="맑은 고딕" w:cs="맑은 고딕"/>
        </w:rPr>
        <w:t>이상지질혈증</w:t>
      </w:r>
      <w:proofErr w:type="spellEnd"/>
      <w:r>
        <w:rPr>
          <w:rFonts w:ascii="맑은 고딕" w:eastAsia="맑은 고딕" w:hAnsi="맑은 고딕" w:cs="맑은 고딕"/>
        </w:rPr>
        <w:t>·당뇨의 선행 요인이기도 하므로, 이들 항목과 동시에 곱셈 적용할 경우 위험도가 이중 계산(double counting)될 수 있다.</w:t>
      </w:r>
    </w:p>
    <w:p w14:paraId="506B57AC" w14:textId="77777777" w:rsidR="00BF1E91" w:rsidRDefault="00000000">
      <w:pPr>
        <w:pStyle w:val="2"/>
        <w:spacing w:before="290" w:after="130"/>
      </w:pPr>
      <w:r>
        <w:rPr>
          <w:rFonts w:ascii="맑은 고딕" w:eastAsia="맑은 고딕" w:hAnsi="맑은 고딕" w:cs="맑은 고딕"/>
          <w:b/>
          <w:bCs/>
          <w:color w:val="2E5496"/>
          <w:sz w:val="25"/>
          <w:szCs w:val="25"/>
        </w:rPr>
        <w:t>4.6 가족력 — 보조 지표로 권고</w:t>
      </w:r>
    </w:p>
    <w:p w14:paraId="410F4C2F" w14:textId="77777777" w:rsidR="00BF1E91" w:rsidRDefault="00000000">
      <w:pPr>
        <w:pStyle w:val="a4"/>
        <w:numPr>
          <w:ilvl w:val="0"/>
          <w:numId w:val="1"/>
        </w:numPr>
        <w:spacing w:after="80" w:line="290" w:lineRule="auto"/>
      </w:pPr>
      <w:r>
        <w:rPr>
          <w:rFonts w:ascii="맑은 고딕" w:eastAsia="맑은 고딕" w:hAnsi="맑은 고딕" w:cs="맑은 고딕"/>
        </w:rPr>
        <w:t xml:space="preserve">EPIC-Norfolk 전향적 코호트에서 조기 발병(남 55세 미만·여 65세 미만) 관상동맥질환 가족력의 Framingham 점수 보정 위험비는 1.74(95% CI 1.56–1.95), </w:t>
      </w:r>
      <w:proofErr w:type="spellStart"/>
      <w:r>
        <w:rPr>
          <w:rFonts w:ascii="맑은 고딕" w:eastAsia="맑은 고딕" w:hAnsi="맑은 고딕" w:cs="맑은 고딕"/>
        </w:rPr>
        <w:t>만발성</w:t>
      </w:r>
      <w:proofErr w:type="spellEnd"/>
      <w:r>
        <w:rPr>
          <w:rFonts w:ascii="맑은 고딕" w:eastAsia="맑은 고딕" w:hAnsi="맑은 고딕" w:cs="맑은 고딕"/>
        </w:rPr>
        <w:t xml:space="preserve"> 가족력은 1.30(1.20–1.41)이었다.</w:t>
      </w:r>
    </w:p>
    <w:p w14:paraId="02EA73BB" w14:textId="77777777" w:rsidR="00BF1E91" w:rsidRDefault="00000000">
      <w:pPr>
        <w:pStyle w:val="a4"/>
        <w:numPr>
          <w:ilvl w:val="0"/>
          <w:numId w:val="1"/>
        </w:numPr>
        <w:spacing w:after="80" w:line="290" w:lineRule="auto"/>
      </w:pPr>
      <w:r>
        <w:rPr>
          <w:rFonts w:ascii="맑은 고딕" w:eastAsia="맑은 고딕" w:hAnsi="맑은 고딕" w:cs="맑은 고딕"/>
        </w:rPr>
        <w:t xml:space="preserve">MESA </w:t>
      </w:r>
      <w:proofErr w:type="spellStart"/>
      <w:r>
        <w:rPr>
          <w:rFonts w:ascii="맑은 고딕" w:eastAsia="맑은 고딕" w:hAnsi="맑은 고딕" w:cs="맑은 고딕"/>
        </w:rPr>
        <w:t>다인종</w:t>
      </w:r>
      <w:proofErr w:type="spellEnd"/>
      <w:r>
        <w:rPr>
          <w:rFonts w:ascii="맑은 고딕" w:eastAsia="맑은 고딕" w:hAnsi="맑은 고딕" w:cs="맑은 고딕"/>
        </w:rPr>
        <w:t xml:space="preserve"> 코호트에서 1촌 이내 가족력 보유 시 관상동맥질환 </w:t>
      </w:r>
      <w:proofErr w:type="spellStart"/>
      <w:r>
        <w:rPr>
          <w:rFonts w:ascii="맑은 고딕" w:eastAsia="맑은 고딕" w:hAnsi="맑은 고딕" w:cs="맑은 고딕"/>
        </w:rPr>
        <w:t>위험비</w:t>
      </w:r>
      <w:proofErr w:type="spellEnd"/>
      <w:r>
        <w:rPr>
          <w:rFonts w:ascii="맑은 고딕" w:eastAsia="맑은 고딕" w:hAnsi="맑은 고딕" w:cs="맑은 고딕"/>
        </w:rPr>
        <w:t xml:space="preserve"> 1.4(95% CI 1.1–1.8), 복합 죽상경화성 심혈관질환 1.3(1.1–1.5)이었다.</w:t>
      </w:r>
    </w:p>
    <w:p w14:paraId="77667970" w14:textId="77777777" w:rsidR="00BF1E91" w:rsidRDefault="00000000">
      <w:pPr>
        <w:pStyle w:val="a4"/>
        <w:numPr>
          <w:ilvl w:val="0"/>
          <w:numId w:val="1"/>
        </w:numPr>
        <w:spacing w:after="80" w:line="290" w:lineRule="auto"/>
      </w:pPr>
      <w:r>
        <w:rPr>
          <w:rFonts w:ascii="맑은 고딕" w:eastAsia="맑은 고딕" w:hAnsi="맑은 고딕" w:cs="맑은 고딕"/>
        </w:rPr>
        <w:t xml:space="preserve">주의점: 가족력은 Framingham Risk Score, ACC/AHA Pooled Cohort Equations, SCORE 등 주요 공인 위험도 모델에 정식 변수로 포함되어 있지 않다. </w:t>
      </w:r>
      <w:proofErr w:type="spellStart"/>
      <w:r>
        <w:rPr>
          <w:rFonts w:ascii="맑은 고딕" w:eastAsia="맑은 고딕" w:hAnsi="맑은 고딕" w:cs="맑은 고딕"/>
        </w:rPr>
        <w:t>판별력</w:t>
      </w:r>
      <w:proofErr w:type="spellEnd"/>
      <w:r>
        <w:rPr>
          <w:rFonts w:ascii="맑은 고딕" w:eastAsia="맑은 고딕" w:hAnsi="맑은 고딕" w:cs="맑은 고딕"/>
        </w:rPr>
        <w:t xml:space="preserve"> 개선 폭이 크지 않다는 점이 근거다(C-statistic 0.740 → 0.743).</w:t>
      </w:r>
    </w:p>
    <w:p w14:paraId="314DB9D9" w14:textId="77777777" w:rsidR="00BF1E91" w:rsidRDefault="00000000">
      <w:pPr>
        <w:pStyle w:val="1"/>
        <w:spacing w:before="380" w:after="170"/>
      </w:pPr>
      <w:r>
        <w:rPr>
          <w:rFonts w:ascii="맑은 고딕" w:eastAsia="맑은 고딕" w:hAnsi="맑은 고딕" w:cs="맑은 고딕"/>
          <w:b/>
          <w:bCs/>
          <w:color w:val="1F3864"/>
          <w:sz w:val="29"/>
          <w:szCs w:val="29"/>
        </w:rPr>
        <w:lastRenderedPageBreak/>
        <w:t>5. 국내 적용 타당성 검토</w:t>
      </w:r>
    </w:p>
    <w:p w14:paraId="0DDF837D" w14:textId="77777777" w:rsidR="00BF1E91" w:rsidRDefault="00000000">
      <w:pPr>
        <w:spacing w:after="140" w:line="300" w:lineRule="auto"/>
      </w:pPr>
      <w:r>
        <w:rPr>
          <w:rFonts w:ascii="맑은 고딕" w:eastAsia="맑은 고딕" w:hAnsi="맑은 고딕" w:cs="맑은 고딕"/>
        </w:rPr>
        <w:t xml:space="preserve">서구 코호트에서 도출된 가중치를 한국인에게 그대로 적용하면 위험도가 </w:t>
      </w:r>
      <w:proofErr w:type="spellStart"/>
      <w:r>
        <w:rPr>
          <w:rFonts w:ascii="맑은 고딕" w:eastAsia="맑은 고딕" w:hAnsi="맑은 고딕" w:cs="맑은 고딕"/>
        </w:rPr>
        <w:t>과대추정된다는</w:t>
      </w:r>
      <w:proofErr w:type="spellEnd"/>
      <w:r>
        <w:rPr>
          <w:rFonts w:ascii="맑은 고딕" w:eastAsia="맑은 고딕" w:hAnsi="맑은 고딕" w:cs="맑은 고딕"/>
        </w:rPr>
        <w:t xml:space="preserve"> 점이 국내 연구에서 반복 확인되었다. 한국인 대상 검증된 모형과의 대조가 필요하다.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300"/>
        <w:gridCol w:w="2300"/>
      </w:tblGrid>
      <w:tr w:rsidR="00BF1E91" w14:paraId="5A6987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E549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C41B17" w14:textId="77777777" w:rsidR="00BF1E9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모형</w:t>
            </w:r>
          </w:p>
        </w:tc>
        <w:tc>
          <w:tcPr>
            <w:tcW w:w="2400" w:type="dxa"/>
            <w:shd w:val="clear" w:color="auto" w:fill="2E549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50228A" w14:textId="77777777" w:rsidR="00BF1E9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개발 규모</w:t>
            </w:r>
          </w:p>
        </w:tc>
        <w:tc>
          <w:tcPr>
            <w:tcW w:w="2300" w:type="dxa"/>
            <w:shd w:val="clear" w:color="auto" w:fill="2E549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49D229" w14:textId="77777777" w:rsidR="00BF1E91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판별력</w:t>
            </w:r>
            <w:proofErr w:type="spellEnd"/>
          </w:p>
        </w:tc>
        <w:tc>
          <w:tcPr>
            <w:tcW w:w="2300" w:type="dxa"/>
            <w:shd w:val="clear" w:color="auto" w:fill="2E549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105A6B" w14:textId="77777777" w:rsidR="00BF1E9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한국인 적용 시 보정 오차</w:t>
            </w:r>
          </w:p>
        </w:tc>
      </w:tr>
      <w:tr w:rsidR="00BF1E91" w14:paraId="555007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D7E12AF" w14:textId="77777777" w:rsidR="00BF1E91" w:rsidRDefault="00000000"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K-CVD (2023)</w:t>
            </w:r>
          </w:p>
        </w:tc>
        <w:tc>
          <w:tcPr>
            <w:tcW w:w="24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89F7721" w14:textId="77777777" w:rsidR="00BF1E91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국민건강보험 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표본코호트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325,934명</w:t>
            </w:r>
          </w:p>
        </w:tc>
        <w:tc>
          <w:tcPr>
            <w:tcW w:w="23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8A9DF43" w14:textId="77777777" w:rsidR="00BF1E9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AUC 0.846 (0.828–0.864)</w:t>
            </w:r>
          </w:p>
        </w:tc>
        <w:tc>
          <w:tcPr>
            <w:tcW w:w="2300" w:type="dxa"/>
            <w:shd w:val="clear" w:color="auto" w:fill="E2EFD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7E708F8" w14:textId="77777777" w:rsidR="00BF1E91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양호 (적합도 p=0.32)</w:t>
            </w:r>
          </w:p>
        </w:tc>
      </w:tr>
      <w:tr w:rsidR="00BF1E91" w14:paraId="63F2CB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A2B92AD" w14:textId="77777777" w:rsidR="00BF1E91" w:rsidRDefault="00000000"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KRPM (2015)</w:t>
            </w:r>
          </w:p>
        </w:tc>
        <w:tc>
          <w:tcPr>
            <w:tcW w:w="24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4A6FAF1" w14:textId="77777777" w:rsidR="00BF1E91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Korean Heart Study 200,010명</w:t>
            </w:r>
          </w:p>
        </w:tc>
        <w:tc>
          <w:tcPr>
            <w:tcW w:w="23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4F5F8BF" w14:textId="77777777" w:rsidR="00BF1E9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AUROC 약 0.727 (남)</w:t>
            </w:r>
          </w:p>
        </w:tc>
        <w:tc>
          <w:tcPr>
            <w:tcW w:w="2300" w:type="dxa"/>
            <w:shd w:val="clear" w:color="auto" w:fill="FFF2CC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B548158" w14:textId="77777777" w:rsidR="00BF1E91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과소추정 −31% (남·여)</w:t>
            </w:r>
          </w:p>
        </w:tc>
      </w:tr>
      <w:tr w:rsidR="00BF1E91" w14:paraId="5B0A16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468B497" w14:textId="77777777" w:rsidR="00BF1E91" w:rsidRDefault="00000000"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ACC/AHA PCE</w:t>
            </w:r>
          </w:p>
        </w:tc>
        <w:tc>
          <w:tcPr>
            <w:tcW w:w="24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FE4F6BE" w14:textId="77777777" w:rsidR="00BF1E91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미국 통합 코호트</w:t>
            </w:r>
          </w:p>
        </w:tc>
        <w:tc>
          <w:tcPr>
            <w:tcW w:w="23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DDADAD3" w14:textId="77777777" w:rsidR="00BF1E9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C-statistic 0.730~0.735</w:t>
            </w:r>
          </w:p>
        </w:tc>
        <w:tc>
          <w:tcPr>
            <w:tcW w:w="2300" w:type="dxa"/>
            <w:shd w:val="clear" w:color="auto" w:fill="FCE4D6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009979D" w14:textId="77777777" w:rsidR="00BF1E91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남 +6~13% 과대, 여 −25~−49% 과소</w:t>
            </w:r>
          </w:p>
        </w:tc>
      </w:tr>
      <w:tr w:rsidR="00BF1E91" w14:paraId="6A53E7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CFC335C" w14:textId="77777777" w:rsidR="00BF1E91" w:rsidRDefault="00000000"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Framingham (FRS-CVD)</w:t>
            </w:r>
          </w:p>
        </w:tc>
        <w:tc>
          <w:tcPr>
            <w:tcW w:w="24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24B0CF6" w14:textId="77777777" w:rsidR="00BF1E91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미국 Framingham 코호트</w:t>
            </w:r>
          </w:p>
        </w:tc>
        <w:tc>
          <w:tcPr>
            <w:tcW w:w="23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43D3093" w14:textId="77777777" w:rsidR="00BF1E9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C-statistic 0.726~0.732</w:t>
            </w:r>
          </w:p>
        </w:tc>
        <w:tc>
          <w:tcPr>
            <w:tcW w:w="2300" w:type="dxa"/>
            <w:shd w:val="clear" w:color="auto" w:fill="FCE4D6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A7D773A" w14:textId="77777777" w:rsidR="00BF1E91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남 +91% 과대추정</w:t>
            </w:r>
          </w:p>
        </w:tc>
      </w:tr>
    </w:tbl>
    <w:p w14:paraId="2FEF92DD" w14:textId="77777777" w:rsidR="00BF1E91" w:rsidRDefault="00BF1E91">
      <w:pPr>
        <w:spacing w:before="160"/>
      </w:pPr>
    </w:p>
    <w:p w14:paraId="14E1EC66" w14:textId="77777777" w:rsidR="00BF1E91" w:rsidRDefault="00000000">
      <w:pPr>
        <w:pStyle w:val="a4"/>
        <w:numPr>
          <w:ilvl w:val="0"/>
          <w:numId w:val="1"/>
        </w:numPr>
        <w:spacing w:after="80" w:line="290" w:lineRule="auto"/>
      </w:pPr>
      <w:r>
        <w:rPr>
          <w:rFonts w:ascii="맑은 고딕" w:eastAsia="맑은 고딕" w:hAnsi="맑은 고딕" w:cs="맑은 고딕"/>
        </w:rPr>
        <w:t xml:space="preserve">K-CVD 모형(2023): 국민건강보험 </w:t>
      </w:r>
      <w:proofErr w:type="spellStart"/>
      <w:r>
        <w:rPr>
          <w:rFonts w:ascii="맑은 고딕" w:eastAsia="맑은 고딕" w:hAnsi="맑은 고딕" w:cs="맑은 고딕"/>
        </w:rPr>
        <w:t>표본코호트</w:t>
      </w:r>
      <w:proofErr w:type="spellEnd"/>
      <w:r>
        <w:rPr>
          <w:rFonts w:ascii="맑은 고딕" w:eastAsia="맑은 고딕" w:hAnsi="맑은 고딕" w:cs="맑은 고딕"/>
        </w:rPr>
        <w:t xml:space="preserve"> 325,934명(20–80세)을 대상으로 개발되었으며 10년 추적 중 4,367건의 죽상경화성 심혈관질환 사건이 발생했다. 포함 변수는 연령, 흡연, 당뇨, </w:t>
      </w:r>
      <w:proofErr w:type="spellStart"/>
      <w:r>
        <w:rPr>
          <w:rFonts w:ascii="맑은 고딕" w:eastAsia="맑은 고딕" w:hAnsi="맑은 고딕" w:cs="맑은 고딕"/>
        </w:rPr>
        <w:t>수축기혈압</w:t>
      </w:r>
      <w:proofErr w:type="spellEnd"/>
      <w:r>
        <w:rPr>
          <w:rFonts w:ascii="맑은 고딕" w:eastAsia="맑은 고딕" w:hAnsi="맑은 고딕" w:cs="맑은 고딕"/>
        </w:rPr>
        <w:t xml:space="preserve">, 지질 수치, </w:t>
      </w:r>
      <w:proofErr w:type="spellStart"/>
      <w:r>
        <w:rPr>
          <w:rFonts w:ascii="맑은 고딕" w:eastAsia="맑은 고딕" w:hAnsi="맑은 고딕" w:cs="맑은 고딕"/>
        </w:rPr>
        <w:t>요단백</w:t>
      </w:r>
      <w:proofErr w:type="spellEnd"/>
      <w:r>
        <w:rPr>
          <w:rFonts w:ascii="맑은 고딕" w:eastAsia="맑은 고딕" w:hAnsi="맑은 고딕" w:cs="맑은 고딕"/>
        </w:rPr>
        <w:t>, 지질강하·혈압강하 치료 여부다.</w:t>
      </w:r>
    </w:p>
    <w:p w14:paraId="3A36BCCD" w14:textId="77777777" w:rsidR="00BF1E91" w:rsidRDefault="00000000">
      <w:pPr>
        <w:pStyle w:val="a4"/>
        <w:numPr>
          <w:ilvl w:val="0"/>
          <w:numId w:val="1"/>
        </w:numPr>
        <w:spacing w:after="80" w:line="290" w:lineRule="auto"/>
      </w:pPr>
      <w:r>
        <w:rPr>
          <w:rFonts w:ascii="맑은 고딕" w:eastAsia="맑은 고딕" w:hAnsi="맑은 고딕" w:cs="맑은 고딕"/>
        </w:rPr>
        <w:t>Korean Heart Study(2014): 30–74세 한국인 268,315명 전향적 코호트로 관상동맥질환 예측모형을 개발하고 Framingham 점수와 비교했다.</w:t>
      </w:r>
    </w:p>
    <w:p w14:paraId="60F5E3B4" w14:textId="77777777" w:rsidR="00BF1E91" w:rsidRDefault="00000000">
      <w:pPr>
        <w:pStyle w:val="a4"/>
        <w:numPr>
          <w:ilvl w:val="0"/>
          <w:numId w:val="1"/>
        </w:numPr>
        <w:spacing w:after="80" w:line="290" w:lineRule="auto"/>
      </w:pPr>
      <w:r>
        <w:rPr>
          <w:rFonts w:ascii="맑은 고딕" w:eastAsia="맑은 고딕" w:hAnsi="맑은 고딕" w:cs="맑은 고딕"/>
        </w:rPr>
        <w:t xml:space="preserve">교차검증 결과: Framingham 모형은 한국 남성에서 위험을 91% </w:t>
      </w:r>
      <w:proofErr w:type="spellStart"/>
      <w:r>
        <w:rPr>
          <w:rFonts w:ascii="맑은 고딕" w:eastAsia="맑은 고딕" w:hAnsi="맑은 고딕" w:cs="맑은 고딕"/>
        </w:rPr>
        <w:t>과대추정했고</w:t>
      </w:r>
      <w:proofErr w:type="spellEnd"/>
      <w:r>
        <w:rPr>
          <w:rFonts w:ascii="맑은 고딕" w:eastAsia="맑은 고딕" w:hAnsi="맑은 고딕" w:cs="맑은 고딕"/>
        </w:rPr>
        <w:t xml:space="preserve">, ACC/AHA PCE는 남성 6~13% 과대·여성 25~49% </w:t>
      </w:r>
      <w:proofErr w:type="spellStart"/>
      <w:r>
        <w:rPr>
          <w:rFonts w:ascii="맑은 고딕" w:eastAsia="맑은 고딕" w:hAnsi="맑은 고딕" w:cs="맑은 고딕"/>
        </w:rPr>
        <w:t>과소추정했다</w:t>
      </w:r>
      <w:proofErr w:type="spellEnd"/>
      <w:r>
        <w:rPr>
          <w:rFonts w:ascii="맑은 고딕" w:eastAsia="맑은 고딕" w:hAnsi="맑은 고딕" w:cs="맑은 고딕"/>
        </w:rPr>
        <w:t xml:space="preserve">. 반대로 한국형 KRPM은 남녀 모두 31% </w:t>
      </w:r>
      <w:proofErr w:type="spellStart"/>
      <w:r>
        <w:rPr>
          <w:rFonts w:ascii="맑은 고딕" w:eastAsia="맑은 고딕" w:hAnsi="맑은 고딕" w:cs="맑은 고딕"/>
        </w:rPr>
        <w:t>과소추정했다</w:t>
      </w:r>
      <w:proofErr w:type="spellEnd"/>
      <w:r>
        <w:rPr>
          <w:rFonts w:ascii="맑은 고딕" w:eastAsia="맑은 고딕" w:hAnsi="맑은 고딕" w:cs="맑은 고딕"/>
        </w:rPr>
        <w:t>.</w:t>
      </w:r>
    </w:p>
    <w:p w14:paraId="542D6B6C" w14:textId="77777777" w:rsidR="00BF1E91" w:rsidRDefault="00000000">
      <w:pPr>
        <w:pBdr>
          <w:left w:val="single" w:sz="18" w:space="8" w:color="2E5496"/>
        </w:pBdr>
        <w:shd w:val="clear" w:color="auto" w:fill="EDF2FA"/>
        <w:spacing w:before="120" w:after="200" w:line="300" w:lineRule="auto"/>
        <w:ind w:left="160" w:right="160"/>
      </w:pPr>
      <w:r>
        <w:rPr>
          <w:rFonts w:ascii="맑은 고딕" w:eastAsia="맑은 고딕" w:hAnsi="맑은 고딕" w:cs="맑은 고딕"/>
        </w:rPr>
        <w:t xml:space="preserve">권고: </w:t>
      </w:r>
      <w:proofErr w:type="spellStart"/>
      <w:r>
        <w:rPr>
          <w:rFonts w:ascii="맑은 고딕" w:eastAsia="맑은 고딕" w:hAnsi="맑은 고딕" w:cs="맑은 고딕"/>
        </w:rPr>
        <w:t>콜록의</w:t>
      </w:r>
      <w:proofErr w:type="spellEnd"/>
      <w:r>
        <w:rPr>
          <w:rFonts w:ascii="맑은 고딕" w:eastAsia="맑은 고딕" w:hAnsi="맑은 고딕" w:cs="맑은 고딕"/>
        </w:rPr>
        <w:t xml:space="preserve"> 가중치가 서구 </w:t>
      </w:r>
      <w:proofErr w:type="spellStart"/>
      <w:r>
        <w:rPr>
          <w:rFonts w:ascii="맑은 고딕" w:eastAsia="맑은 고딕" w:hAnsi="맑은 고딕" w:cs="맑은 고딕"/>
        </w:rPr>
        <w:t>문헌값</w:t>
      </w:r>
      <w:proofErr w:type="spellEnd"/>
      <w:r>
        <w:rPr>
          <w:rFonts w:ascii="맑은 고딕" w:eastAsia="맑은 고딕" w:hAnsi="맑은 고딕" w:cs="맑은 고딕"/>
        </w:rPr>
        <w:t>(예: INTERHEART OR)을 그대로 차용한 것이라면, 한국인 대상으로는 위험을 다소 높게 산출할 가능성이 있다. 고혈압 ×1.5처럼 문헌 범위 하단을 택한 보수적 설정은 이 관점에서 오히려 적절하다.</w:t>
      </w:r>
    </w:p>
    <w:p w14:paraId="6D7EF1D0" w14:textId="77777777" w:rsidR="00BF1E91" w:rsidRDefault="00000000">
      <w:pPr>
        <w:pStyle w:val="1"/>
        <w:spacing w:before="380" w:after="170"/>
      </w:pPr>
      <w:r>
        <w:rPr>
          <w:rFonts w:ascii="맑은 고딕" w:eastAsia="맑은 고딕" w:hAnsi="맑은 고딕" w:cs="맑은 고딕"/>
          <w:b/>
          <w:bCs/>
          <w:color w:val="1F3864"/>
          <w:sz w:val="29"/>
          <w:szCs w:val="29"/>
        </w:rPr>
        <w:t>6. 호흡기 질환 맥락에서의 가중치 (해당 시)</w:t>
      </w:r>
    </w:p>
    <w:p w14:paraId="3A0FA1C3" w14:textId="77777777" w:rsidR="00BF1E91" w:rsidRDefault="00000000">
      <w:pPr>
        <w:spacing w:after="140" w:line="300" w:lineRule="auto"/>
      </w:pPr>
      <w:r>
        <w:rPr>
          <w:rFonts w:ascii="맑은 고딕" w:eastAsia="맑은 고딕" w:hAnsi="맑은 고딕" w:cs="맑은 고딕"/>
        </w:rPr>
        <w:t>서비스 성격상 호흡기 증상(기침 등) 기반 위험도를 산정하는 경우, 심혈관 문헌이 아닌 호흡기 감염 중증도 문헌을 근거로 삼아야 한다. 참고 수치는 다음과 같다.</w:t>
      </w:r>
    </w:p>
    <w:p w14:paraId="04BD9095" w14:textId="77777777" w:rsidR="00BF1E91" w:rsidRDefault="00000000">
      <w:pPr>
        <w:pStyle w:val="a4"/>
        <w:numPr>
          <w:ilvl w:val="0"/>
          <w:numId w:val="1"/>
        </w:numPr>
        <w:spacing w:after="80" w:line="290" w:lineRule="auto"/>
      </w:pPr>
      <w:r>
        <w:rPr>
          <w:rFonts w:ascii="맑은 고딕" w:eastAsia="맑은 고딕" w:hAnsi="맑은 고딕" w:cs="맑은 고딕"/>
        </w:rPr>
        <w:t xml:space="preserve">30개 연구·6,560명을 종합한 메타분석에서 고혈압 동반 시 복합 </w:t>
      </w:r>
      <w:proofErr w:type="spellStart"/>
      <w:r>
        <w:rPr>
          <w:rFonts w:ascii="맑은 고딕" w:eastAsia="맑은 고딕" w:hAnsi="맑은 고딕" w:cs="맑은 고딕"/>
        </w:rPr>
        <w:t>불량예후</w:t>
      </w:r>
      <w:proofErr w:type="spellEnd"/>
      <w:r>
        <w:rPr>
          <w:rFonts w:ascii="맑은 고딕" w:eastAsia="맑은 고딕" w:hAnsi="맑은 고딕" w:cs="맑은 고딕"/>
        </w:rPr>
        <w:t xml:space="preserve"> 위험비는 2.11(95% CI 1.85–2.40), 사망 2.21(1.74–2.81), 중증 진행 2.04(1.69–2.47), 급성호흡곤란증후군 1.64(1.11–2.43), 중환자실 입실 2.11(1.34–3.33)이었다. (등급 C — 이질성 I² 44~66%)</w:t>
      </w:r>
    </w:p>
    <w:p w14:paraId="77605654" w14:textId="77777777" w:rsidR="00BF1E91" w:rsidRDefault="00000000">
      <w:pPr>
        <w:pStyle w:val="a4"/>
        <w:numPr>
          <w:ilvl w:val="0"/>
          <w:numId w:val="1"/>
        </w:numPr>
        <w:spacing w:after="80" w:line="290" w:lineRule="auto"/>
      </w:pPr>
      <w:r>
        <w:rPr>
          <w:rFonts w:ascii="맑은 고딕" w:eastAsia="맑은 고딕" w:hAnsi="맑은 고딕" w:cs="맑은 고딕"/>
        </w:rPr>
        <w:t>중증-</w:t>
      </w:r>
      <w:proofErr w:type="spellStart"/>
      <w:r>
        <w:rPr>
          <w:rFonts w:ascii="맑은 고딕" w:eastAsia="맑은 고딕" w:hAnsi="맑은 고딕" w:cs="맑은 고딕"/>
        </w:rPr>
        <w:t>비중증</w:t>
      </w:r>
      <w:proofErr w:type="spellEnd"/>
      <w:r>
        <w:rPr>
          <w:rFonts w:ascii="맑은 고딕" w:eastAsia="맑은 고딕" w:hAnsi="맑은 고딕" w:cs="맑은 고딕"/>
        </w:rPr>
        <w:t xml:space="preserve"> 비교 메타분석에서는 고혈압 </w:t>
      </w:r>
      <w:proofErr w:type="spellStart"/>
      <w:r>
        <w:rPr>
          <w:rFonts w:ascii="맑은 고딕" w:eastAsia="맑은 고딕" w:hAnsi="맑은 고딕" w:cs="맑은 고딕"/>
        </w:rPr>
        <w:t>교차비</w:t>
      </w:r>
      <w:proofErr w:type="spellEnd"/>
      <w:r>
        <w:rPr>
          <w:rFonts w:ascii="맑은 고딕" w:eastAsia="맑은 고딕" w:hAnsi="맑은 고딕" w:cs="맑은 고딕"/>
        </w:rPr>
        <w:t xml:space="preserve"> 2.79(1.66–4.69), 당뇨 1.64, 심혈관질환 1.79, 뇌혈관질환 3.92, 호흡기질환 1.98로 보고되었다.</w:t>
      </w:r>
    </w:p>
    <w:p w14:paraId="45DCC92E" w14:textId="77777777" w:rsidR="00BF1E91" w:rsidRDefault="00000000">
      <w:pPr>
        <w:spacing w:after="180" w:line="280" w:lineRule="auto"/>
      </w:pPr>
      <w:r>
        <w:rPr>
          <w:rFonts w:ascii="맑은 고딕" w:eastAsia="맑은 고딕" w:hAnsi="맑은 고딕" w:cs="맑은 고딕"/>
          <w:i/>
          <w:iCs/>
          <w:color w:val="6E6E6E"/>
          <w:sz w:val="18"/>
          <w:szCs w:val="18"/>
        </w:rPr>
        <w:lastRenderedPageBreak/>
        <w:t xml:space="preserve">※ 호흡기 감염 중증도 문헌은 연구 간 이질성이 크고 연령 교란(confounding)이 충분히 보정되지 않은 경우가 많아, 심혈관 문헌 대비 근거 등급이 낮습니다. 이 영역의 가중치는 </w:t>
      </w:r>
      <w:proofErr w:type="spellStart"/>
      <w:r>
        <w:rPr>
          <w:rFonts w:ascii="맑은 고딕" w:eastAsia="맑은 고딕" w:hAnsi="맑은 고딕" w:cs="맑은 고딕"/>
          <w:i/>
          <w:iCs/>
          <w:color w:val="6E6E6E"/>
          <w:sz w:val="18"/>
          <w:szCs w:val="18"/>
        </w:rPr>
        <w:t>잠정값으로</w:t>
      </w:r>
      <w:proofErr w:type="spellEnd"/>
      <w:r>
        <w:rPr>
          <w:rFonts w:ascii="맑은 고딕" w:eastAsia="맑은 고딕" w:hAnsi="맑은 고딕" w:cs="맑은 고딕"/>
          <w:i/>
          <w:iCs/>
          <w:color w:val="6E6E6E"/>
          <w:sz w:val="18"/>
          <w:szCs w:val="18"/>
        </w:rPr>
        <w:t xml:space="preserve"> 표기하고 향후 갱신 계획을 명시할 것을 권장합니다.</w:t>
      </w:r>
    </w:p>
    <w:p w14:paraId="421EBC82" w14:textId="77777777" w:rsidR="00BF1E91" w:rsidRDefault="00000000">
      <w:pPr>
        <w:pStyle w:val="1"/>
        <w:spacing w:before="380" w:after="170"/>
      </w:pPr>
      <w:r>
        <w:rPr>
          <w:rFonts w:ascii="맑은 고딕" w:eastAsia="맑은 고딕" w:hAnsi="맑은 고딕" w:cs="맑은 고딕"/>
          <w:b/>
          <w:bCs/>
          <w:color w:val="1F3864"/>
          <w:sz w:val="29"/>
          <w:szCs w:val="29"/>
        </w:rPr>
        <w:t>7. 가중치 산정 방법론 검토</w:t>
      </w:r>
    </w:p>
    <w:p w14:paraId="3032960D" w14:textId="77777777" w:rsidR="00BF1E91" w:rsidRDefault="00000000">
      <w:pPr>
        <w:pStyle w:val="2"/>
        <w:spacing w:before="290" w:after="130"/>
      </w:pPr>
      <w:r>
        <w:rPr>
          <w:rFonts w:ascii="맑은 고딕" w:eastAsia="맑은 고딕" w:hAnsi="맑은 고딕" w:cs="맑은 고딕"/>
          <w:b/>
          <w:bCs/>
          <w:color w:val="2E5496"/>
          <w:sz w:val="25"/>
          <w:szCs w:val="25"/>
        </w:rPr>
        <w:t>7.1 검증된 가중치 체계 참조 모델</w:t>
      </w:r>
    </w:p>
    <w:p w14:paraId="1FB34DDC" w14:textId="77777777" w:rsidR="00BF1E91" w:rsidRDefault="00000000">
      <w:pPr>
        <w:pStyle w:val="a4"/>
        <w:numPr>
          <w:ilvl w:val="0"/>
          <w:numId w:val="1"/>
        </w:numPr>
        <w:spacing w:after="80" w:line="290" w:lineRule="auto"/>
      </w:pPr>
      <w:r>
        <w:rPr>
          <w:rFonts w:ascii="맑은 고딕" w:eastAsia="맑은 고딕" w:hAnsi="맑은 고딕" w:cs="맑은 고딕"/>
        </w:rPr>
        <w:t>Charlson 동반질환 지수(1987, J Chronic Dis): 19개 질환에 대해 Cox 비례위험모형으로 추정한 1년 사망 위험비를 기준으로 1~6점의 가중치를 부여했다. 559명 코호트에서 개발하고 685명 코호트에서 10년 추적으로 검증했으며, 점수 0점의 1년 사망률 12%, 1–2점 26%, 3–4점 52%, 5점 이상 85%였다.</w:t>
      </w:r>
    </w:p>
    <w:p w14:paraId="3CBEC24B" w14:textId="77777777" w:rsidR="00BF1E91" w:rsidRDefault="00000000">
      <w:pPr>
        <w:pStyle w:val="a4"/>
        <w:numPr>
          <w:ilvl w:val="1"/>
          <w:numId w:val="1"/>
        </w:numPr>
        <w:spacing w:after="70" w:line="285" w:lineRule="auto"/>
      </w:pPr>
      <w:r>
        <w:rPr>
          <w:rFonts w:ascii="맑은 고딕" w:eastAsia="맑은 고딕" w:hAnsi="맑은 고딕" w:cs="맑은 고딕"/>
          <w:color w:val="404040"/>
          <w:sz w:val="19"/>
          <w:szCs w:val="19"/>
        </w:rPr>
        <w:t>시사점 ①: 가중치는 임의 배정이 아니라 회귀계수에서 도출해야 재현성이 확보된다.</w:t>
      </w:r>
    </w:p>
    <w:p w14:paraId="7D309B1F" w14:textId="77777777" w:rsidR="00BF1E91" w:rsidRDefault="00000000">
      <w:pPr>
        <w:pStyle w:val="a4"/>
        <w:numPr>
          <w:ilvl w:val="1"/>
          <w:numId w:val="1"/>
        </w:numPr>
        <w:spacing w:after="70" w:line="285" w:lineRule="auto"/>
      </w:pPr>
      <w:r>
        <w:rPr>
          <w:rFonts w:ascii="맑은 고딕" w:eastAsia="맑은 고딕" w:hAnsi="맑은 고딕" w:cs="맑은 고딕"/>
          <w:color w:val="404040"/>
          <w:sz w:val="19"/>
          <w:szCs w:val="19"/>
        </w:rPr>
        <w:t xml:space="preserve">시사점 ②: Charlson 지수에는 고혈압이 독립 항목으로 포함되어 있지 않다. 단기 사망 예측에서는 고혈압 자체보다 그로 인한 결과 질환(심근경색, 뇌혈관질환)이 더 강한 예측인자이기 때문이다. </w:t>
      </w:r>
      <w:proofErr w:type="spellStart"/>
      <w:r>
        <w:rPr>
          <w:rFonts w:ascii="맑은 고딕" w:eastAsia="맑은 고딕" w:hAnsi="맑은 고딕" w:cs="맑은 고딕"/>
          <w:color w:val="404040"/>
          <w:sz w:val="19"/>
          <w:szCs w:val="19"/>
        </w:rPr>
        <w:t>콜록의</w:t>
      </w:r>
      <w:proofErr w:type="spellEnd"/>
      <w:r>
        <w:rPr>
          <w:rFonts w:ascii="맑은 고딕" w:eastAsia="맑은 고딕" w:hAnsi="맑은 고딕" w:cs="맑은 고딕"/>
          <w:color w:val="404040"/>
          <w:sz w:val="19"/>
          <w:szCs w:val="19"/>
        </w:rPr>
        <w:t xml:space="preserve"> 산정 목적이 '장기 발생 위험'인지 '단기 중증도'인지에 따라 고혈압 가중치의 </w:t>
      </w:r>
      <w:proofErr w:type="spellStart"/>
      <w:r>
        <w:rPr>
          <w:rFonts w:ascii="맑은 고딕" w:eastAsia="맑은 고딕" w:hAnsi="맑은 고딕" w:cs="맑은 고딕"/>
          <w:color w:val="404040"/>
          <w:sz w:val="19"/>
          <w:szCs w:val="19"/>
        </w:rPr>
        <w:t>적정값이</w:t>
      </w:r>
      <w:proofErr w:type="spellEnd"/>
      <w:r>
        <w:rPr>
          <w:rFonts w:ascii="맑은 고딕" w:eastAsia="맑은 고딕" w:hAnsi="맑은 고딕" w:cs="맑은 고딕"/>
          <w:color w:val="404040"/>
          <w:sz w:val="19"/>
          <w:szCs w:val="19"/>
        </w:rPr>
        <w:t xml:space="preserve"> 달라진다.</w:t>
      </w:r>
    </w:p>
    <w:p w14:paraId="4CBBF955" w14:textId="77777777" w:rsidR="00BF1E91" w:rsidRDefault="00000000">
      <w:pPr>
        <w:pStyle w:val="2"/>
        <w:spacing w:before="290" w:after="130"/>
      </w:pPr>
      <w:r>
        <w:rPr>
          <w:rFonts w:ascii="맑은 고딕" w:eastAsia="맑은 고딕" w:hAnsi="맑은 고딕" w:cs="맑은 고딕"/>
          <w:b/>
          <w:bCs/>
          <w:color w:val="2E5496"/>
          <w:sz w:val="25"/>
          <w:szCs w:val="25"/>
        </w:rPr>
        <w:t>7.2 다중 위험요인 결합 방식</w:t>
      </w:r>
    </w:p>
    <w:p w14:paraId="6259227F" w14:textId="77777777" w:rsidR="00BF1E91" w:rsidRDefault="00000000">
      <w:pPr>
        <w:spacing w:after="140" w:line="300" w:lineRule="auto"/>
      </w:pPr>
      <w:r>
        <w:rPr>
          <w:rFonts w:ascii="맑은 고딕" w:eastAsia="맑은 고딕" w:hAnsi="맑은 고딕" w:cs="맑은 고딕"/>
        </w:rPr>
        <w:t xml:space="preserve">가장 흔한 오류는 개별 가중치를 단순 곱셈으로 결합하는 것이다. 고혈압 1.5 × 당뇨 2.0 × 흡연 2.9 = 8.7배가 되지만, 실제 코호트 </w:t>
      </w:r>
      <w:proofErr w:type="spellStart"/>
      <w:r>
        <w:rPr>
          <w:rFonts w:ascii="맑은 고딕" w:eastAsia="맑은 고딕" w:hAnsi="맑은 고딕" w:cs="맑은 고딕"/>
        </w:rPr>
        <w:t>관찰값은</w:t>
      </w:r>
      <w:proofErr w:type="spellEnd"/>
      <w:r>
        <w:rPr>
          <w:rFonts w:ascii="맑은 고딕" w:eastAsia="맑은 고딕" w:hAnsi="맑은 고딕" w:cs="맑은 고딕"/>
        </w:rPr>
        <w:t xml:space="preserve"> 이보다 낮게 나타난다.</w:t>
      </w:r>
    </w:p>
    <w:p w14:paraId="108D3C34" w14:textId="77777777" w:rsidR="00BF1E91" w:rsidRDefault="00000000">
      <w:pPr>
        <w:pStyle w:val="a4"/>
        <w:numPr>
          <w:ilvl w:val="0"/>
          <w:numId w:val="1"/>
        </w:numPr>
        <w:spacing w:after="80" w:line="290" w:lineRule="auto"/>
      </w:pPr>
      <w:r>
        <w:rPr>
          <w:rFonts w:ascii="맑은 고딕" w:eastAsia="맑은 고딕" w:hAnsi="맑은 고딕" w:cs="맑은 고딕"/>
        </w:rPr>
        <w:t>실증 사례: 당뇨와 고혈압을 동시 보유한 경우 관상동맥질환 위험비는 2.41로 보고되었으며, 이는 두 요인의 단순 곱(약 2.9~3.6)보다 낮다.</w:t>
      </w:r>
    </w:p>
    <w:p w14:paraId="154B571B" w14:textId="77777777" w:rsidR="00BF1E91" w:rsidRDefault="00000000">
      <w:pPr>
        <w:pStyle w:val="a4"/>
        <w:numPr>
          <w:ilvl w:val="0"/>
          <w:numId w:val="1"/>
        </w:numPr>
        <w:spacing w:after="80" w:line="290" w:lineRule="auto"/>
      </w:pPr>
      <w:r>
        <w:rPr>
          <w:rFonts w:ascii="맑은 고딕" w:eastAsia="맑은 고딕" w:hAnsi="맑은 고딕" w:cs="맑은 고딕"/>
        </w:rPr>
        <w:t xml:space="preserve">권고 방식: 개별 위험비의 </w:t>
      </w:r>
      <w:proofErr w:type="spellStart"/>
      <w:r>
        <w:rPr>
          <w:rFonts w:ascii="맑은 고딕" w:eastAsia="맑은 고딕" w:hAnsi="맑은 고딕" w:cs="맑은 고딕"/>
        </w:rPr>
        <w:t>로그값을</w:t>
      </w:r>
      <w:proofErr w:type="spellEnd"/>
      <w:r>
        <w:rPr>
          <w:rFonts w:ascii="맑은 고딕" w:eastAsia="맑은 고딕" w:hAnsi="맑은 고딕" w:cs="맑은 고딕"/>
        </w:rPr>
        <w:t xml:space="preserve"> 합산하는 Cox 비례위험모형 형태(exp(Σβᵢxᵢ))를 사용하거나, 국민건강보험공단 건강위험평가(HRA)에서 채택한 Robbins 복합위험도 계산 방식을 적용한다.</w:t>
      </w:r>
    </w:p>
    <w:p w14:paraId="065973D7" w14:textId="77777777" w:rsidR="00BF1E91" w:rsidRDefault="00000000">
      <w:pPr>
        <w:pStyle w:val="a4"/>
        <w:numPr>
          <w:ilvl w:val="0"/>
          <w:numId w:val="1"/>
        </w:numPr>
        <w:spacing w:after="80" w:line="290" w:lineRule="auto"/>
      </w:pPr>
      <w:r>
        <w:rPr>
          <w:rFonts w:ascii="맑은 고딕" w:eastAsia="맑은 고딕" w:hAnsi="맑은 고딕" w:cs="맑은 고딕"/>
        </w:rPr>
        <w:t xml:space="preserve">검증 절차: 결합 </w:t>
      </w:r>
      <w:proofErr w:type="spellStart"/>
      <w:r>
        <w:rPr>
          <w:rFonts w:ascii="맑은 고딕" w:eastAsia="맑은 고딕" w:hAnsi="맑은 고딕" w:cs="맑은 고딕"/>
        </w:rPr>
        <w:t>산출값의</w:t>
      </w:r>
      <w:proofErr w:type="spellEnd"/>
      <w:r>
        <w:rPr>
          <w:rFonts w:ascii="맑은 고딕" w:eastAsia="맑은 고딕" w:hAnsi="맑은 고딕" w:cs="맑은 고딕"/>
        </w:rPr>
        <w:t xml:space="preserve"> 상한(cap)을 설정하고, 실제 코호트 관찰 발생률과 대조(calibration)하여 과대추정 여부를 확인한다.</w:t>
      </w:r>
    </w:p>
    <w:p w14:paraId="30BDA818" w14:textId="77777777" w:rsidR="00BF1E91" w:rsidRDefault="00000000">
      <w:pPr>
        <w:pStyle w:val="1"/>
        <w:spacing w:before="380" w:after="170"/>
      </w:pPr>
      <w:r>
        <w:rPr>
          <w:rFonts w:ascii="맑은 고딕" w:eastAsia="맑은 고딕" w:hAnsi="맑은 고딕" w:cs="맑은 고딕"/>
          <w:b/>
          <w:bCs/>
          <w:color w:val="1F3864"/>
          <w:sz w:val="29"/>
          <w:szCs w:val="29"/>
        </w:rPr>
        <w:t>8. 후속 조치 권고</w:t>
      </w:r>
    </w:p>
    <w:p w14:paraId="76E661E7" w14:textId="77777777" w:rsidR="00BF1E91" w:rsidRDefault="00000000">
      <w:pPr>
        <w:pStyle w:val="a4"/>
        <w:numPr>
          <w:ilvl w:val="0"/>
          <w:numId w:val="1"/>
        </w:numPr>
        <w:spacing w:after="80" w:line="290" w:lineRule="auto"/>
      </w:pPr>
      <w:r>
        <w:rPr>
          <w:rFonts w:ascii="맑은 고딕" w:eastAsia="맑은 고딕" w:hAnsi="맑은 고딕" w:cs="맑은 고딕"/>
        </w:rPr>
        <w:t xml:space="preserve">① 서비스에 적용된 전체 위험요인·가중치 목록과 각 항목의 판정 </w:t>
      </w:r>
      <w:proofErr w:type="spellStart"/>
      <w:r>
        <w:rPr>
          <w:rFonts w:ascii="맑은 고딕" w:eastAsia="맑은 고딕" w:hAnsi="맑은 고딕" w:cs="맑은 고딕"/>
        </w:rPr>
        <w:t>기준값</w:t>
      </w:r>
      <w:proofErr w:type="spellEnd"/>
      <w:r>
        <w:rPr>
          <w:rFonts w:ascii="맑은 고딕" w:eastAsia="맑은 고딕" w:hAnsi="맑은 고딕" w:cs="맑은 고딕"/>
        </w:rPr>
        <w:t>(cut-off)을 문서화한다.</w:t>
      </w:r>
    </w:p>
    <w:p w14:paraId="7F46DC2A" w14:textId="77777777" w:rsidR="00BF1E91" w:rsidRDefault="00000000">
      <w:pPr>
        <w:pStyle w:val="a4"/>
        <w:numPr>
          <w:ilvl w:val="0"/>
          <w:numId w:val="1"/>
        </w:numPr>
        <w:spacing w:after="80" w:line="290" w:lineRule="auto"/>
      </w:pPr>
      <w:r>
        <w:rPr>
          <w:rFonts w:ascii="맑은 고딕" w:eastAsia="맑은 고딕" w:hAnsi="맑은 고딕" w:cs="맑은 고딕"/>
        </w:rPr>
        <w:t>② 각 가중치에 대해 본 보고서 3장 형식의 근거 출처(</w:t>
      </w:r>
      <w:proofErr w:type="spellStart"/>
      <w:r>
        <w:rPr>
          <w:rFonts w:ascii="맑은 고딕" w:eastAsia="맑은 고딕" w:hAnsi="맑은 고딕" w:cs="맑은 고딕"/>
        </w:rPr>
        <w:t>저널명</w:t>
      </w:r>
      <w:proofErr w:type="spellEnd"/>
      <w:r>
        <w:rPr>
          <w:rFonts w:ascii="맑은 고딕" w:eastAsia="맑은 고딕" w:hAnsi="맑은 고딕" w:cs="맑은 고딕"/>
        </w:rPr>
        <w:t>·연도·효과크기·신뢰구간)를 1:1 매핑한다.</w:t>
      </w:r>
    </w:p>
    <w:p w14:paraId="5C794432" w14:textId="77777777" w:rsidR="00BF1E91" w:rsidRDefault="00000000">
      <w:pPr>
        <w:pStyle w:val="a4"/>
        <w:numPr>
          <w:ilvl w:val="0"/>
          <w:numId w:val="1"/>
        </w:numPr>
        <w:spacing w:after="80" w:line="290" w:lineRule="auto"/>
      </w:pPr>
      <w:r>
        <w:rPr>
          <w:rFonts w:ascii="맑은 고딕" w:eastAsia="맑은 고딕" w:hAnsi="맑은 고딕" w:cs="맑은 고딕"/>
        </w:rPr>
        <w:t xml:space="preserve">③ </w:t>
      </w:r>
      <w:proofErr w:type="spellStart"/>
      <w:r>
        <w:rPr>
          <w:rFonts w:ascii="맑은 고딕" w:eastAsia="맑은 고딕" w:hAnsi="맑은 고딕" w:cs="맑은 고딕"/>
        </w:rPr>
        <w:t>이상지질혈증</w:t>
      </w:r>
      <w:proofErr w:type="spellEnd"/>
      <w:r>
        <w:rPr>
          <w:rFonts w:ascii="맑은 고딕" w:eastAsia="맑은 고딕" w:hAnsi="맑은 고딕" w:cs="맑은 고딕"/>
        </w:rPr>
        <w:t xml:space="preserve"> 항목의 측정 지표를 확정하고 그에 대응하는 근거 수치로 가중치를 </w:t>
      </w:r>
      <w:proofErr w:type="spellStart"/>
      <w:r>
        <w:rPr>
          <w:rFonts w:ascii="맑은 고딕" w:eastAsia="맑은 고딕" w:hAnsi="맑은 고딕" w:cs="맑은 고딕"/>
        </w:rPr>
        <w:t>재산출한다</w:t>
      </w:r>
      <w:proofErr w:type="spellEnd"/>
      <w:r>
        <w:rPr>
          <w:rFonts w:ascii="맑은 고딕" w:eastAsia="맑은 고딕" w:hAnsi="맑은 고딕" w:cs="맑은 고딕"/>
        </w:rPr>
        <w:t>.</w:t>
      </w:r>
    </w:p>
    <w:p w14:paraId="333A25A1" w14:textId="77777777" w:rsidR="00BF1E91" w:rsidRDefault="00000000">
      <w:pPr>
        <w:pStyle w:val="a4"/>
        <w:numPr>
          <w:ilvl w:val="0"/>
          <w:numId w:val="1"/>
        </w:numPr>
        <w:spacing w:after="80" w:line="290" w:lineRule="auto"/>
      </w:pPr>
      <w:r>
        <w:rPr>
          <w:rFonts w:ascii="맑은 고딕" w:eastAsia="맑은 고딕" w:hAnsi="맑은 고딕" w:cs="맑은 고딕"/>
        </w:rPr>
        <w:t xml:space="preserve">④ 다중 위험요인 결합 로직을 곱셈에서 로그 선형 결합으로 전환하고 </w:t>
      </w:r>
      <w:proofErr w:type="spellStart"/>
      <w:r>
        <w:rPr>
          <w:rFonts w:ascii="맑은 고딕" w:eastAsia="맑은 고딕" w:hAnsi="맑은 고딕" w:cs="맑은 고딕"/>
        </w:rPr>
        <w:t>상한값을</w:t>
      </w:r>
      <w:proofErr w:type="spellEnd"/>
      <w:r>
        <w:rPr>
          <w:rFonts w:ascii="맑은 고딕" w:eastAsia="맑은 고딕" w:hAnsi="맑은 고딕" w:cs="맑은 고딕"/>
        </w:rPr>
        <w:t xml:space="preserve"> 설정한다.</w:t>
      </w:r>
    </w:p>
    <w:p w14:paraId="58C267CE" w14:textId="77777777" w:rsidR="00BF1E91" w:rsidRDefault="00000000">
      <w:pPr>
        <w:pStyle w:val="a4"/>
        <w:numPr>
          <w:ilvl w:val="0"/>
          <w:numId w:val="1"/>
        </w:numPr>
        <w:spacing w:after="80" w:line="290" w:lineRule="auto"/>
      </w:pPr>
      <w:r>
        <w:rPr>
          <w:rFonts w:ascii="맑은 고딕" w:eastAsia="맑은 고딕" w:hAnsi="맑은 고딕" w:cs="맑은 고딕"/>
        </w:rPr>
        <w:lastRenderedPageBreak/>
        <w:t>⑤ 산정 결과 화면에 근거 출처와 '의학적 진단이 아님'을 명시하는 고지 문구를 삽입한다.</w:t>
      </w:r>
    </w:p>
    <w:p w14:paraId="395D9F43" w14:textId="5C8418C9" w:rsidR="00BF1E91" w:rsidRDefault="00000000" w:rsidP="00C161D3">
      <w:pPr>
        <w:pStyle w:val="a4"/>
        <w:numPr>
          <w:ilvl w:val="0"/>
          <w:numId w:val="1"/>
        </w:numPr>
        <w:spacing w:after="80" w:line="290" w:lineRule="auto"/>
        <w:rPr>
          <w:rFonts w:hint="eastAsia"/>
        </w:rPr>
      </w:pPr>
      <w:r>
        <w:rPr>
          <w:rFonts w:ascii="맑은 고딕" w:eastAsia="맑은 고딕" w:hAnsi="맑은 고딕" w:cs="맑은 고딕"/>
        </w:rPr>
        <w:t>⑥ 가능하다면 국민건강영양조사(KNHANES) 공개 데이터로 산출 결과의 분포를 검증한다.</w:t>
      </w:r>
    </w:p>
    <w:p>
      <w:r>
        <w:br w:type="page"/>
      </w:r>
    </w:p>
    <w:p>
      <w:r>
        <w:br w:type="page"/>
      </w:r>
    </w:p>
    <w:p>
      <w:r>
        <w:rPr>
          <w:b/>
          <w:sz w:val="28"/>
        </w:rPr>
        <w:t>9. 추가 검증 노트 — 실제 구현과의 대조 (2026-08-24 갱신, 팀 HELPO)</w:t>
      </w:r>
    </w:p>
    <w:p>
      <w:r>
        <w:t>본 보고서 작성 이후 실제 서비스 코드(lib/riskScoring.ts)에 아래와 같이 반영되었다.</w:t>
      </w:r>
    </w:p>
    <w:p>
      <w:r>
        <w:t>• 당뇨병 가중치를 본 보고서 3장의 권고대로 ×2.0으로 조정 완료(기존 임의값 ×2.4에서 변경). 고혈압 ×1.5는 문헌 범위와 일치해 그대로 유지. demo/v1/src/config/riskConstants.ts에도 동일하게 반영.</w:t>
      </w:r>
    </w:p>
    <w:p>
      <w:r>
        <w:t>• "무응답 7시간"(Vercel Cron 배치, 매일 21:00 KST 확인)과 "연속 외출없음 3일"(안부체크 완료 시점에 최근 3일 기록을 함께 조회) 임계값도 실제로 구현 완료 — 본 보고서 작성 시점에는 미구현이었던 항목.</w:t>
      </w:r>
    </w:p>
    <w:p>
      <w:r>
        <w:t>• 흡연·이상지질혈증·복부비만·가족력 등 본 보고서가 함께 검증한 나머지 위험요인은 여전히 미반영 — 현재 체크리스트의 지병 목록에 해당 항목이 없기 때문이다.</w:t>
      </w:r>
    </w:p>
    <w:p>
      <w:r>
        <w:t>• 다중 위험요인 결합 방식(7.2절 지적사항)은 실제 구현이 곱셈이 아닌 카테고리별 점수 합산 구조라 해당 리스크가 처음부터 발생하지 않는 것으로 확인됨.</w:t>
      </w:r>
    </w:p>
    <w:p>
      <w:r>
        <w:t>• 후속 조치(8장) ①·②는 본 문서 자체 및 코드 주석으로 완료. ③(이상지질혈증 지표 확정) 등 나머지는 여전히 향후 과제로 남아있음.</w:t>
      </w:r>
    </w:p>
    <w:sectPr w:rsidR="00BF1E91">
      <w:pgSz w:w="11906" w:h="16838"/>
      <w:pgMar w:top="1080" w:right="1150" w:bottom="1080" w:left="11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335FB"/>
    <w:multiLevelType w:val="hybridMultilevel"/>
    <w:tmpl w:val="8DDCB6AA"/>
    <w:lvl w:ilvl="0" w:tplc="1310A06E">
      <w:start w:val="1"/>
      <w:numFmt w:val="bullet"/>
      <w:lvlText w:val="●"/>
      <w:lvlJc w:val="left"/>
      <w:pPr>
        <w:ind w:left="720" w:hanging="360"/>
      </w:pPr>
    </w:lvl>
    <w:lvl w:ilvl="1" w:tplc="3846288C">
      <w:start w:val="1"/>
      <w:numFmt w:val="bullet"/>
      <w:lvlText w:val="○"/>
      <w:lvlJc w:val="left"/>
      <w:pPr>
        <w:ind w:left="1440" w:hanging="360"/>
      </w:pPr>
    </w:lvl>
    <w:lvl w:ilvl="2" w:tplc="F384BDCC">
      <w:start w:val="1"/>
      <w:numFmt w:val="bullet"/>
      <w:lvlText w:val="■"/>
      <w:lvlJc w:val="left"/>
      <w:pPr>
        <w:ind w:left="2160" w:hanging="360"/>
      </w:pPr>
    </w:lvl>
    <w:lvl w:ilvl="3" w:tplc="D5D6195A">
      <w:start w:val="1"/>
      <w:numFmt w:val="bullet"/>
      <w:lvlText w:val="●"/>
      <w:lvlJc w:val="left"/>
      <w:pPr>
        <w:ind w:left="2880" w:hanging="360"/>
      </w:pPr>
    </w:lvl>
    <w:lvl w:ilvl="4" w:tplc="0246897C">
      <w:start w:val="1"/>
      <w:numFmt w:val="bullet"/>
      <w:lvlText w:val="○"/>
      <w:lvlJc w:val="left"/>
      <w:pPr>
        <w:ind w:left="3600" w:hanging="360"/>
      </w:pPr>
    </w:lvl>
    <w:lvl w:ilvl="5" w:tplc="D5E2C65A">
      <w:start w:val="1"/>
      <w:numFmt w:val="bullet"/>
      <w:lvlText w:val="■"/>
      <w:lvlJc w:val="left"/>
      <w:pPr>
        <w:ind w:left="4320" w:hanging="360"/>
      </w:pPr>
    </w:lvl>
    <w:lvl w:ilvl="6" w:tplc="083418D4">
      <w:start w:val="1"/>
      <w:numFmt w:val="bullet"/>
      <w:lvlText w:val="●"/>
      <w:lvlJc w:val="left"/>
      <w:pPr>
        <w:ind w:left="5040" w:hanging="360"/>
      </w:pPr>
    </w:lvl>
    <w:lvl w:ilvl="7" w:tplc="00CE5F6A">
      <w:start w:val="1"/>
      <w:numFmt w:val="bullet"/>
      <w:lvlText w:val="●"/>
      <w:lvlJc w:val="left"/>
      <w:pPr>
        <w:ind w:left="5760" w:hanging="360"/>
      </w:pPr>
    </w:lvl>
    <w:lvl w:ilvl="8" w:tplc="F30E24AC">
      <w:start w:val="1"/>
      <w:numFmt w:val="bullet"/>
      <w:lvlText w:val="●"/>
      <w:lvlJc w:val="left"/>
      <w:pPr>
        <w:ind w:left="6480" w:hanging="360"/>
      </w:pPr>
    </w:lvl>
  </w:abstractNum>
  <w:num w:numId="1" w16cid:durableId="19877760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E91"/>
    <w:rsid w:val="003823D2"/>
    <w:rsid w:val="00BF1E91"/>
    <w:rsid w:val="00C161D3"/>
    <w:rsid w:val="00E06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9234D"/>
  <w15:docId w15:val="{371B44C7-4218-4A92-B0B8-C237F5EE3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1134</Words>
  <Characters>6465</Characters>
  <Application>Microsoft Office Word</Application>
  <DocSecurity>0</DocSecurity>
  <Lines>53</Lines>
  <Paragraphs>15</Paragraphs>
  <ScaleCrop>false</ScaleCrop>
  <Company/>
  <LinksUpToDate>false</LinksUpToDate>
  <CharactersWithSpaces>7584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하영 신</cp:lastModifiedBy>
  <cp:revision>3</cp:revision>
  <dcterms:created xsi:type="dcterms:W3CDTF">2026-08-24T02:27:00Z</dcterms:created>
  <dcterms:modified xsi:type="dcterms:W3CDTF">2026-08-24T02:28:00Z</dcterms:modified>
</cp:coreProperties>
</file>