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2"/>
      </w:pPr>
      <w:r>
        <w:rPr>
          <w:rFonts w:hint="eastAsia"/>
        </w:rPr>
        <w:t xml:space="preserve">司库账户管理日报</w:t>
      </w:r>
    </w:p>
    <w:p>
      <w:pPr>
        <w:pStyle w:val="29"/>
      </w:pPr>
      <w:r>
        <w:rPr>
          <w:rFonts w:hint="eastAsia"/>
        </w:rPr>
        <w:t xml:space="preserve">司库部</w:t>
      </w:r>
    </w:p>
    <w:p>
      <w:pPr>
        <w:pStyle w:val="17"/>
      </w:pPr>
      <w:r>
        <w:rPr>
          <w:rFonts w:hint="eastAsia"/>
        </w:rPr>
        <w:t xml:space="preserve">（4月29日）</w:t>
      </w:r>
    </w:p>
    <w:p>
      <w:pPr>
        <w:pStyle w:val="4"/>
      </w:pPr>
      <w:r>
        <w:rPr>
          <w:rFonts w:hint="eastAsia"/>
        </w:rPr>
        <w:t xml:space="preserve">各单位在银行共开立账户4716个，其中：已纳入司库管理账户4716个(境内开立账户3957个)，未纳入司库管理账户0个，账户可视率100.0%。</w:t>
      </w:r>
    </w:p>
    <w:p>
      <w:pPr>
        <w:pStyle w:val="4"/>
      </w:pPr>
      <w:r>
        <w:rPr>
          <w:rFonts w:hint="eastAsia"/>
        </w:rPr>
        <w:t xml:space="preserve">除此之外，各单位共开立虚拟账户</w:t>
      </w:r>
      <w:r>
        <w:rPr>
          <w:rStyle w:val="23"/>
        </w:rPr>
        <w:footnoteReference w:id="9"/>
      </w:r>
      <w:r>
        <w:t xml:space="preserve"> </w:t>
      </w:r>
      <w:r>
        <w:rPr>
          <w:rFonts w:hint="eastAsia"/>
        </w:rPr>
        <w:t xml:space="preserve">415个，共在司库登记党团工会等账户661个。</w:t>
      </w:r>
    </w:p>
    <w:p>
      <w:pPr>
        <w:pStyle w:val="24"/>
      </w:pPr>
      <w:r>
        <w:t xml:space="preserve">表 1: 司库账户构成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none" w:sz="0" w:space="0"/>
          <w:insideV w:val="none" w:sz="0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rBorders>
            <w:bottom w:val="single" w:sz="6" w:space="0" w:color="000000"/>
          </w:trBorders>
        </w:trPr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4月29日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3月31日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变化情况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已纳入司库管理（境内开立账户）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t xml:space="preserve">4716(3957)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t xml:space="preserve">4680(3966)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增加36个(减少9个)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未纳入司库管理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未发生变化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t xml:space="preserve">4716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t xml:space="preserve">4680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增加36个</w:t>
            </w:r>
          </w:p>
        </w:tc>
      </w:tr>
    </w:tbl>
    <w:bookmarkStart w:id="12" w:name="一在财务公司开立账户情况"/>
    <w:p>
      <w:pPr>
        <w:pStyle w:val="3"/>
      </w:pPr>
      <w:r>
        <w:rPr>
          <w:rFonts w:hint="eastAsia"/>
        </w:rPr>
        <w:t xml:space="preserve">一、在财务公司开立账户情况</w:t>
      </w:r>
    </w:p>
    <w:p>
      <w:pPr>
        <w:pStyle w:val="25"/>
      </w:pPr>
      <w:r>
        <w:rPr>
          <w:rFonts w:hint="eastAsia"/>
        </w:rPr>
        <w:t xml:space="preserve">各单位在财务公司开立账户数量为3894个，与3月末相比未发生变化。</w:t>
      </w:r>
    </w:p>
    <w:p>
      <w:pPr>
        <w:pStyle w:val="4"/>
      </w:pPr>
      <w:r>
        <w:rPr>
          <w:rFonts w:hint="eastAsia"/>
        </w:rPr>
        <w:t xml:space="preserve">各单位在财务公司开立账户余额为999.38亿元，与3月末相比减少17.0亿元。</w:t>
      </w:r>
    </w:p>
    <w:p>
      <w:pPr>
        <w:pStyle w:val="24"/>
      </w:pPr>
      <w:r>
        <w:t xml:space="preserve">表 2: 财务公司账户构成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none" w:sz="0" w:space="0"/>
          <w:insideV w:val="none" w:sz="0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rBorders>
            <w:bottom w:val="single" w:sz="6" w:space="0" w:color="000000"/>
          </w:trBorders>
        </w:trPr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4月29日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3月31日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变化情况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财务公司账户数量(个)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3894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3894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未发生变化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财务公司账户余额(亿元)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999.38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1016.38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减少17.0亿元</w:t>
            </w:r>
          </w:p>
        </w:tc>
      </w:tr>
    </w:tbl>
    <w:bookmarkEnd w:id="12"/>
    <w:bookmarkStart w:id="16" w:name="二在银行开立账户情况"/>
    <w:p>
      <w:pPr>
        <w:pStyle w:val="3"/>
      </w:pPr>
      <w:r>
        <w:rPr>
          <w:rFonts w:hint="eastAsia"/>
        </w:rPr>
        <w:t xml:space="preserve">二、在银行开立账户情况</w:t>
      </w:r>
    </w:p>
    <w:p>
      <w:pPr>
        <w:pStyle w:val="25"/>
      </w:pPr>
      <w:r>
        <w:rPr>
          <w:rFonts w:hint="eastAsia"/>
        </w:rPr>
        <w:t xml:space="preserve">各单位已纳入司库管理银行账户4716个，其中：合作银行账户4124个(境内开立账户3821个)，非合作银行账户592个(境内开立账户136个)。与3月末相比，合作银行账户数量减少3个(境内开立账户减少9个)，非合作银行账户数量增加39个(境内开立账户未发生变化)。</w:t>
      </w:r>
    </w:p>
    <w:p>
      <w:pPr>
        <w:pStyle w:val="24"/>
      </w:pPr>
      <w:r>
        <w:t xml:space="preserve">表 3: 在银行开立账户情况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none" w:sz="0" w:space="0"/>
          <w:insideV w:val="none" w:sz="0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rBorders>
            <w:bottom w:val="single" w:sz="6" w:space="0" w:color="000000"/>
          </w:trBorders>
        </w:trPr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4月29日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3月31日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变化情况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在银行开立账户数量(个)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4716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4680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增加36个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在银行开立账户余额(亿元)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815.27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846.37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减少31.09亿元</w:t>
            </w:r>
          </w:p>
        </w:tc>
      </w:tr>
    </w:tbl>
    <w:p>
      <w:pPr>
        <w:pStyle w:val="4"/>
      </w:pPr>
      <w:r>
        <w:t xml:space="preserve"> </w:t>
      </w:r>
    </w:p>
    <w:p>
      <w:pPr>
        <w:pStyle w:val="24"/>
      </w:pPr>
      <w:r>
        <w:t xml:space="preserve">表 4: 在合作银行开立账户情况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none" w:sz="0" w:space="0"/>
          <w:insideV w:val="none" w:sz="0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rBorders>
            <w:bottom w:val="single" w:sz="6" w:space="0" w:color="000000"/>
          </w:trBorders>
        </w:trPr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4月29日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3月31日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变化情况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在合作银行开立账户数量(个)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4124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4127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减少3个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在合作银行开立账户余额(亿元)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712.33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693.91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增加18.42亿元</w:t>
            </w:r>
          </w:p>
        </w:tc>
      </w:tr>
    </w:tbl>
    <w:p>
      <w:pPr>
        <w:pStyle w:val="4"/>
      </w:pPr>
      <w:r>
        <w:t xml:space="preserve"> </w:t>
      </w:r>
    </w:p>
    <w:p>
      <w:pPr>
        <w:pStyle w:val="24"/>
      </w:pPr>
      <w:r>
        <w:t xml:space="preserve">表 5: 在非合作银行开立账户情况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none" w:sz="0" w:space="0"/>
          <w:insideV w:val="none" w:sz="0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rBorders>
            <w:bottom w:val="single" w:sz="6" w:space="0" w:color="000000"/>
          </w:trBorders>
        </w:trPr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4月29日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right"/>
              <w:jc w:val="center"/>
            </w:pPr>
            <w:r>
              <w:rPr>
                <w:rFonts w:hint="eastAsia"/>
              </w:rPr>
              <w:t xml:space="preserve">3月31日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变化情况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在非合作银行开立账户数量(个)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592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553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增加39个</w:t>
            </w:r>
          </w:p>
        </w:tc>
      </w:tr>
      <w:tr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在非合作银行开立账户余额(亿元)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102.94</w:t>
            </w:r>
          </w:p>
        </w:tc>
        <w:tc>
          <w:tcPr/>
          <w:p>
            <w:pPr>
              <w:pStyle w:val="26"/>
              <w:jc w:val="right"/>
              <w:jc w:val="center"/>
            </w:pPr>
            <w:r>
              <w:t xml:space="preserve">152.45</w:t>
            </w:r>
          </w:p>
        </w:tc>
        <w:tc>
          <w:tcPr/>
          <w:p>
            <w:pPr>
              <w:pStyle w:val="26"/>
              <w:jc w:val="left"/>
              <w:jc w:val="center"/>
            </w:pPr>
            <w:r>
              <w:rPr>
                <w:rFonts w:hint="eastAsia"/>
              </w:rPr>
              <w:t xml:space="preserve">减少49.51亿元</w:t>
            </w:r>
          </w:p>
        </w:tc>
      </w:tr>
    </w:tbl>
    <w:bookmarkEnd w:id="16"/>
    <w:bookmarkStart w:id="18" w:name="三司库系统开立虚拟账户情况"/>
    <w:p>
      <w:pPr>
        <w:pStyle w:val="3"/>
      </w:pPr>
      <w:r>
        <w:rPr>
          <w:rFonts w:hint="eastAsia"/>
        </w:rPr>
        <w:t xml:space="preserve">三、司库系统开立虚拟账户情况</w:t>
      </w:r>
    </w:p>
    <w:p>
      <w:pPr>
        <w:pStyle w:val="25"/>
      </w:pPr>
      <w:r>
        <w:rPr>
          <w:rFonts w:hint="eastAsia"/>
        </w:rPr>
        <w:t xml:space="preserve">各单位在司库系统开立的虚拟账户415个。与3月末相比，虚拟账户未发生变化。</w:t>
      </w:r>
    </w:p>
    <w:p>
      <w:pPr>
        <w:pStyle w:val="24"/>
      </w:pPr>
      <w:r>
        <w:t xml:space="preserve">表 6: 虚拟账户情况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none" w:sz="0" w:space="0"/>
          <w:insideV w:val="none" w:sz="0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rBorders>
            <w:bottom w:val="single" w:sz="6" w:space="0" w:color="000000"/>
          </w:trBorders>
        </w:trPr>
        <w:tc>
          <w:tcPr>
            <w:tcBorders>
              <w:bottom w:val="single" w:sz="6" w:space="0" w:color="000000"/>
            </w:tcBorders>
          </w:tcPr>
          <w:p>
            <w:pPr>
              <w:pStyle w:val="26"/>
            </w:pP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4月29日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3月31日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变化情况</w:t>
            </w:r>
          </w:p>
        </w:tc>
      </w:tr>
      <w:tr>
        <w:tc>
          <w:tcPr/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专项账户-财政零余额账户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保证金户-虚拟户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242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242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同业账户-同业存单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同业账户-定期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26"/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415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415</w:t>
            </w:r>
          </w:p>
        </w:tc>
        <w:tc>
          <w:tcPr/>
          <w:p>
            <w:pPr>
              <w:pStyle w:val="26"/>
              <w:jc w:val="center"/>
            </w:pPr>
            <w:r>
              <w:t xml:space="preserve">0</w:t>
            </w:r>
          </w:p>
        </w:tc>
      </w:tr>
    </w:tbl>
    <w:bookmarkEnd w:id="18"/>
    <w:bookmarkStart w:id="19" w:name="四在途流程办理情况"/>
    <w:p>
      <w:pPr>
        <w:pStyle w:val="3"/>
      </w:pPr>
      <w:r>
        <w:rPr>
          <w:rFonts w:hint="eastAsia"/>
        </w:rPr>
        <w:t xml:space="preserve">四、在途流程办理情况</w:t>
      </w:r>
    </w:p>
    <w:p>
      <w:pPr>
        <w:pStyle w:val="25"/>
      </w:pPr>
      <w:r>
        <w:rPr>
          <w:rFonts w:hint="eastAsia"/>
        </w:rPr>
        <w:t xml:space="preserve">暂无数据权限。</w:t>
      </w:r>
    </w:p>
    <w:bookmarkEnd w:id="19"/>
    <w:bookmarkStart w:id="20" w:name="五下一步工作重点任务"/>
    <w:p>
      <w:pPr>
        <w:pStyle w:val="3"/>
      </w:pPr>
      <w:r>
        <w:rPr>
          <w:rFonts w:hint="eastAsia"/>
        </w:rPr>
        <w:t xml:space="preserve">五、下一步工作重点任务</w:t>
      </w:r>
    </w:p>
    <w:p>
      <w:pPr>
        <w:pStyle w:val="25"/>
      </w:pPr>
      <w:r>
        <w:rPr>
          <w:rFonts w:hint="eastAsia"/>
        </w:rPr>
        <w:t xml:space="preserve">一是跟踪账户配额方案制订情况。</w:t>
      </w:r>
    </w:p>
    <w:p>
      <w:pPr>
        <w:pStyle w:val="4"/>
      </w:pPr>
      <w:r>
        <w:rPr>
          <w:rFonts w:hint="eastAsia"/>
        </w:rPr>
        <w:t xml:space="preserve">二是久悬、低效账户压减进度。</w:t>
      </w:r>
    </w:p>
    <w:p>
      <w:pPr>
        <w:pStyle w:val="4"/>
      </w:pPr>
      <w:r>
        <w:rPr>
          <w:rFonts w:hint="eastAsia"/>
        </w:rPr>
        <w:t xml:space="preserve">三是非合作银行账户清理进度。</w:t>
      </w:r>
    </w:p>
    <w:p>
      <w:pPr>
        <w:pStyle w:val="4"/>
      </w:pPr>
      <w:r>
        <w:rPr>
          <w:rFonts w:hint="eastAsia"/>
        </w:rPr>
        <w:t xml:space="preserve">四是暂停归集账户清单。</w:t>
      </w:r>
    </w:p>
    <w:p>
      <w:pPr>
        <w:pStyle w:val="4"/>
      </w:pPr>
      <w:r>
        <w:rPr>
          <w:rFonts w:hint="eastAsia"/>
        </w:rPr>
        <w:t xml:space="preserve">五是关注支出户余额较大情况，研究预警方案（如累计余额占货币资金比大于2%）。</w:t>
      </w:r>
    </w:p>
    <w:bookmarkEnd w:id="20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 Light">
    <w:altName w:val="HarmonyOS Sans Condensed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rmonyOS Sans Condensed Thin">
    <w:panose1 w:val="00000200000000000000"/>
    <w:charset w:val="00"/>
    <w:family w:val="auto"/>
    <w:pitch w:val="default"/>
    <w:sig w:usb0="A0000287" w:usb1="00000011" w:usb2="00000000" w:usb3="00000000" w:csb0="0000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18"/>
      </w:pPr>
      <w:r>
        <w:rPr>
          <w:rStyle w:val="23"/>
        </w:rPr>
        <w:footnoteRef/>
      </w:r>
      <w:r>
        <w:t xml:space="preserve"> </w:t>
      </w:r>
      <w:r>
        <w:rPr>
          <w:rFonts w:hint="eastAsia"/>
        </w:rPr>
        <w:t xml:space="preserve">各单位在司库系统开立的虚拟账户余额计入集团公司银行存款余额，但是账户数量不计入司库管理账户数量。此类账户包括：专项账户-财政零余额账户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保证金户-虚拟户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同业账户-同业存单</w:t>
      </w:r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同业账户-定期。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 w:val="0"/>
  <w:bordersDoNotSurroundFooter w:val="0"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savePreviewPicture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4FFE483B"/>
    <w:rsid w:val="6735BA53"/>
    <w:rsid w:val="675B6FA8"/>
    <w:rsid w:val="727FDB33"/>
    <w:rsid w:val="73FFBA58"/>
    <w:rsid w:val="7AFF962E"/>
    <w:rsid w:val="7B6761F5"/>
    <w:rsid w:val="BB7B8E03"/>
    <w:rsid w:val="BBFFC4E3"/>
    <w:rsid w:val="BDD644CE"/>
    <w:rsid w:val="BE3E9648"/>
    <w:rsid w:val="CFBFC82A"/>
    <w:rsid w:val="DCCD2416"/>
    <w:rsid w:val="DFFBA01C"/>
    <w:rsid w:val="EB48045A"/>
    <w:rsid w:val="ED6F3FA6"/>
    <w:rsid w:val="EDBF7713"/>
    <w:rsid w:val="EFBF1537"/>
    <w:rsid w:val="F7DBAC9F"/>
    <w:rsid w:val="FEF791DD"/>
    <w:rsid w:val="FF3723E2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next w:val="2"/>
    <w:qFormat/>
    <w:uiPriority w:val="0"/>
    <w:pPr>
      <w:spacing w:line="560" w:lineRule="exact"/>
      <w:ind w:firstLine="880" w:firstLineChars="200"/>
      <w:jc w:val="both"/>
    </w:pPr>
    <w:rPr>
      <w:rFonts w:ascii="仿宋_GB2312" w:cs="仿宋_GB2312" w:eastAsia="仿宋_GB2312" w:hAnsi="仿宋_GB2312"/>
      <w:sz w:val="32"/>
      <w:szCs w:val="32"/>
      <w:lang w:bidi="ar-SA" w:eastAsia="zh-Hans" w:val="en-US"/>
    </w:rPr>
  </w:style>
  <w:style w:styleId="3" w:type="paragraph">
    <w:name w:val="heading 1"/>
    <w:basedOn w:val="1"/>
    <w:next w:val="4"/>
    <w:link w:val="33"/>
    <w:qFormat/>
    <w:uiPriority w:val="9"/>
    <w:pPr>
      <w:keepNext/>
      <w:keepLines/>
      <w:spacing w:line="560" w:lineRule="exact"/>
      <w:ind w:firstLine="880" w:firstLineChars="200"/>
      <w:outlineLvl w:val="0"/>
    </w:pPr>
    <w:rPr>
      <w:rFonts w:ascii="黑体" w:cs="黑体" w:eastAsia="黑体" w:hAnsi="黑体"/>
      <w:color w:val="auto"/>
      <w:sz w:val="32"/>
      <w:szCs w:val="40"/>
    </w:rPr>
  </w:style>
  <w:style w:styleId="5" w:type="paragraph">
    <w:name w:val="heading 2"/>
    <w:basedOn w:val="1"/>
    <w:next w:val="4"/>
    <w:link w:val="34"/>
    <w:unhideWhenUsed/>
    <w:qFormat/>
    <w:uiPriority w:val="9"/>
    <w:pPr>
      <w:keepNext/>
      <w:keepLines/>
      <w:spacing w:line="560" w:lineRule="exact"/>
      <w:ind w:firstLine="880" w:firstLineChars="200"/>
      <w:outlineLvl w:val="1"/>
    </w:pPr>
    <w:rPr>
      <w:rFonts w:ascii="楷体_GB2312" w:cs="楷体_GB2312" w:eastAsia="楷体_GB2312" w:hAnsi="楷体_GB2312"/>
      <w:color w:val="auto"/>
      <w:sz w:val="32"/>
      <w:szCs w:val="32"/>
    </w:rPr>
  </w:style>
  <w:style w:styleId="6" w:type="paragraph">
    <w:name w:val="heading 3"/>
    <w:basedOn w:val="1"/>
    <w:next w:val="4"/>
    <w:link w:val="35"/>
    <w:semiHidden/>
    <w:unhideWhenUsed/>
    <w:qFormat/>
    <w:uiPriority w:val="9"/>
    <w:pPr>
      <w:keepNext/>
      <w:keepLines/>
      <w:spacing w:line="560" w:lineRule="exact"/>
      <w:ind w:firstLine="880" w:firstLineChars="200"/>
      <w:outlineLvl w:val="2"/>
    </w:pPr>
    <w:rPr>
      <w:rFonts w:ascii="仿宋_GB2312" w:cs="仿宋_GB2312" w:eastAsia="仿宋_GB2312" w:hAnsi="仿宋_GB2312"/>
      <w:color w:val="auto"/>
      <w:sz w:val="32"/>
      <w:szCs w:val="32"/>
    </w:rPr>
  </w:style>
  <w:style w:styleId="7" w:type="paragraph">
    <w:name w:val="heading 4"/>
    <w:basedOn w:val="1"/>
    <w:next w:val="4"/>
    <w:link w:val="36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8" w:type="paragraph">
    <w:name w:val="heading 5"/>
    <w:basedOn w:val="1"/>
    <w:next w:val="4"/>
    <w:link w:val="37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9" w:type="paragraph">
    <w:name w:val="heading 6"/>
    <w:basedOn w:val="1"/>
    <w:next w:val="4"/>
    <w:link w:val="38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10" w:type="paragraph">
    <w:name w:val="heading 7"/>
    <w:basedOn w:val="1"/>
    <w:next w:val="4"/>
    <w:link w:val="39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1" w:type="paragraph">
    <w:name w:val="heading 8"/>
    <w:basedOn w:val="1"/>
    <w:next w:val="4"/>
    <w:link w:val="40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2" w:type="paragraph">
    <w:name w:val="heading 9"/>
    <w:basedOn w:val="1"/>
    <w:next w:val="4"/>
    <w:link w:val="41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20" w:type="character">
    <w:name w:val="Default Paragraph Font"/>
    <w:semiHidden/>
    <w:unhideWhenUsed/>
    <w:qFormat/>
    <w:uiPriority w:val="0"/>
  </w:style>
  <w:style w:default="1" w:styleId="19" w:type="table">
    <w:name w:val="Normal Table"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Title"/>
    <w:basedOn w:val="1"/>
    <w:next w:val="1"/>
    <w:link w:val="27"/>
    <w:qFormat/>
    <w:uiPriority w:val="10"/>
    <w:pPr>
      <w:spacing w:line="560" w:lineRule="exact"/>
      <w:ind w:firstLine="0" w:firstLineChars="0"/>
      <w:contextualSpacing/>
      <w:jc w:val="center"/>
    </w:pPr>
    <w:rPr>
      <w:rFonts w:ascii="方正小标宋简体" w:cstheme="majorBidi" w:eastAsia="方正小标宋简体" w:hAnsi="方正小标宋简体"/>
      <w:sz w:val="44"/>
      <w:szCs w:val="56"/>
    </w:rPr>
  </w:style>
  <w:style w:styleId="4" w:type="paragraph">
    <w:name w:val="Body Text"/>
    <w:basedOn w:val="1"/>
    <w:link w:val="22"/>
    <w:qFormat/>
    <w:uiPriority w:val="0"/>
  </w:style>
  <w:style w:styleId="13" w:type="paragraph">
    <w:name w:val="caption"/>
    <w:basedOn w:val="1"/>
    <w:qFormat/>
    <w:uiPriority w:val="0"/>
    <w:pPr>
      <w:widowControl w:val="0"/>
      <w:kinsoku w:val="0"/>
      <w:overflowPunct w:val="0"/>
      <w:autoSpaceDE w:val="0"/>
      <w:autoSpaceDN w:val="0"/>
      <w:adjustRightInd w:val="0"/>
      <w:snapToGrid w:val="0"/>
      <w:spacing w:before="0" w:line="400" w:lineRule="exact"/>
      <w:ind w:firstLine="0" w:firstLineChars="0"/>
      <w:jc w:val="center"/>
    </w:pPr>
  </w:style>
  <w:style w:styleId="14" w:type="paragraph">
    <w:name w:val="Block Text"/>
    <w:basedOn w:val="4"/>
    <w:next w:val="4"/>
    <w:unhideWhenUsed/>
    <w:qFormat/>
    <w:uiPriority w:val="9"/>
    <w:pPr>
      <w:spacing w:after="100" w:before="100"/>
      <w:ind w:firstLine="0" w:left="480" w:right="480"/>
    </w:pPr>
  </w:style>
  <w:style w:styleId="15" w:type="paragraph">
    <w:name w:val="Date"/>
    <w:basedOn w:val="2"/>
    <w:next w:val="4"/>
    <w:qFormat/>
    <w:uiPriority w:val="0"/>
    <w:pPr>
      <w:keepNext/>
      <w:keepLines/>
    </w:pPr>
    <w:rPr>
      <w:sz w:val="24"/>
      <w:szCs w:val="24"/>
    </w:rPr>
  </w:style>
  <w:style w:styleId="16" w:type="paragraph">
    <w:name w:val="footer"/>
    <w:basedOn w:val="1"/>
    <w:qFormat/>
    <w:uiPriority w:val="0"/>
    <w:pPr>
      <w:snapToGrid w:val="0"/>
      <w:jc w:val="left"/>
    </w:pPr>
    <w:rPr>
      <w:rFonts w:ascii="SimSun" w:eastAsia="SimSun" w:hAnsi="SimSun"/>
      <w:sz w:val="21"/>
    </w:rPr>
  </w:style>
  <w:style w:styleId="17" w:type="paragraph">
    <w:name w:val="Subtitle"/>
    <w:basedOn w:val="2"/>
    <w:next w:val="4"/>
    <w:link w:val="28"/>
    <w:qFormat/>
    <w:uiPriority w:val="11"/>
    <w:rPr>
      <w:rFonts w:ascii="楷体_GB2312" w:eastAsia="楷体_GB2312" w:hAnsi="楷体_GB2312"/>
      <w:spacing w:val="15"/>
      <w:sz w:val="30"/>
      <w:szCs w:val="28"/>
    </w:rPr>
  </w:style>
  <w:style w:styleId="18" w:type="paragraph">
    <w:name w:val="footnote text"/>
    <w:basedOn w:val="16"/>
    <w:unhideWhenUsed/>
    <w:qFormat/>
    <w:uiPriority w:val="9"/>
    <w:pPr>
      <w:spacing w:line="360" w:lineRule="exact"/>
    </w:pPr>
    <w:rPr>
      <w:rFonts w:eastAsia="宋体"/>
    </w:rPr>
  </w:style>
  <w:style w:styleId="21" w:type="character">
    <w:name w:val="Hyperlink"/>
    <w:basedOn w:val="22"/>
    <w:qFormat/>
    <w:uiPriority w:val="0"/>
    <w:rPr>
      <w:color w:themeColor="accent1" w:val="156082"/>
    </w:rPr>
  </w:style>
  <w:style w:customStyle="1" w:styleId="22" w:type="character">
    <w:name w:val="Body Text Char"/>
    <w:basedOn w:val="20"/>
    <w:link w:val="4"/>
    <w:qFormat/>
    <w:uiPriority w:val="0"/>
    <w:rPr>
      <w:rFonts w:eastAsia="仿宋_GB2312"/>
    </w:rPr>
  </w:style>
  <w:style w:styleId="23" w:type="character">
    <w:name w:val="footnote reference"/>
    <w:basedOn w:val="22"/>
    <w:qFormat/>
    <w:uiPriority w:val="0"/>
    <w:rPr>
      <w:vertAlign w:val="superscript"/>
    </w:rPr>
  </w:style>
  <w:style w:customStyle="1" w:styleId="24" w:type="paragraph">
    <w:name w:val="TableCaption"/>
    <w:basedOn w:val="13"/>
    <w:qFormat/>
    <w:uiPriority w:val="0"/>
    <w:pPr>
      <w:keepNext w:val="0"/>
      <w:keepLines/>
      <w:widowControl/>
      <w:kinsoku/>
      <w:topLinePunct/>
      <w:autoSpaceDE/>
      <w:autoSpaceDN/>
      <w:spacing w:after="160" w:before="80" w:line="560" w:lineRule="exact"/>
    </w:pPr>
  </w:style>
  <w:style w:customStyle="1" w:styleId="25" w:type="paragraph">
    <w:name w:val="First Paragraph"/>
    <w:basedOn w:val="4"/>
    <w:next w:val="4"/>
    <w:qFormat/>
    <w:uiPriority w:val="0"/>
  </w:style>
  <w:style w:customStyle="1" w:styleId="26" w:type="paragraph">
    <w:name w:val="Compact"/>
    <w:basedOn w:val="4"/>
    <w:qFormat/>
    <w:uiPriority w:val="0"/>
    <w:pPr>
      <w:spacing w:line="440" w:lineRule="exact"/>
      <w:ind w:firstLine="0" w:firstLineChars="0"/>
    </w:pPr>
  </w:style>
  <w:style w:customStyle="1" w:styleId="27" w:type="character">
    <w:name w:val="Title Char"/>
    <w:link w:val="2"/>
    <w:qFormat/>
    <w:uiPriority w:val="10"/>
    <w:rPr>
      <w:rFonts w:ascii="方正小标宋简体" w:cstheme="majorBidi" w:eastAsia="方正小标宋简体" w:hAnsi="方正小标宋简体"/>
      <w:sz w:val="44"/>
      <w:szCs w:val="56"/>
      <w:lang w:bidi="ar-SA" w:eastAsia="zh-Hans" w:val="en-US"/>
    </w:rPr>
  </w:style>
  <w:style w:customStyle="1" w:styleId="28" w:type="character">
    <w:name w:val="Subtitle Char"/>
    <w:basedOn w:val="20"/>
    <w:link w:val="17"/>
    <w:qFormat/>
    <w:uiPriority w:val="11"/>
    <w:rPr>
      <w:rFonts w:ascii="楷体_GB2312" w:cstheme="majorBidi" w:eastAsia="楷体_GB2312" w:hAnsi="楷体_GB2312"/>
      <w:color w:themeColor="text1" w:themeTint="A6" w:val="585858"/>
      <w:spacing w:val="15"/>
      <w:sz w:val="30"/>
      <w:szCs w:val="28"/>
    </w:rPr>
  </w:style>
  <w:style w:customStyle="1" w:styleId="29" w:type="paragraph">
    <w:name w:val="Author"/>
    <w:basedOn w:val="2"/>
    <w:next w:val="4"/>
    <w:qFormat/>
    <w:uiPriority w:val="0"/>
    <w:pPr>
      <w:keepNext/>
      <w:keepLines/>
    </w:pPr>
    <w:rPr>
      <w:sz w:val="24"/>
      <w:szCs w:val="24"/>
    </w:rPr>
  </w:style>
  <w:style w:customStyle="1" w:styleId="30" w:type="paragraph">
    <w:name w:val="Abstract Title"/>
    <w:basedOn w:val="1"/>
    <w:next w:val="31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31" w:type="paragraph">
    <w:name w:val="Abstract"/>
    <w:basedOn w:val="1"/>
    <w:next w:val="4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2" w:type="paragraph">
    <w:name w:val="Bibliography"/>
    <w:basedOn w:val="1"/>
    <w:qFormat/>
    <w:uiPriority w:val="0"/>
  </w:style>
  <w:style w:customStyle="1" w:styleId="33" w:type="character">
    <w:name w:val="Heading 1 Char"/>
    <w:link w:val="3"/>
    <w:qFormat/>
    <w:uiPriority w:val="9"/>
    <w:rPr>
      <w:rFonts w:ascii="黑体" w:cs="黑体" w:eastAsia="黑体" w:hAnsi="黑体"/>
      <w:color w:val="auto"/>
      <w:sz w:val="32"/>
      <w:szCs w:val="40"/>
      <w:lang w:bidi="ar-SA" w:eastAsia="zh-Hans" w:val="en-US"/>
    </w:rPr>
  </w:style>
  <w:style w:customStyle="1" w:styleId="34" w:type="character">
    <w:name w:val="Heading 2 Char"/>
    <w:basedOn w:val="20"/>
    <w:link w:val="5"/>
    <w:semiHidden/>
    <w:qFormat/>
    <w:uiPriority w:val="9"/>
    <w:rPr>
      <w:rFonts w:ascii="楷体_GB2312" w:cs="楷体_GB2312" w:eastAsia="楷体_GB2312" w:hAnsi="楷体_GB2312"/>
      <w:color w:val="auto"/>
      <w:sz w:val="32"/>
      <w:szCs w:val="32"/>
    </w:rPr>
  </w:style>
  <w:style w:customStyle="1" w:styleId="35" w:type="character">
    <w:name w:val="Heading 3 Char"/>
    <w:basedOn w:val="20"/>
    <w:link w:val="6"/>
    <w:semiHidden/>
    <w:qFormat/>
    <w:uiPriority w:val="9"/>
    <w:rPr>
      <w:rFonts w:ascii="仿宋_GB2312" w:cs="仿宋_GB2312" w:eastAsia="仿宋_GB2312" w:hAnsi="仿宋_GB2312"/>
      <w:color w:val="auto"/>
      <w:sz w:val="32"/>
      <w:szCs w:val="32"/>
    </w:rPr>
  </w:style>
  <w:style w:customStyle="1" w:styleId="36" w:type="character">
    <w:name w:val="Heading 4 Char"/>
    <w:basedOn w:val="20"/>
    <w:link w:val="7"/>
    <w:semiHidden/>
    <w:qFormat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7" w:type="character">
    <w:name w:val="Heading 5 Char"/>
    <w:basedOn w:val="20"/>
    <w:link w:val="8"/>
    <w:semiHidden/>
    <w:qFormat/>
    <w:uiPriority w:val="9"/>
    <w:rPr>
      <w:rFonts w:cstheme="majorBidi" w:eastAsiaTheme="majorEastAsia"/>
      <w:color w:themeColor="accent1" w:themeShade="BF" w:val="0F4761"/>
    </w:rPr>
  </w:style>
  <w:style w:customStyle="1" w:styleId="38" w:type="character">
    <w:name w:val="Heading 6 Char"/>
    <w:basedOn w:val="20"/>
    <w:link w:val="9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9" w:type="character">
    <w:name w:val="Heading 7 Char"/>
    <w:basedOn w:val="20"/>
    <w:link w:val="10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40" w:type="character">
    <w:name w:val="Heading 8 Char"/>
    <w:basedOn w:val="20"/>
    <w:link w:val="11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41" w:type="character">
    <w:name w:val="Heading 9 Char"/>
    <w:basedOn w:val="20"/>
    <w:link w:val="12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42" w:type="paragraph">
    <w:name w:val="Footnote Block Text"/>
    <w:basedOn w:val="18"/>
    <w:next w:val="18"/>
    <w:unhideWhenUsed/>
    <w:qFormat/>
    <w:uiPriority w:val="9"/>
    <w:pPr>
      <w:spacing w:after="100" w:before="100"/>
      <w:ind w:firstLine="0" w:left="480" w:right="480"/>
    </w:pPr>
  </w:style>
  <w:style w:customStyle="1" w:styleId="43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4" w:type="paragraph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customStyle="1" w:styleId="45" w:type="paragraph">
    <w:name w:val="Definition"/>
    <w:basedOn w:val="1"/>
    <w:qFormat/>
    <w:uiPriority w:val="0"/>
  </w:style>
  <w:style w:customStyle="1" w:styleId="46" w:type="paragraph">
    <w:name w:val="Image Caption"/>
    <w:basedOn w:val="13"/>
    <w:qFormat/>
    <w:uiPriority w:val="0"/>
    <w:pPr>
      <w:keepLines/>
      <w:widowControl/>
      <w:kinsoku/>
      <w:wordWrap w:val="0"/>
      <w:autoSpaceDE/>
      <w:autoSpaceDN/>
    </w:pPr>
  </w:style>
  <w:style w:customStyle="1" w:styleId="47" w:type="paragraph">
    <w:name w:val="Figure"/>
    <w:basedOn w:val="1"/>
    <w:qFormat/>
    <w:uiPriority w:val="0"/>
  </w:style>
  <w:style w:customStyle="1" w:styleId="48" w:type="paragraph">
    <w:name w:val="Captioned Figure"/>
    <w:basedOn w:val="47"/>
    <w:qFormat/>
    <w:uiPriority w:val="0"/>
    <w:pPr>
      <w:keepNext/>
    </w:pPr>
  </w:style>
  <w:style w:customStyle="1" w:styleId="49" w:type="character">
    <w:name w:val="Verbatim Char"/>
    <w:basedOn w:val="22"/>
    <w:qFormat/>
    <w:uiPriority w:val="0"/>
    <w:rPr>
      <w:rFonts w:ascii="Consolas" w:hAnsi="Consolas"/>
      <w:sz w:val="22"/>
    </w:rPr>
  </w:style>
  <w:style w:customStyle="1" w:styleId="50" w:type="character">
    <w:name w:val="Section Number"/>
    <w:basedOn w:val="22"/>
    <w:qFormat/>
    <w:uiPriority w:val="0"/>
  </w:style>
  <w:style w:customStyle="1" w:styleId="51" w:type="paragraph">
    <w:name w:val="TOC Heading"/>
    <w:basedOn w:val="3"/>
    <w:next w:val="4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5</TotalTime>
  <ScaleCrop>false</ScaleCrop>
  <LinksUpToDate>false</LinksUpToDate>
  <CharactersWithSpaces>583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司库账户管理日报</dc:title>
  <dc:creator>司库部</dc:creator>
  <dc:language>zh-Hans</dc:language>
  <cp:keywords/>
  <dcterms:created xsi:type="dcterms:W3CDTF">2026-05-06T06:01:40Z</dcterms:created>
  <dcterms:modified xsi:type="dcterms:W3CDTF">2026-05-06T06:01:40Z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p-location">
    <vt:lpwstr>top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jupyter">
    <vt:lpwstr>python3</vt:lpwstr>
  </property>
  <property fmtid="{D5CDD505-2E9C-101B-9397-08002B2CF9AE}" pid="11" name="labels">
    <vt:lpwstr/>
  </property>
  <property fmtid="{D5CDD505-2E9C-101B-9397-08002B2CF9AE}" pid="12" name="revealjs-plugins">
    <vt:lpwstr/>
  </property>
  <property fmtid="{D5CDD505-2E9C-101B-9397-08002B2CF9AE}" pid="13" name="toc-title">
    <vt:lpwstr>目录</vt:lpwstr>
  </property>
</Properties>
</file>