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Paper 1 — Figure-Generation Notebooks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Summary of all Google Colab notebooks used to reproduce the manuscript's 10 figures from source data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60"/>
      </w:pPr>
      <w:r>
        <w:t xml:space="preserve">Every figure in the manuscript is reproducible from source data through one of four Colab notebooks. Three of the four notebooks also build the manuscript's numbered tables (Table 3/4 and Table 5/6), so the same verified dataframe used for a table is reused directly to build its companion figure — this avoids re-deriving values in a separate script and risking a mismatch.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Notebook file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Figure(s) / Table(s) produced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Paper1_Figures_1_2_6_8.ipynb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file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1, 2, 6, 8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Paper1_Table3_hotspots_FIXED.ipynb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3 (original)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3 / Table 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Paper1_Table3_hotspots_FIXED.ipynb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4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10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Paper1_Table3_hotspots_FIXED.ipynb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5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Paper1_Table5_meteorological_context.ipynb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3 (original)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 5 / Table 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Paper1_Table5_meteorological_context.ipynb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4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Paper1_Table5_meteorological_context.ipynb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5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Paper1_Figures_4_9_10.ipynb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file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Figure 4, 9, 10</w:t>
            </w:r>
          </w:p>
        </w:tc>
      </w:tr>
    </w:tbl>
    <w:p>
      <w:pPr>
        <w:pStyle w:val="Heading1"/>
        <w:spacing w:after="150" w:before="300"/>
      </w:pPr>
      <w:r>
        <w:t xml:space="preserve">Figure-by-figure detail</w:t>
      </w:r>
    </w:p>
    <w:p>
      <w:pPr>
        <w:pStyle w:val="Heading2"/>
        <w:spacing w:after="120" w:before="240"/>
      </w:pPr>
      <w:r>
        <w:t xml:space="preserve">Figure 1 — Study area location and sampling design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1. </w:t>
      </w:r>
      <w:r>
        <w:rPr>
          <w:sz w:val="22"/>
          <w:szCs w:val="22"/>
        </w:rPr>
        <w:t xml:space="preserve">(a) Location of the study area within Thailand. (b) The 32 field measurement sites relative to provincial/district boundaries, three verified cement plants, and the Mittraphap Road corridor.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Built directly by Claude (geopandas + public administrative-boundary datasets fetched from GitHub); not run by the author.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Paper1_Figures_1_2_6_8.ipynb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Field measurement Excel file; site_coordinates_resolved.csv. Fetches Thailand/province/district boundaries from GitHub at runtime (needs internet).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2 — Analytical workflow flowchart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2. </w:t>
      </w:r>
      <w:r>
        <w:rPr>
          <w:sz w:val="22"/>
          <w:szCs w:val="22"/>
        </w:rPr>
        <w:t xml:space="preserve">Input → Process → Output diagram of the full analytical pipeline, with section numbers linking each stage to its Methods subsection.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Built directly by Claude (matplotlib boxes/arrows, no external data).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Paper1_Figures_1_2_6_8.ipynb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None (self-contained).</w:t>
      </w:r>
    </w:p>
    <w:p>
      <w:pPr>
        <w:spacing w:after="160"/>
      </w:pPr>
      <w:r>
        <w:rPr>
          <w:b/>
          <w:bCs/>
          <w:color w:val="66666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The table numbers printed inside the output boxes must be re-checked against the manuscript's current table numbering if tables are renumbered again.</w:t>
      </w:r>
    </w:p>
    <w:p>
      <w:pPr>
        <w:pStyle w:val="Heading2"/>
        <w:spacing w:after="120" w:before="240"/>
      </w:pPr>
      <w:r>
        <w:t xml:space="preserve">Figure 3 — Example Meteostat daily record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3. </w:t>
      </w:r>
      <w:r>
        <w:rPr>
          <w:sz w:val="22"/>
          <w:szCs w:val="22"/>
        </w:rPr>
        <w:t xml:space="preserve">Wind speed, wind direction, and precipitation for the Pakchong Agromet / Ban Pang Asok station over the campaign window, with the three reference dates used in Table 6 marked.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 (requires live Meteostat data access, not available in Claude's sandbox).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Paper1_Table5_meteorological_context.ipynb</w:t>
      </w:r>
      <w:r>
        <w:rPr>
          <w:color w:val="666666"/>
          <w:sz w:val="20"/>
          <w:szCs w:val="20"/>
        </w:rPr>
        <w:t xml:space="preserve">  (Section 4)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Output of Section 3 (the already-fetched Meteostat daily/hourly data).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4 — Raw PM2.5/TPM and log-distribution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4. </w:t>
      </w:r>
      <w:r>
        <w:rPr>
          <w:sz w:val="22"/>
          <w:szCs w:val="22"/>
        </w:rPr>
        <w:t xml:space="preserve">(a) Raw PM2.5 and TPM concentrations across all 32 sites (log-scaled y-axis). (b) Distribution of log-transformed PM2.5.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Colab, from the original field data (verified: computed mean/SD/min/median/max match Table 1 exactly).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Paper1_Figures_4_9_10.ipynb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Field measurement Excel file; site_coordinates_resolved.csv.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5 — Local hotspot map with administrative boundaries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5. </w:t>
      </w:r>
      <w:r>
        <w:rPr>
          <w:sz w:val="22"/>
          <w:szCs w:val="22"/>
        </w:rPr>
        <w:t xml:space="preserve">Getis-Ord Gi* z-scores by site plotted against provincial/district boundaries, with the four significant hotspots circled.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Colab, reusing the already-verified gi_z/gi_hotspot columns from this notebook's own Table 3/4 cells (does not recompute).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Paper1_Table3_hotspots_FIXED.ipynb</w:t>
      </w:r>
      <w:r>
        <w:rPr>
          <w:color w:val="666666"/>
          <w:sz w:val="20"/>
          <w:szCs w:val="20"/>
        </w:rPr>
        <w:t xml:space="preserve">  (Section 5)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Output of Sections 1–3 (df with gi_z/gi_p/gi_hotspot already computed). Fetches district boundaries from GitHub at runtime.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6 — Land-use context map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6. </w:t>
      </w:r>
      <w:r>
        <w:rPr>
          <w:sz w:val="22"/>
          <w:szCs w:val="22"/>
        </w:rPr>
        <w:t xml:space="preserve">The 32 sites (colored by PM2.5, log scale), three verified cement plants, and the Mittraphap Road corridor against district/provincial boundaries.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Built directly by Claude.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Paper1_Figures_1_2_6_8.ipynb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Same as Figure 1 (shares the notebook's Section 0–2 setup).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7 — Mean wind direction and speed by campaign period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7. </w:t>
      </w:r>
      <w:r>
        <w:rPr>
          <w:sz w:val="22"/>
          <w:szCs w:val="22"/>
        </w:rPr>
        <w:t xml:space="preserve">Polar wind-vector plot for the three reference periods (5 Jun; 7 Jun / Tab Kwang; 11–29 Jun), reusing the exact wind direction/speed values already in Table 6.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Colab, reusing the table5 dataframe from this notebook's own Table 5/6 cell (does not re-fetch or recompute).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Paper1_Table5_meteorological_context.ipynb</w:t>
      </w:r>
      <w:r>
        <w:rPr>
          <w:color w:val="666666"/>
          <w:sz w:val="20"/>
          <w:szCs w:val="20"/>
        </w:rPr>
        <w:t xml:space="preserve">  (Section 5)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Output of Section 3 (the table5 dataframe).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8 — PM2.5 vs. distance to nearest cement plant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8. </w:t>
      </w:r>
      <w:r>
        <w:rPr>
          <w:sz w:val="22"/>
          <w:szCs w:val="22"/>
        </w:rPr>
        <w:t xml:space="preserve">Scatter plot of log(PM2.5) against distance to the nearest of the three verified cement plants, with an OLS fit line (r = −0.41).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Built directly by Claude; correlation independently reproduced (r = −0.411, p = 0.0195) and matches the manuscript's reported figure.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Paper1_Figures_1_2_6_8.ipynb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Same as Figure 1 (shares the notebook's Section 0–2 setup).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9 — Grid vs. purposive site distribution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9. </w:t>
      </w:r>
      <w:r>
        <w:rPr>
          <w:sz w:val="22"/>
          <w:szCs w:val="22"/>
        </w:rPr>
        <w:t xml:space="preserve">Boxplots comparing PM2.5 between systematic-grid and purposively-selected sites, (a) including and (b) excluding the Tab Kwang extreme value.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Paper1_Figures_4_9_10.ipynb</w:t>
      </w:r>
      <w:r>
        <w:rPr>
          <w:color w:val="666666"/>
          <w:sz w:val="20"/>
          <w:szCs w:val="20"/>
        </w:rPr>
        <w:t xml:space="preserve">  (whole file)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Field measurement Excel file; site_coordinates_resolved.csv.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Figure 10 — Sensitivity of Gi* hotspot count to spatial weights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Figure 10. </w:t>
      </w:r>
      <w:r>
        <w:rPr>
          <w:sz w:val="22"/>
          <w:szCs w:val="22"/>
        </w:rPr>
        <w:t xml:space="preserve">Bar chart of hotspot count across four k-NN specifications and four fixed distance-band specifications.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Source: </w:t>
      </w:r>
      <w:r>
        <w:rPr>
          <w:sz w:val="20"/>
          <w:szCs w:val="20"/>
        </w:rPr>
        <w:t xml:space="preserve">Run by the author in Colab. Verified: k-NN (k=5) reproduces exactly 4 hotspots (matching Table 3/4) and distance-band (55 km) reproduces exactly 0 (matching Table 5).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Notebook: </w:t>
      </w:r>
      <w:r>
        <w:rPr>
          <w:i/>
          <w:iCs/>
          <w:sz w:val="20"/>
          <w:szCs w:val="20"/>
        </w:rPr>
        <w:t xml:space="preserve">Paper1_Table3_hotspots_FIXED.ipynb</w:t>
      </w:r>
      <w:r>
        <w:rPr>
          <w:color w:val="666666"/>
          <w:sz w:val="20"/>
          <w:szCs w:val="20"/>
        </w:rPr>
        <w:t xml:space="preserve">  (Section 4)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Required inputs: </w:t>
      </w:r>
      <w:r>
        <w:rPr>
          <w:sz w:val="20"/>
          <w:szCs w:val="20"/>
        </w:rPr>
        <w:t xml:space="preserve">Output of Sections 1–3 (df with lat/lon/pm25 already resolved).</w:t>
      </w:r>
    </w:p>
    <w:p>
      <w:pPr>
        <w:spacing w:after="160"/>
      </w:pPr>
      <w:r>
        <w:rPr>
          <w:b/>
          <w:bCs/>
          <w:color w:val="666666"/>
          <w:sz w:val="20"/>
          <w:szCs w:val="20"/>
        </w:rPr>
        <w:t xml:space="preserve">Notes: </w:t>
      </w:r>
      <w:r>
        <w:rPr>
          <w:sz w:val="20"/>
          <w:szCs w:val="20"/>
        </w:rPr>
        <w:t xml:space="preserve">Two fixes were required to reproduce the manuscript's original result: (1) project coordinates to UTM Zone 47N before building k-NN/distance weights — raw lon/lat degrees give geometrically wrong nearest-neighbor assignments at this latitude; (2) use G_Local's permutation-based z_sim, not the analytical Zs, which is systematically compressed for this dataset. Both fixes are built into the notebook, with an in-notebook sanity check that halts execution if the k=5 baseline does not reproduce 4 hotspots.</w:t>
      </w:r>
    </w:p>
    <w:p>
      <w:pPr>
        <w:pStyle w:val="Heading1"/>
        <w:spacing w:after="150" w:before="300"/>
      </w:pPr>
      <w:r>
        <w:t xml:space="preserve">Reuse and consistency principle</w:t>
      </w:r>
    </w:p>
    <w:p>
      <w:pPr>
        <w:spacing w:after="160"/>
      </w:pPr>
      <w:r>
        <w:t xml:space="preserve">Every notebook above reuses the dataframe already produced by its own earlier cells rather than re-deriving values independently. This was adopted after Figure 10 initially reproduced the wrong hotspot count when computed from a separate, freshly-resolved coordinate set — a small difference in resolved GPS coordinates was enough to change which sites counted as a given site's nearest neighbors. Reusing the already-verified dataframe within the same notebook session eliminates that risk for every other figure built the same 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2026-09-08T16:14:13.224Z</dcterms:created>
  <dcterms:modified xsi:type="dcterms:W3CDTF">2026-09-08T16:14:13.235Z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