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E01" w:rsidRPr="002C6E01" w:rsidRDefault="002C6E01" w:rsidP="002C6E01">
      <w:pPr>
        <w:rPr>
          <w:b/>
          <w:lang w:val="x-none" w:eastAsia="x-none"/>
        </w:rPr>
      </w:pPr>
      <w:bookmarkStart w:id="0" w:name="_GoBack"/>
      <w:r w:rsidRPr="002C6E01">
        <w:rPr>
          <w:rFonts w:hint="eastAsia"/>
          <w:b/>
          <w:sz w:val="24"/>
          <w:lang w:val="x-none"/>
        </w:rPr>
        <w:t>（</w:t>
      </w:r>
      <w:r w:rsidRPr="002C6E01">
        <w:rPr>
          <w:rFonts w:hint="eastAsia"/>
          <w:b/>
          <w:sz w:val="24"/>
          <w:lang w:val="x-none"/>
        </w:rPr>
        <w:t>1</w:t>
      </w:r>
      <w:r w:rsidRPr="002C6E01">
        <w:rPr>
          <w:rFonts w:hint="eastAsia"/>
          <w:b/>
          <w:sz w:val="24"/>
          <w:lang w:val="x-none"/>
        </w:rPr>
        <w:t>）离聚物的链结构特征</w:t>
      </w:r>
    </w:p>
    <w:p w:rsidR="002C6E01" w:rsidRPr="002C6E01" w:rsidRDefault="002C6E01" w:rsidP="002C6E01">
      <w:pPr>
        <w:spacing w:line="440" w:lineRule="exact"/>
        <w:ind w:firstLineChars="200" w:firstLine="480"/>
        <w:rPr>
          <w:sz w:val="24"/>
          <w:szCs w:val="24"/>
          <w:vertAlign w:val="subscript"/>
        </w:rPr>
      </w:pPr>
      <w:r w:rsidRPr="002C6E01">
        <w:rPr>
          <w:rFonts w:hint="eastAsia"/>
          <w:sz w:val="24"/>
          <w:szCs w:val="24"/>
        </w:rPr>
        <w:t>质子交换膜</w:t>
      </w:r>
      <w:r w:rsidRPr="002C6E01">
        <w:rPr>
          <w:rFonts w:hint="eastAsia"/>
          <w:sz w:val="24"/>
          <w:szCs w:val="24"/>
        </w:rPr>
        <w:t>PEM</w:t>
      </w:r>
      <w:r w:rsidRPr="002C6E01">
        <w:rPr>
          <w:rFonts w:hint="eastAsia"/>
          <w:sz w:val="24"/>
          <w:szCs w:val="24"/>
        </w:rPr>
        <w:t>为一类酸性离聚物基固态电解质，因其具有电子绝缘和高效质子传导能力，作为核心电化学组件被广泛的应用于电解池</w:t>
      </w:r>
      <w:r w:rsidRPr="002C6E01">
        <w:rPr>
          <w:rFonts w:hint="eastAsia"/>
          <w:sz w:val="24"/>
          <w:szCs w:val="24"/>
        </w:rPr>
        <w:t>[</w:t>
      </w:r>
      <w:r w:rsidRPr="002C6E01">
        <w:rPr>
          <w:sz w:val="24"/>
          <w:szCs w:val="24"/>
        </w:rPr>
        <w:t>]</w:t>
      </w:r>
      <w:r w:rsidRPr="002C6E01">
        <w:rPr>
          <w:rFonts w:hint="eastAsia"/>
          <w:sz w:val="24"/>
          <w:szCs w:val="24"/>
        </w:rPr>
        <w:t>、质子交换膜燃料电池</w:t>
      </w:r>
      <w:r w:rsidRPr="002C6E01">
        <w:rPr>
          <w:rFonts w:hint="eastAsia"/>
          <w:sz w:val="24"/>
          <w:szCs w:val="24"/>
        </w:rPr>
        <w:t>[</w:t>
      </w:r>
      <w:r w:rsidRPr="002C6E01">
        <w:rPr>
          <w:sz w:val="24"/>
          <w:szCs w:val="24"/>
        </w:rPr>
        <w:t>]</w:t>
      </w:r>
      <w:r w:rsidRPr="002C6E01">
        <w:rPr>
          <w:rFonts w:hint="eastAsia"/>
          <w:sz w:val="24"/>
          <w:szCs w:val="24"/>
        </w:rPr>
        <w:t>、液流电池</w:t>
      </w:r>
      <w:r w:rsidRPr="002C6E01">
        <w:rPr>
          <w:rFonts w:hint="eastAsia"/>
          <w:sz w:val="24"/>
          <w:szCs w:val="24"/>
        </w:rPr>
        <w:t>[</w:t>
      </w:r>
      <w:r w:rsidRPr="002C6E01">
        <w:rPr>
          <w:sz w:val="24"/>
          <w:szCs w:val="24"/>
        </w:rPr>
        <w:t>]</w:t>
      </w:r>
      <w:r w:rsidRPr="002C6E01">
        <w:rPr>
          <w:rFonts w:hint="eastAsia"/>
          <w:sz w:val="24"/>
          <w:szCs w:val="24"/>
        </w:rPr>
        <w:t>等领域。以质子交换膜燃料电池</w:t>
      </w:r>
      <w:r w:rsidRPr="002C6E01">
        <w:rPr>
          <w:rFonts w:hint="eastAsia"/>
          <w:sz w:val="24"/>
          <w:szCs w:val="24"/>
        </w:rPr>
        <w:t>PEMFC</w:t>
      </w:r>
      <w:r w:rsidRPr="002C6E01">
        <w:rPr>
          <w:rFonts w:hint="eastAsia"/>
          <w:sz w:val="24"/>
          <w:szCs w:val="24"/>
        </w:rPr>
        <w:t>为例，富氢燃料（氢气、甲醇等）在阳极发生氧化反应生成质子，质子由</w:t>
      </w:r>
      <w:r w:rsidRPr="002C6E01">
        <w:rPr>
          <w:rFonts w:hint="eastAsia"/>
          <w:sz w:val="24"/>
          <w:szCs w:val="24"/>
        </w:rPr>
        <w:t>PEM</w:t>
      </w:r>
      <w:r w:rsidRPr="002C6E01">
        <w:rPr>
          <w:rFonts w:hint="eastAsia"/>
          <w:sz w:val="24"/>
          <w:szCs w:val="24"/>
        </w:rPr>
        <w:t>传导到阴极与氧气发生还原反应，而电子则由外电路导出产生电流，其中</w:t>
      </w:r>
      <w:r w:rsidRPr="002C6E01">
        <w:rPr>
          <w:rFonts w:hint="eastAsia"/>
          <w:sz w:val="24"/>
          <w:szCs w:val="24"/>
        </w:rPr>
        <w:t>PEM</w:t>
      </w:r>
      <w:r w:rsidRPr="002C6E01">
        <w:rPr>
          <w:rFonts w:hint="eastAsia"/>
          <w:sz w:val="24"/>
          <w:szCs w:val="24"/>
        </w:rPr>
        <w:t>位于阴极和阳极之间，起到传导质子和隔绝阴阳极的作用，</w:t>
      </w:r>
      <w:r w:rsidRPr="002C6E01">
        <w:rPr>
          <w:sz w:val="24"/>
          <w:szCs w:val="24"/>
        </w:rPr>
        <w:t>此外它还与电极表面催化剂层及燃料构成电化学反应三相界面，其</w:t>
      </w:r>
      <w:r w:rsidRPr="002C6E01">
        <w:rPr>
          <w:rFonts w:hint="eastAsia"/>
          <w:sz w:val="24"/>
          <w:szCs w:val="24"/>
        </w:rPr>
        <w:t>结构、</w:t>
      </w:r>
      <w:r w:rsidRPr="002C6E01">
        <w:rPr>
          <w:sz w:val="24"/>
          <w:szCs w:val="24"/>
        </w:rPr>
        <w:t>界面性质直接影响电化学反应动力学过程。</w:t>
      </w:r>
    </w:p>
    <w:p w:rsidR="002C6E01" w:rsidRPr="002C6E01" w:rsidRDefault="002C6E01" w:rsidP="002C6E01">
      <w:pPr>
        <w:spacing w:line="440" w:lineRule="exact"/>
        <w:rPr>
          <w:sz w:val="24"/>
          <w:szCs w:val="24"/>
        </w:rPr>
      </w:pPr>
      <w:r w:rsidRPr="002C6E01">
        <w:rPr>
          <w:rFonts w:hint="eastAsia"/>
          <w:sz w:val="24"/>
          <w:szCs w:val="24"/>
        </w:rPr>
        <w:t>要实现下一代</w:t>
      </w:r>
      <w:r w:rsidRPr="002C6E01">
        <w:rPr>
          <w:rFonts w:hint="eastAsia"/>
          <w:sz w:val="24"/>
          <w:szCs w:val="24"/>
        </w:rPr>
        <w:t>PEMFC</w:t>
      </w:r>
      <w:r w:rsidRPr="002C6E01">
        <w:rPr>
          <w:rFonts w:hint="eastAsia"/>
          <w:sz w:val="24"/>
          <w:szCs w:val="24"/>
        </w:rPr>
        <w:t>“高功率密度”的需求，</w:t>
      </w:r>
      <w:r w:rsidRPr="002C6E01">
        <w:rPr>
          <w:rFonts w:hint="eastAsia"/>
          <w:b/>
          <w:sz w:val="24"/>
          <w:szCs w:val="24"/>
        </w:rPr>
        <w:t>突破</w:t>
      </w:r>
      <w:r w:rsidRPr="002C6E01">
        <w:rPr>
          <w:rFonts w:hint="eastAsia"/>
          <w:b/>
          <w:sz w:val="24"/>
          <w:szCs w:val="24"/>
        </w:rPr>
        <w:t>PEM</w:t>
      </w:r>
      <w:r w:rsidRPr="002C6E01">
        <w:rPr>
          <w:rFonts w:hint="eastAsia"/>
          <w:b/>
          <w:sz w:val="24"/>
          <w:szCs w:val="24"/>
        </w:rPr>
        <w:t>的关键材料“不同温湿度工况下兼具高质子传导率和良好的机械性能”是目前的重要瓶颈。</w:t>
      </w:r>
      <w:r w:rsidRPr="002C6E01">
        <w:rPr>
          <w:rFonts w:hint="eastAsia"/>
          <w:sz w:val="24"/>
          <w:szCs w:val="24"/>
        </w:rPr>
        <w:t>通常来讲，侧链含有亲水离子基团的链状聚合物作为</w:t>
      </w:r>
      <w:r w:rsidRPr="002C6E01">
        <w:rPr>
          <w:rFonts w:hint="eastAsia"/>
          <w:sz w:val="24"/>
          <w:szCs w:val="24"/>
        </w:rPr>
        <w:t>PEM</w:t>
      </w:r>
      <w:r w:rsidRPr="002C6E01">
        <w:rPr>
          <w:rFonts w:hint="eastAsia"/>
          <w:sz w:val="24"/>
          <w:szCs w:val="24"/>
        </w:rPr>
        <w:t>的离聚物基体的典型分子结构，其中聚合物主链为</w:t>
      </w:r>
      <w:r w:rsidRPr="002C6E01">
        <w:rPr>
          <w:rFonts w:hint="eastAsia"/>
          <w:sz w:val="24"/>
          <w:szCs w:val="24"/>
        </w:rPr>
        <w:t>PEM</w:t>
      </w:r>
      <w:r w:rsidRPr="002C6E01">
        <w:rPr>
          <w:rFonts w:hint="eastAsia"/>
          <w:sz w:val="24"/>
          <w:szCs w:val="24"/>
        </w:rPr>
        <w:t>提供机械性能，亲水离子基团则起到传导质子的功效。</w:t>
      </w:r>
    </w:p>
    <w:p w:rsidR="002C6E01" w:rsidRPr="002C6E01" w:rsidRDefault="002C6E01" w:rsidP="002C6E01">
      <w:pPr>
        <w:spacing w:line="440" w:lineRule="exact"/>
        <w:ind w:firstLineChars="200" w:firstLine="480"/>
        <w:rPr>
          <w:sz w:val="24"/>
          <w:szCs w:val="24"/>
        </w:rPr>
      </w:pPr>
      <w:r w:rsidRPr="002C6E01">
        <w:rPr>
          <w:rFonts w:hint="eastAsia"/>
          <w:sz w:val="24"/>
          <w:szCs w:val="24"/>
        </w:rPr>
        <w:t>国内外的研究者们围绕离聚物的化学组成、链序列结构、拓扑结构及离子基团种类与浓度展开了系统的研究工作，发现脂肪主链</w:t>
      </w:r>
      <w:r w:rsidRPr="002C6E01">
        <w:rPr>
          <w:rFonts w:hint="eastAsia"/>
          <w:sz w:val="24"/>
          <w:szCs w:val="24"/>
        </w:rPr>
        <w:t>[</w:t>
      </w:r>
      <w:r w:rsidRPr="002C6E01">
        <w:rPr>
          <w:sz w:val="24"/>
          <w:szCs w:val="24"/>
        </w:rPr>
        <w:t>]</w:t>
      </w:r>
      <w:r w:rsidRPr="002C6E01">
        <w:rPr>
          <w:rFonts w:hint="eastAsia"/>
          <w:sz w:val="24"/>
          <w:szCs w:val="24"/>
        </w:rPr>
        <w:t>和芳香主链</w:t>
      </w:r>
      <w:r w:rsidRPr="002C6E01">
        <w:rPr>
          <w:rFonts w:hint="eastAsia"/>
          <w:sz w:val="24"/>
          <w:szCs w:val="24"/>
        </w:rPr>
        <w:t>[</w:t>
      </w:r>
      <w:r w:rsidRPr="002C6E01">
        <w:rPr>
          <w:sz w:val="24"/>
          <w:szCs w:val="24"/>
        </w:rPr>
        <w:t>]</w:t>
      </w:r>
      <w:r w:rsidRPr="002C6E01">
        <w:rPr>
          <w:rFonts w:hint="eastAsia"/>
          <w:sz w:val="24"/>
          <w:szCs w:val="24"/>
        </w:rPr>
        <w:t>都可以为</w:t>
      </w:r>
      <w:r w:rsidRPr="002C6E01">
        <w:rPr>
          <w:rFonts w:hint="eastAsia"/>
          <w:sz w:val="24"/>
          <w:szCs w:val="24"/>
        </w:rPr>
        <w:t>PEM</w:t>
      </w:r>
      <w:r w:rsidRPr="002C6E01">
        <w:rPr>
          <w:rFonts w:hint="eastAsia"/>
          <w:sz w:val="24"/>
          <w:szCs w:val="24"/>
        </w:rPr>
        <w:t>提供一定的机械性能；相比于无规共聚物，</w:t>
      </w:r>
      <w:r w:rsidRPr="002C6E01">
        <w:rPr>
          <w:rFonts w:hint="eastAsia"/>
          <w:kern w:val="0"/>
          <w:sz w:val="24"/>
          <w:szCs w:val="24"/>
        </w:rPr>
        <w:t>梳型和</w:t>
      </w:r>
      <w:r w:rsidRPr="002C6E01">
        <w:rPr>
          <w:kern w:val="0"/>
          <w:sz w:val="24"/>
          <w:szCs w:val="24"/>
        </w:rPr>
        <w:t>嵌段</w:t>
      </w:r>
      <w:r w:rsidRPr="002C6E01">
        <w:rPr>
          <w:rFonts w:hint="eastAsia"/>
          <w:kern w:val="0"/>
          <w:sz w:val="24"/>
          <w:szCs w:val="24"/>
        </w:rPr>
        <w:t>共聚物等</w:t>
      </w:r>
      <w:r w:rsidRPr="002C6E01">
        <w:rPr>
          <w:kern w:val="0"/>
          <w:sz w:val="24"/>
          <w:szCs w:val="24"/>
        </w:rPr>
        <w:t>由于其微观结构上</w:t>
      </w:r>
      <w:r w:rsidRPr="002C6E01">
        <w:rPr>
          <w:kern w:val="0"/>
          <w:sz w:val="24"/>
          <w:szCs w:val="24"/>
        </w:rPr>
        <w:fldChar w:fldCharType="begin"/>
      </w:r>
      <w:r w:rsidRPr="002C6E01">
        <w:rPr>
          <w:kern w:val="0"/>
          <w:sz w:val="24"/>
          <w:szCs w:val="24"/>
        </w:rPr>
        <w:instrText xml:space="preserve"> ADDIN EN.CITE &lt;EndNote&gt;&lt;Cite&gt;&lt;Author&gt;Elabd&lt;/Author&gt;&lt;Year&gt;2010&lt;/Year&gt;&lt;RecNum&gt;46&lt;/RecNum&gt;&lt;DisplayText&gt;&lt;style face="superscript"&gt;[16]&lt;/style&gt;&lt;/DisplayText&gt;&lt;record&gt;&lt;rec-number&gt;46&lt;/rec-number&gt;&lt;foreign-keys&gt;&lt;key app="EN" db-id="0defd9a5hwatfqepdrt55dzgwssdaztfpfd5"&gt;46&lt;/key&gt;&lt;/foreign-keys&gt;&lt;ref-type name="Journal Article"&gt;17&lt;/ref-type&gt;&lt;contributors&gt;&lt;authors&gt;&lt;author&gt;Elabd, Yossef A.&lt;/author&gt;&lt;author&gt;Hickner, Michael A.&lt;/author&gt;&lt;/authors&gt;&lt;/contributors&gt;&lt;titles&gt;&lt;title&gt;Block Copolymers for Fuel Cells&lt;/title&gt;&lt;secondary-title&gt;Macromolecules&lt;/secondary-title&gt;&lt;/titles&gt;&lt;periodical&gt;&lt;full-title&gt;Macromolecules&lt;/full-title&gt;&lt;/periodical&gt;&lt;pages&gt;1-11&lt;/pages&gt;&lt;volume&gt;44&lt;/volume&gt;&lt;number&gt;1&lt;/number&gt;&lt;dates&gt;&lt;year&gt;2010&lt;/year&gt;&lt;/dates&gt;&lt;publisher&gt;American Chemical Society&lt;/publisher&gt;&lt;isbn&gt;0024-9297&lt;/isbn&gt;&lt;urls&gt;&lt;related-urls&gt;&lt;url&gt;http://dx.doi.org/10.1021/ma101247c&lt;/url&gt;&lt;/related-urls&gt;&lt;/urls&gt;&lt;electronic-resource-num&gt;10.1021/ma101247c&lt;/electronic-resource-num&gt;&lt;/record&gt;&lt;/Cite&gt;&lt;/EndNote&gt;</w:instrText>
      </w:r>
      <w:r w:rsidRPr="002C6E01">
        <w:rPr>
          <w:kern w:val="0"/>
          <w:sz w:val="24"/>
          <w:szCs w:val="24"/>
        </w:rPr>
        <w:fldChar w:fldCharType="separate"/>
      </w:r>
      <w:r w:rsidRPr="002C6E01">
        <w:rPr>
          <w:kern w:val="0"/>
          <w:sz w:val="24"/>
          <w:szCs w:val="24"/>
          <w:vertAlign w:val="superscript"/>
        </w:rPr>
        <w:t>[</w:t>
      </w:r>
      <w:hyperlink w:anchor="_ENREF_16" w:tooltip="Elabd, 2010 #46" w:history="1">
        <w:r w:rsidRPr="002C6E01">
          <w:rPr>
            <w:kern w:val="0"/>
            <w:sz w:val="24"/>
            <w:szCs w:val="24"/>
            <w:vertAlign w:val="superscript"/>
          </w:rPr>
          <w:t>16</w:t>
        </w:r>
      </w:hyperlink>
      <w:r w:rsidRPr="002C6E01">
        <w:rPr>
          <w:kern w:val="0"/>
          <w:sz w:val="24"/>
          <w:szCs w:val="24"/>
          <w:vertAlign w:val="superscript"/>
        </w:rPr>
        <w:t>]</w:t>
      </w:r>
      <w:r w:rsidRPr="002C6E01">
        <w:rPr>
          <w:kern w:val="0"/>
          <w:sz w:val="24"/>
          <w:szCs w:val="24"/>
        </w:rPr>
        <w:fldChar w:fldCharType="end"/>
      </w:r>
      <w:r w:rsidRPr="002C6E01">
        <w:rPr>
          <w:kern w:val="0"/>
          <w:sz w:val="24"/>
          <w:szCs w:val="24"/>
        </w:rPr>
        <w:t>存在纳米尺度的相分离</w:t>
      </w:r>
      <w:r w:rsidRPr="002C6E01">
        <w:rPr>
          <w:rFonts w:hint="eastAsia"/>
          <w:kern w:val="0"/>
          <w:sz w:val="24"/>
          <w:szCs w:val="24"/>
        </w:rPr>
        <w:t>，易形成</w:t>
      </w:r>
      <w:r w:rsidRPr="002C6E01">
        <w:rPr>
          <w:kern w:val="0"/>
          <w:sz w:val="24"/>
          <w:szCs w:val="24"/>
        </w:rPr>
        <w:t>亲水区相互</w:t>
      </w:r>
      <w:r w:rsidRPr="002C6E01">
        <w:rPr>
          <w:rFonts w:hint="eastAsia"/>
          <w:kern w:val="0"/>
          <w:sz w:val="24"/>
          <w:szCs w:val="24"/>
        </w:rPr>
        <w:t>连通的质子传输通道</w:t>
      </w:r>
      <w:r w:rsidRPr="002C6E01">
        <w:rPr>
          <w:kern w:val="0"/>
          <w:sz w:val="24"/>
          <w:szCs w:val="24"/>
        </w:rPr>
        <w:t>，从而提高质子传导率</w:t>
      </w:r>
      <w:r w:rsidRPr="002C6E01">
        <w:rPr>
          <w:kern w:val="0"/>
          <w:sz w:val="24"/>
          <w:szCs w:val="24"/>
        </w:rPr>
        <w:fldChar w:fldCharType="begin"/>
      </w:r>
      <w:r w:rsidRPr="002C6E01">
        <w:rPr>
          <w:kern w:val="0"/>
          <w:sz w:val="24"/>
          <w:szCs w:val="24"/>
        </w:rPr>
        <w:instrText xml:space="preserve"> ADDIN EN.CITE </w:instrText>
      </w:r>
      <w:r w:rsidRPr="002C6E01">
        <w:rPr>
          <w:kern w:val="0"/>
          <w:sz w:val="24"/>
          <w:szCs w:val="24"/>
        </w:rPr>
        <w:fldChar w:fldCharType="begin"/>
      </w:r>
      <w:r w:rsidRPr="002C6E01">
        <w:rPr>
          <w:kern w:val="0"/>
          <w:sz w:val="24"/>
          <w:szCs w:val="24"/>
        </w:rPr>
        <w:instrText xml:space="preserve"> ADDIN EN.CITE.DATA </w:instrText>
      </w:r>
      <w:r w:rsidRPr="002C6E01">
        <w:rPr>
          <w:kern w:val="0"/>
          <w:sz w:val="24"/>
          <w:szCs w:val="24"/>
        </w:rPr>
        <w:fldChar w:fldCharType="end"/>
      </w:r>
      <w:r w:rsidRPr="002C6E01">
        <w:rPr>
          <w:kern w:val="0"/>
          <w:sz w:val="24"/>
          <w:szCs w:val="24"/>
        </w:rPr>
        <w:fldChar w:fldCharType="separate"/>
      </w:r>
      <w:r w:rsidRPr="002C6E01">
        <w:rPr>
          <w:kern w:val="0"/>
          <w:sz w:val="24"/>
          <w:szCs w:val="24"/>
          <w:vertAlign w:val="superscript"/>
        </w:rPr>
        <w:t>[</w:t>
      </w:r>
      <w:hyperlink w:anchor="_ENREF_17" w:tooltip="Hickner, 2010 #162" w:history="1">
        <w:r w:rsidRPr="002C6E01">
          <w:rPr>
            <w:kern w:val="0"/>
            <w:sz w:val="24"/>
            <w:szCs w:val="24"/>
            <w:vertAlign w:val="superscript"/>
          </w:rPr>
          <w:t>17-19</w:t>
        </w:r>
      </w:hyperlink>
      <w:r w:rsidRPr="002C6E01">
        <w:rPr>
          <w:kern w:val="0"/>
          <w:sz w:val="24"/>
          <w:szCs w:val="24"/>
          <w:vertAlign w:val="superscript"/>
        </w:rPr>
        <w:t>]</w:t>
      </w:r>
      <w:r w:rsidRPr="002C6E01">
        <w:rPr>
          <w:kern w:val="0"/>
          <w:sz w:val="24"/>
          <w:szCs w:val="24"/>
        </w:rPr>
        <w:fldChar w:fldCharType="end"/>
      </w:r>
      <w:r w:rsidRPr="002C6E01">
        <w:rPr>
          <w:kern w:val="0"/>
          <w:sz w:val="24"/>
          <w:szCs w:val="24"/>
        </w:rPr>
        <w:t>。</w:t>
      </w:r>
      <w:r w:rsidRPr="002C6E01">
        <w:rPr>
          <w:rFonts w:hint="eastAsia"/>
          <w:kern w:val="0"/>
          <w:sz w:val="24"/>
          <w:szCs w:val="24"/>
        </w:rPr>
        <w:t>近年来</w:t>
      </w:r>
      <w:r w:rsidRPr="002C6E01">
        <w:rPr>
          <w:sz w:val="24"/>
          <w:szCs w:val="24"/>
        </w:rPr>
        <w:t>，</w:t>
      </w:r>
      <w:r w:rsidRPr="002C6E01">
        <w:rPr>
          <w:rFonts w:hint="eastAsia"/>
          <w:sz w:val="24"/>
          <w:szCs w:val="24"/>
        </w:rPr>
        <w:t>申请者通过可控聚合的方式</w:t>
      </w:r>
      <w:r w:rsidRPr="002C6E01">
        <w:rPr>
          <w:sz w:val="24"/>
          <w:szCs w:val="24"/>
        </w:rPr>
        <w:t>设计了一</w:t>
      </w:r>
      <w:r w:rsidRPr="002C6E01">
        <w:rPr>
          <w:rFonts w:hint="eastAsia"/>
          <w:sz w:val="24"/>
          <w:szCs w:val="24"/>
        </w:rPr>
        <w:t>系列不同</w:t>
      </w:r>
      <w:r w:rsidRPr="002C6E01">
        <w:rPr>
          <w:sz w:val="24"/>
          <w:szCs w:val="24"/>
        </w:rPr>
        <w:t>拓扑结构的</w:t>
      </w:r>
      <w:r w:rsidRPr="002C6E01">
        <w:rPr>
          <w:rFonts w:hint="eastAsia"/>
          <w:sz w:val="24"/>
          <w:szCs w:val="24"/>
        </w:rPr>
        <w:t>功能型嵌段共聚物</w:t>
      </w:r>
      <w:r w:rsidRPr="002C6E01">
        <w:rPr>
          <w:rFonts w:hint="eastAsia"/>
          <w:sz w:val="24"/>
          <w:szCs w:val="24"/>
        </w:rPr>
        <w:t>[</w:t>
      </w:r>
      <w:r w:rsidRPr="002C6E01">
        <w:rPr>
          <w:rFonts w:hint="eastAsia"/>
          <w:i/>
          <w:sz w:val="24"/>
        </w:rPr>
        <w:t>Chinese</w:t>
      </w:r>
      <w:r w:rsidRPr="002C6E01">
        <w:rPr>
          <w:i/>
          <w:sz w:val="24"/>
        </w:rPr>
        <w:t xml:space="preserve"> </w:t>
      </w:r>
      <w:r w:rsidRPr="002C6E01">
        <w:rPr>
          <w:rFonts w:hint="eastAsia"/>
          <w:i/>
          <w:sz w:val="24"/>
        </w:rPr>
        <w:t>Chemical</w:t>
      </w:r>
      <w:r w:rsidRPr="002C6E01">
        <w:rPr>
          <w:i/>
          <w:sz w:val="24"/>
        </w:rPr>
        <w:t xml:space="preserve"> </w:t>
      </w:r>
      <w:r w:rsidRPr="002C6E01">
        <w:rPr>
          <w:rFonts w:hint="eastAsia"/>
          <w:i/>
          <w:sz w:val="24"/>
        </w:rPr>
        <w:t>Letters,2</w:t>
      </w:r>
      <w:r w:rsidRPr="002C6E01">
        <w:rPr>
          <w:i/>
          <w:sz w:val="24"/>
        </w:rPr>
        <w:t>020</w:t>
      </w:r>
      <w:r w:rsidRPr="002C6E01">
        <w:rPr>
          <w:rFonts w:hint="eastAsia"/>
          <w:i/>
          <w:sz w:val="24"/>
        </w:rPr>
        <w:t>，</w:t>
      </w:r>
      <w:r w:rsidRPr="002C6E01">
        <w:rPr>
          <w:rFonts w:hint="eastAsia"/>
          <w:sz w:val="24"/>
          <w:szCs w:val="24"/>
        </w:rPr>
        <w:t>，</w:t>
      </w:r>
      <w:r w:rsidRPr="002C6E01">
        <w:rPr>
          <w:i/>
          <w:sz w:val="24"/>
        </w:rPr>
        <w:t>Macromolecular Rapid Communications</w:t>
      </w:r>
      <w:r w:rsidRPr="002C6E01">
        <w:rPr>
          <w:sz w:val="24"/>
        </w:rPr>
        <w:t>. 2019, 1900101</w:t>
      </w:r>
      <w:r w:rsidRPr="002C6E01">
        <w:rPr>
          <w:rFonts w:hint="eastAsia"/>
          <w:sz w:val="24"/>
          <w:szCs w:val="24"/>
        </w:rPr>
        <w:t>，</w:t>
      </w:r>
      <w:r w:rsidRPr="002C6E01">
        <w:rPr>
          <w:i/>
          <w:sz w:val="24"/>
          <w:szCs w:val="24"/>
          <w:u w:color="000000"/>
        </w:rPr>
        <w:t>Electrochemistry Communications</w:t>
      </w:r>
      <w:r w:rsidRPr="002C6E01">
        <w:rPr>
          <w:sz w:val="24"/>
          <w:szCs w:val="24"/>
          <w:u w:color="000000"/>
        </w:rPr>
        <w:t>, 2017, 77, 49-53.</w:t>
      </w:r>
      <w:r w:rsidRPr="002C6E01">
        <w:rPr>
          <w:sz w:val="24"/>
          <w:szCs w:val="24"/>
        </w:rPr>
        <w:t>]</w:t>
      </w:r>
      <w:r w:rsidRPr="002C6E01">
        <w:rPr>
          <w:rFonts w:hint="eastAsia"/>
          <w:sz w:val="24"/>
          <w:szCs w:val="24"/>
        </w:rPr>
        <w:t>，利用后磺酸化得到</w:t>
      </w:r>
      <w:r w:rsidRPr="002C6E01">
        <w:rPr>
          <w:sz w:val="24"/>
          <w:szCs w:val="24"/>
        </w:rPr>
        <w:t>离子型</w:t>
      </w:r>
      <w:r w:rsidRPr="002C6E01">
        <w:rPr>
          <w:rFonts w:hint="eastAsia"/>
          <w:sz w:val="24"/>
          <w:szCs w:val="24"/>
        </w:rPr>
        <w:t>嵌段共聚物</w:t>
      </w:r>
      <w:r w:rsidRPr="002C6E01">
        <w:rPr>
          <w:sz w:val="24"/>
          <w:szCs w:val="24"/>
        </w:rPr>
        <w:t>BCPI</w:t>
      </w:r>
      <w:r w:rsidRPr="002C6E01">
        <w:rPr>
          <w:rFonts w:hint="eastAsia"/>
          <w:sz w:val="24"/>
          <w:szCs w:val="24"/>
        </w:rPr>
        <w:t>并以此为基体制备了</w:t>
      </w:r>
      <w:r w:rsidRPr="002C6E01">
        <w:rPr>
          <w:rFonts w:hint="eastAsia"/>
          <w:sz w:val="24"/>
          <w:szCs w:val="24"/>
        </w:rPr>
        <w:t>PEM</w:t>
      </w:r>
      <w:r w:rsidRPr="002C6E01">
        <w:rPr>
          <w:sz w:val="24"/>
          <w:szCs w:val="24"/>
        </w:rPr>
        <w:fldChar w:fldCharType="begin"/>
      </w:r>
      <w:r w:rsidRPr="002C6E01">
        <w:rPr>
          <w:sz w:val="24"/>
          <w:szCs w:val="24"/>
        </w:rPr>
        <w:instrText xml:space="preserve"> ADDIN EN.CITE </w:instrText>
      </w:r>
      <w:r w:rsidRPr="002C6E01">
        <w:rPr>
          <w:sz w:val="24"/>
          <w:szCs w:val="24"/>
        </w:rPr>
        <w:fldChar w:fldCharType="begin"/>
      </w:r>
      <w:r w:rsidRPr="002C6E01">
        <w:rPr>
          <w:sz w:val="24"/>
          <w:szCs w:val="24"/>
        </w:rPr>
        <w:instrText xml:space="preserve"> ADDIN EN.CITE.DATA </w:instrText>
      </w:r>
      <w:r w:rsidRPr="002C6E01">
        <w:rPr>
          <w:sz w:val="24"/>
          <w:szCs w:val="24"/>
        </w:rPr>
        <w:fldChar w:fldCharType="end"/>
      </w:r>
      <w:r w:rsidRPr="002C6E01">
        <w:rPr>
          <w:sz w:val="24"/>
          <w:szCs w:val="24"/>
        </w:rPr>
        <w:fldChar w:fldCharType="separate"/>
      </w:r>
      <w:r w:rsidRPr="002C6E01">
        <w:rPr>
          <w:rFonts w:hint="eastAsia"/>
          <w:sz w:val="24"/>
          <w:szCs w:val="24"/>
        </w:rPr>
        <w:t>[</w:t>
      </w:r>
      <w:hyperlink w:anchor="_ENREF_24" w:tooltip="Zhang, 2015 #378" w:history="1">
        <w:r w:rsidRPr="002C6E01">
          <w:rPr>
            <w:sz w:val="24"/>
            <w:szCs w:val="24"/>
          </w:rPr>
          <w:t>24</w:t>
        </w:r>
      </w:hyperlink>
      <w:r w:rsidRPr="002C6E01">
        <w:rPr>
          <w:sz w:val="24"/>
          <w:szCs w:val="24"/>
        </w:rPr>
        <w:t>]</w:t>
      </w:r>
      <w:r w:rsidRPr="002C6E01">
        <w:rPr>
          <w:sz w:val="24"/>
          <w:szCs w:val="24"/>
        </w:rPr>
        <w:fldChar w:fldCharType="end"/>
      </w:r>
      <w:r w:rsidRPr="002C6E01">
        <w:rPr>
          <w:sz w:val="24"/>
          <w:szCs w:val="24"/>
        </w:rPr>
        <w:t>，</w:t>
      </w:r>
      <w:r w:rsidRPr="002C6E01">
        <w:rPr>
          <w:rFonts w:hint="eastAsia"/>
          <w:sz w:val="24"/>
          <w:szCs w:val="24"/>
        </w:rPr>
        <w:t>证实了</w:t>
      </w:r>
      <w:r w:rsidRPr="002C6E01">
        <w:rPr>
          <w:sz w:val="24"/>
          <w:szCs w:val="24"/>
        </w:rPr>
        <w:t>通过调控离子基团分布来</w:t>
      </w:r>
      <w:r w:rsidRPr="002C6E01">
        <w:rPr>
          <w:rFonts w:hint="eastAsia"/>
          <w:sz w:val="24"/>
          <w:szCs w:val="24"/>
        </w:rPr>
        <w:t>改善</w:t>
      </w:r>
      <w:r w:rsidRPr="002C6E01">
        <w:rPr>
          <w:sz w:val="24"/>
          <w:szCs w:val="24"/>
        </w:rPr>
        <w:t>离子</w:t>
      </w:r>
      <w:r w:rsidRPr="002C6E01">
        <w:rPr>
          <w:rFonts w:hint="eastAsia"/>
          <w:sz w:val="24"/>
          <w:szCs w:val="24"/>
        </w:rPr>
        <w:t>相的连通性</w:t>
      </w:r>
      <w:r w:rsidRPr="002C6E01">
        <w:rPr>
          <w:sz w:val="24"/>
          <w:szCs w:val="24"/>
        </w:rPr>
        <w:t>，</w:t>
      </w:r>
      <w:r w:rsidRPr="002C6E01">
        <w:rPr>
          <w:rFonts w:hint="eastAsia"/>
          <w:sz w:val="24"/>
          <w:szCs w:val="24"/>
        </w:rPr>
        <w:t>进而提升</w:t>
      </w:r>
      <w:r w:rsidRPr="002C6E01">
        <w:rPr>
          <w:rFonts w:hint="eastAsia"/>
          <w:sz w:val="24"/>
          <w:szCs w:val="24"/>
        </w:rPr>
        <w:t>PEM</w:t>
      </w:r>
      <w:r w:rsidRPr="002C6E01">
        <w:rPr>
          <w:sz w:val="24"/>
          <w:szCs w:val="24"/>
        </w:rPr>
        <w:t>质子传导</w:t>
      </w:r>
      <w:r w:rsidRPr="002C6E01">
        <w:rPr>
          <w:rFonts w:hint="eastAsia"/>
          <w:sz w:val="24"/>
          <w:szCs w:val="24"/>
        </w:rPr>
        <w:t>率。</w:t>
      </w:r>
    </w:p>
    <w:p w:rsidR="002C6E01" w:rsidRPr="002C6E01" w:rsidRDefault="002C6E01" w:rsidP="002C6E01">
      <w:pPr>
        <w:autoSpaceDE w:val="0"/>
        <w:autoSpaceDN w:val="0"/>
        <w:adjustRightInd w:val="0"/>
        <w:spacing w:line="440" w:lineRule="exact"/>
        <w:ind w:firstLineChars="200" w:firstLine="480"/>
        <w:rPr>
          <w:b/>
          <w:sz w:val="24"/>
          <w:szCs w:val="24"/>
        </w:rPr>
      </w:pPr>
      <w:r w:rsidRPr="002C6E01">
        <w:rPr>
          <w:rFonts w:hint="eastAsia"/>
          <w:sz w:val="24"/>
          <w:szCs w:val="24"/>
        </w:rPr>
        <w:t>离聚物的质子传导率符合</w:t>
      </w:r>
      <w:r w:rsidRPr="002C6E01">
        <w:rPr>
          <w:rFonts w:hint="eastAsia"/>
          <w:sz w:val="24"/>
          <w:szCs w:val="24"/>
        </w:rPr>
        <w:t>Nernst-Einstein</w:t>
      </w:r>
      <w:r w:rsidRPr="002C6E01">
        <w:rPr>
          <w:rFonts w:hint="eastAsia"/>
          <w:sz w:val="24"/>
          <w:szCs w:val="24"/>
        </w:rPr>
        <w:t>方程</w:t>
      </w:r>
      <w:r w:rsidRPr="002C6E01">
        <w:rPr>
          <w:rFonts w:ascii="宋体" w:hAnsi="宋体" w:hint="eastAsia"/>
          <w:sz w:val="24"/>
          <w:szCs w:val="24"/>
        </w:rPr>
        <w:t>σ</w:t>
      </w:r>
      <w:r w:rsidRPr="002C6E01">
        <w:rPr>
          <w:rFonts w:hint="eastAsia"/>
          <w:sz w:val="24"/>
          <w:szCs w:val="24"/>
        </w:rPr>
        <w:t>=F</w:t>
      </w:r>
      <w:r w:rsidRPr="002C6E01">
        <w:rPr>
          <w:sz w:val="24"/>
          <w:szCs w:val="24"/>
        </w:rPr>
        <w:t>[SO</w:t>
      </w:r>
      <w:r w:rsidRPr="002C6E01">
        <w:rPr>
          <w:sz w:val="24"/>
          <w:szCs w:val="24"/>
          <w:vertAlign w:val="subscript"/>
        </w:rPr>
        <w:t>3</w:t>
      </w:r>
      <w:r w:rsidRPr="002C6E01">
        <w:rPr>
          <w:rFonts w:hint="eastAsia"/>
          <w:sz w:val="24"/>
          <w:szCs w:val="24"/>
        </w:rPr>
        <w:t>H</w:t>
      </w:r>
      <w:r w:rsidRPr="002C6E01">
        <w:rPr>
          <w:sz w:val="24"/>
          <w:szCs w:val="24"/>
        </w:rPr>
        <w:t>]</w:t>
      </w:r>
      <w:r w:rsidRPr="002C6E01">
        <w:rPr>
          <w:rFonts w:ascii="宋体" w:hAnsi="宋体" w:hint="eastAsia"/>
          <w:sz w:val="24"/>
          <w:szCs w:val="24"/>
        </w:rPr>
        <w:t>μ，即</w:t>
      </w:r>
      <w:r w:rsidRPr="002C6E01">
        <w:rPr>
          <w:rFonts w:hint="eastAsia"/>
          <w:sz w:val="24"/>
          <w:szCs w:val="24"/>
        </w:rPr>
        <w:t>质子传导率</w:t>
      </w:r>
      <w:r w:rsidRPr="002C6E01">
        <w:rPr>
          <w:rFonts w:ascii="宋体" w:hAnsi="宋体" w:hint="eastAsia"/>
          <w:sz w:val="24"/>
          <w:szCs w:val="24"/>
        </w:rPr>
        <w:t>σ</w:t>
      </w:r>
      <w:r w:rsidRPr="002C6E01">
        <w:rPr>
          <w:rFonts w:hint="eastAsia"/>
          <w:sz w:val="24"/>
          <w:szCs w:val="24"/>
        </w:rPr>
        <w:t>与酸性离子基团浓度</w:t>
      </w:r>
      <w:r w:rsidRPr="002C6E01">
        <w:rPr>
          <w:sz w:val="24"/>
          <w:szCs w:val="24"/>
        </w:rPr>
        <w:t>[SO</w:t>
      </w:r>
      <w:r w:rsidRPr="002C6E01">
        <w:rPr>
          <w:sz w:val="24"/>
          <w:szCs w:val="24"/>
          <w:vertAlign w:val="subscript"/>
        </w:rPr>
        <w:t>3</w:t>
      </w:r>
      <w:r w:rsidRPr="002C6E01">
        <w:rPr>
          <w:rFonts w:hint="eastAsia"/>
          <w:sz w:val="24"/>
          <w:szCs w:val="24"/>
        </w:rPr>
        <w:t>H</w:t>
      </w:r>
      <w:r w:rsidRPr="002C6E01">
        <w:rPr>
          <w:sz w:val="24"/>
          <w:szCs w:val="24"/>
        </w:rPr>
        <w:t>]</w:t>
      </w:r>
      <w:r w:rsidRPr="002C6E01">
        <w:rPr>
          <w:rFonts w:hint="eastAsia"/>
          <w:sz w:val="24"/>
          <w:szCs w:val="24"/>
        </w:rPr>
        <w:t>和有效质子淌度</w:t>
      </w:r>
      <w:r w:rsidRPr="002C6E01">
        <w:rPr>
          <w:rFonts w:ascii="宋体" w:hAnsi="宋体" w:hint="eastAsia"/>
          <w:sz w:val="24"/>
          <w:szCs w:val="24"/>
        </w:rPr>
        <w:t>μ</w:t>
      </w:r>
      <w:r w:rsidRPr="002C6E01">
        <w:rPr>
          <w:rFonts w:hint="eastAsia"/>
          <w:sz w:val="24"/>
          <w:szCs w:val="24"/>
        </w:rPr>
        <w:t>正相关（其中</w:t>
      </w:r>
      <w:r w:rsidRPr="002C6E01">
        <w:rPr>
          <w:rFonts w:hint="eastAsia"/>
          <w:sz w:val="24"/>
          <w:szCs w:val="24"/>
        </w:rPr>
        <w:t>F</w:t>
      </w:r>
      <w:r w:rsidRPr="002C6E01">
        <w:rPr>
          <w:rFonts w:hint="eastAsia"/>
          <w:sz w:val="24"/>
          <w:szCs w:val="24"/>
        </w:rPr>
        <w:t>为法拉第常数），而有效离子淌度</w:t>
      </w:r>
      <w:r w:rsidRPr="002C6E01">
        <w:rPr>
          <w:rFonts w:ascii="宋体" w:hAnsi="宋体" w:hint="eastAsia"/>
          <w:sz w:val="24"/>
          <w:szCs w:val="24"/>
        </w:rPr>
        <w:t>μ</w:t>
      </w:r>
      <w:r w:rsidRPr="002C6E01">
        <w:rPr>
          <w:rFonts w:hint="eastAsia"/>
          <w:sz w:val="24"/>
          <w:szCs w:val="24"/>
        </w:rPr>
        <w:t>与离子基团的解离常数和亲水通道的形状和尺寸密切相关。为了保证</w:t>
      </w:r>
      <w:r w:rsidRPr="002C6E01">
        <w:rPr>
          <w:rFonts w:hint="eastAsia"/>
          <w:sz w:val="24"/>
          <w:szCs w:val="24"/>
        </w:rPr>
        <w:t>PEM</w:t>
      </w:r>
      <w:r w:rsidRPr="002C6E01">
        <w:rPr>
          <w:rFonts w:hint="eastAsia"/>
          <w:sz w:val="24"/>
          <w:szCs w:val="24"/>
        </w:rPr>
        <w:t>的质子传导率，研究者倾向于选择解离常数较高的离子基团和增大酸性离子基团浓度的策略，然而当离聚物链中亲水离子基团浓度达到一定程度时，</w:t>
      </w:r>
      <w:r w:rsidRPr="002C6E01">
        <w:rPr>
          <w:sz w:val="24"/>
          <w:szCs w:val="24"/>
        </w:rPr>
        <w:t>当</w:t>
      </w:r>
      <w:r w:rsidRPr="002C6E01">
        <w:rPr>
          <w:rFonts w:hint="eastAsia"/>
          <w:sz w:val="24"/>
          <w:szCs w:val="24"/>
        </w:rPr>
        <w:t>PEMFC</w:t>
      </w:r>
      <w:r w:rsidRPr="002C6E01">
        <w:rPr>
          <w:sz w:val="24"/>
          <w:szCs w:val="24"/>
        </w:rPr>
        <w:t>处于高温高湿</w:t>
      </w:r>
      <w:r w:rsidRPr="002C6E01">
        <w:rPr>
          <w:rFonts w:hint="eastAsia"/>
          <w:sz w:val="24"/>
          <w:szCs w:val="24"/>
        </w:rPr>
        <w:t>工况下，</w:t>
      </w:r>
      <w:r w:rsidRPr="002C6E01">
        <w:rPr>
          <w:sz w:val="24"/>
          <w:szCs w:val="24"/>
        </w:rPr>
        <w:t>高水合状态的</w:t>
      </w:r>
      <w:r w:rsidRPr="002C6E01">
        <w:rPr>
          <w:sz w:val="24"/>
          <w:szCs w:val="24"/>
        </w:rPr>
        <w:t>PEM</w:t>
      </w:r>
      <w:r w:rsidRPr="002C6E01">
        <w:rPr>
          <w:sz w:val="24"/>
          <w:szCs w:val="24"/>
        </w:rPr>
        <w:t>质子传导率较高，</w:t>
      </w:r>
      <w:r w:rsidRPr="002C6E01">
        <w:rPr>
          <w:rFonts w:hint="eastAsia"/>
          <w:sz w:val="24"/>
          <w:szCs w:val="24"/>
        </w:rPr>
        <w:t>亲水离子相尺寸不断增大，影响疏水非离子相间的连续性而导致膜的溶胀率骤增导致</w:t>
      </w:r>
      <w:r w:rsidRPr="002C6E01">
        <w:rPr>
          <w:rFonts w:hint="eastAsia"/>
          <w:sz w:val="24"/>
          <w:szCs w:val="24"/>
        </w:rPr>
        <w:t>PEM</w:t>
      </w:r>
      <w:r w:rsidRPr="002C6E01">
        <w:rPr>
          <w:rFonts w:hint="eastAsia"/>
          <w:sz w:val="24"/>
          <w:szCs w:val="24"/>
        </w:rPr>
        <w:t>的机械性能显著降低</w:t>
      </w:r>
      <w:r w:rsidRPr="002C6E01">
        <w:rPr>
          <w:sz w:val="24"/>
          <w:szCs w:val="24"/>
        </w:rPr>
        <w:t>；</w:t>
      </w:r>
      <w:r w:rsidRPr="002C6E01">
        <w:rPr>
          <w:rFonts w:hint="eastAsia"/>
          <w:sz w:val="24"/>
          <w:szCs w:val="24"/>
        </w:rPr>
        <w:t>而当</w:t>
      </w:r>
      <w:r w:rsidRPr="002C6E01">
        <w:rPr>
          <w:rFonts w:hint="eastAsia"/>
          <w:sz w:val="24"/>
          <w:szCs w:val="24"/>
        </w:rPr>
        <w:t>PEMFC</w:t>
      </w:r>
      <w:r w:rsidRPr="002C6E01">
        <w:rPr>
          <w:rFonts w:hint="eastAsia"/>
          <w:sz w:val="24"/>
          <w:szCs w:val="24"/>
        </w:rPr>
        <w:t>处于</w:t>
      </w:r>
      <w:r w:rsidRPr="002C6E01">
        <w:rPr>
          <w:sz w:val="24"/>
          <w:szCs w:val="24"/>
        </w:rPr>
        <w:t>高温低湿</w:t>
      </w:r>
      <w:r w:rsidRPr="002C6E01">
        <w:rPr>
          <w:rFonts w:hint="eastAsia"/>
          <w:sz w:val="24"/>
          <w:szCs w:val="24"/>
        </w:rPr>
        <w:t>工况下</w:t>
      </w:r>
      <w:r w:rsidRPr="002C6E01">
        <w:rPr>
          <w:sz w:val="24"/>
          <w:szCs w:val="24"/>
        </w:rPr>
        <w:t>，</w:t>
      </w:r>
      <w:r w:rsidRPr="002C6E01">
        <w:rPr>
          <w:rFonts w:hint="eastAsia"/>
          <w:sz w:val="24"/>
          <w:szCs w:val="24"/>
        </w:rPr>
        <w:t>虽然避免了过度溶胀保证了机械性能，但</w:t>
      </w:r>
      <w:r w:rsidRPr="002C6E01">
        <w:rPr>
          <w:sz w:val="24"/>
          <w:szCs w:val="24"/>
        </w:rPr>
        <w:t>PEM</w:t>
      </w:r>
      <w:r w:rsidRPr="002C6E01">
        <w:rPr>
          <w:rFonts w:hint="eastAsia"/>
          <w:sz w:val="24"/>
          <w:szCs w:val="24"/>
        </w:rPr>
        <w:t>却因失水导致</w:t>
      </w:r>
      <w:r w:rsidRPr="002C6E01">
        <w:rPr>
          <w:sz w:val="24"/>
          <w:szCs w:val="24"/>
        </w:rPr>
        <w:t>质子传导</w:t>
      </w:r>
      <w:r w:rsidRPr="002C6E01">
        <w:rPr>
          <w:rFonts w:hint="eastAsia"/>
          <w:sz w:val="24"/>
          <w:szCs w:val="24"/>
        </w:rPr>
        <w:t>率</w:t>
      </w:r>
      <w:r w:rsidRPr="002C6E01">
        <w:rPr>
          <w:sz w:val="24"/>
          <w:szCs w:val="24"/>
        </w:rPr>
        <w:t>骤降</w:t>
      </w:r>
      <w:r w:rsidRPr="002C6E01">
        <w:rPr>
          <w:rFonts w:hint="eastAsia"/>
          <w:sz w:val="24"/>
          <w:szCs w:val="24"/>
        </w:rPr>
        <w:t>。因此，</w:t>
      </w:r>
      <w:r w:rsidRPr="002C6E01">
        <w:rPr>
          <w:rFonts w:hint="eastAsia"/>
          <w:b/>
          <w:sz w:val="24"/>
          <w:szCs w:val="24"/>
        </w:rPr>
        <w:t>仅通过单一组分离聚物结构设计还很难解决</w:t>
      </w:r>
      <w:r w:rsidRPr="002C6E01">
        <w:rPr>
          <w:rFonts w:hint="eastAsia"/>
          <w:b/>
          <w:sz w:val="24"/>
          <w:szCs w:val="24"/>
        </w:rPr>
        <w:t>PEM</w:t>
      </w:r>
      <w:r w:rsidRPr="002C6E01">
        <w:rPr>
          <w:rFonts w:hint="eastAsia"/>
          <w:b/>
          <w:sz w:val="24"/>
          <w:szCs w:val="24"/>
        </w:rPr>
        <w:t>质子传导特性对湿度的过度依赖的问题。</w:t>
      </w:r>
    </w:p>
    <w:p w:rsidR="002C6E01" w:rsidRPr="002C6E01" w:rsidRDefault="002C6E01" w:rsidP="002C6E01">
      <w:pPr>
        <w:autoSpaceDE w:val="0"/>
        <w:autoSpaceDN w:val="0"/>
        <w:adjustRightInd w:val="0"/>
        <w:spacing w:line="440" w:lineRule="exact"/>
        <w:ind w:firstLineChars="200" w:firstLine="482"/>
        <w:rPr>
          <w:rFonts w:hint="eastAsia"/>
          <w:b/>
          <w:sz w:val="24"/>
          <w:szCs w:val="24"/>
        </w:rPr>
      </w:pPr>
      <w:r w:rsidRPr="002C6E01">
        <w:rPr>
          <w:rFonts w:hint="eastAsia"/>
          <w:b/>
          <w:sz w:val="24"/>
          <w:szCs w:val="24"/>
        </w:rPr>
        <w:lastRenderedPageBreak/>
        <w:t>（</w:t>
      </w:r>
      <w:r w:rsidRPr="002C6E01">
        <w:rPr>
          <w:rFonts w:hint="eastAsia"/>
          <w:b/>
          <w:sz w:val="24"/>
          <w:szCs w:val="24"/>
        </w:rPr>
        <w:t>2</w:t>
      </w:r>
      <w:r w:rsidRPr="002C6E01">
        <w:rPr>
          <w:rFonts w:hint="eastAsia"/>
          <w:b/>
          <w:sz w:val="24"/>
          <w:szCs w:val="24"/>
        </w:rPr>
        <w:t>）环境自适应异质</w:t>
      </w:r>
      <w:r w:rsidRPr="002C6E01">
        <w:rPr>
          <w:rFonts w:hint="eastAsia"/>
          <w:b/>
          <w:sz w:val="24"/>
          <w:szCs w:val="24"/>
        </w:rPr>
        <w:t>PEM</w:t>
      </w:r>
    </w:p>
    <w:p w:rsidR="002C6E01" w:rsidRPr="002C6E01" w:rsidRDefault="002C6E01" w:rsidP="002C6E01">
      <w:pPr>
        <w:pStyle w:val="HTML"/>
        <w:spacing w:line="440" w:lineRule="exact"/>
        <w:ind w:firstLineChars="200" w:firstLine="480"/>
        <w:jc w:val="both"/>
        <w:rPr>
          <w:rFonts w:ascii="Times New Roman" w:eastAsia="宋体" w:hAnsi="Times New Roman" w:cs="Times New Roman"/>
        </w:rPr>
      </w:pPr>
      <w:r w:rsidRPr="002C6E01">
        <w:rPr>
          <w:rFonts w:ascii="Times New Roman" w:eastAsia="宋体" w:hAnsi="Times New Roman" w:cs="Times New Roman" w:hint="eastAsia"/>
        </w:rPr>
        <w:t>国外研究者</w:t>
      </w:r>
      <w:r w:rsidRPr="002C6E01">
        <w:rPr>
          <w:rFonts w:ascii="Times New Roman" w:eastAsia="宋体" w:hAnsi="Times New Roman" w:cs="Times New Roman"/>
        </w:rPr>
        <w:fldChar w:fldCharType="begin"/>
      </w:r>
      <w:r w:rsidRPr="002C6E01">
        <w:rPr>
          <w:rFonts w:ascii="Times New Roman" w:eastAsia="宋体" w:hAnsi="Times New Roman" w:cs="Times New Roman"/>
        </w:rPr>
        <w:instrText xml:space="preserve"> ADDIN EN.CITE </w:instrText>
      </w:r>
      <w:r w:rsidRPr="002C6E01">
        <w:rPr>
          <w:rFonts w:ascii="Times New Roman" w:eastAsia="宋体" w:hAnsi="Times New Roman" w:cs="Times New Roman"/>
        </w:rPr>
        <w:fldChar w:fldCharType="begin"/>
      </w:r>
      <w:r w:rsidRPr="002C6E01">
        <w:rPr>
          <w:rFonts w:ascii="Times New Roman" w:eastAsia="宋体" w:hAnsi="Times New Roman" w:cs="Times New Roman"/>
        </w:rPr>
        <w:instrText xml:space="preserve"> ADDIN EN.CITE.DATA </w:instrText>
      </w:r>
      <w:r w:rsidRPr="002C6E01">
        <w:rPr>
          <w:rFonts w:ascii="Times New Roman" w:eastAsia="宋体" w:hAnsi="Times New Roman" w:cs="Times New Roman"/>
        </w:rPr>
        <w:fldChar w:fldCharType="end"/>
      </w:r>
      <w:r w:rsidRPr="002C6E01">
        <w:rPr>
          <w:rFonts w:ascii="Times New Roman" w:eastAsia="宋体" w:hAnsi="Times New Roman" w:cs="Times New Roman"/>
        </w:rPr>
        <w:fldChar w:fldCharType="separate"/>
      </w:r>
      <w:r w:rsidRPr="002C6E01">
        <w:rPr>
          <w:rFonts w:ascii="Times New Roman" w:eastAsia="宋体" w:hAnsi="Times New Roman" w:cs="Times New Roman"/>
        </w:rPr>
        <w:t>[</w:t>
      </w:r>
      <w:hyperlink w:anchor="_ENREF_29" w:tooltip="Park, 2016 #380" w:history="1">
        <w:r w:rsidRPr="002C6E01">
          <w:rPr>
            <w:rFonts w:ascii="Times New Roman" w:eastAsia="宋体" w:hAnsi="Times New Roman" w:cs="Times New Roman"/>
          </w:rPr>
          <w:t>29</w:t>
        </w:r>
      </w:hyperlink>
      <w:r w:rsidRPr="002C6E01">
        <w:rPr>
          <w:rFonts w:ascii="Times New Roman" w:eastAsia="宋体" w:hAnsi="Times New Roman" w:cs="Times New Roman"/>
        </w:rPr>
        <w:t>]</w:t>
      </w:r>
      <w:r w:rsidRPr="002C6E01">
        <w:rPr>
          <w:rFonts w:ascii="Times New Roman" w:eastAsia="宋体" w:hAnsi="Times New Roman" w:cs="Times New Roman"/>
        </w:rPr>
        <w:fldChar w:fldCharType="end"/>
      </w:r>
      <w:r w:rsidRPr="002C6E01">
        <w:rPr>
          <w:rFonts w:ascii="Times New Roman" w:eastAsia="宋体" w:hAnsi="Times New Roman" w:cs="Times New Roman" w:hint="eastAsia"/>
        </w:rPr>
        <w:t>受</w:t>
      </w:r>
      <w:r w:rsidRPr="002C6E01">
        <w:rPr>
          <w:rFonts w:ascii="Times New Roman" w:eastAsia="宋体" w:hAnsi="Times New Roman" w:cs="Times New Roman"/>
        </w:rPr>
        <w:t>仙人掌结构的启发，在</w:t>
      </w:r>
      <w:r w:rsidRPr="002C6E01">
        <w:rPr>
          <w:rFonts w:ascii="Times New Roman" w:eastAsia="宋体" w:hAnsi="Times New Roman" w:cs="Times New Roman" w:hint="eastAsia"/>
        </w:rPr>
        <w:t>商用</w:t>
      </w:r>
      <w:r w:rsidRPr="002C6E01">
        <w:rPr>
          <w:rFonts w:ascii="Times New Roman" w:eastAsia="宋体" w:hAnsi="Times New Roman" w:cs="Times New Roman"/>
        </w:rPr>
        <w:t>膜表面喷涂具有疏水纳米涂层，</w:t>
      </w:r>
      <w:r w:rsidRPr="002C6E01">
        <w:rPr>
          <w:rFonts w:ascii="Times New Roman" w:eastAsia="宋体" w:hAnsi="Times New Roman" w:cs="Times New Roman" w:hint="eastAsia"/>
        </w:rPr>
        <w:t>可在高湿度下通过疏水涂层限制膜的溶胀而提高机械性能、而低湿度时，疏水涂层表面的纳米裂纹收缩</w:t>
      </w:r>
      <w:r w:rsidRPr="002C6E01">
        <w:rPr>
          <w:rFonts w:ascii="Times New Roman" w:eastAsia="宋体" w:hAnsi="Times New Roman" w:cs="Times New Roman"/>
        </w:rPr>
        <w:t>实现高保水能力</w:t>
      </w:r>
      <w:r w:rsidRPr="002C6E01">
        <w:rPr>
          <w:rFonts w:ascii="Times New Roman" w:eastAsia="宋体" w:hAnsi="Times New Roman" w:cs="Times New Roman" w:hint="eastAsia"/>
        </w:rPr>
        <w:t>从而提高质子传导，初步实现了可感知外界湿度变化而调节</w:t>
      </w:r>
      <w:r w:rsidRPr="002C6E01">
        <w:rPr>
          <w:rFonts w:ascii="Times New Roman" w:eastAsia="宋体" w:hAnsi="Times New Roman" w:cs="Times New Roman" w:hint="eastAsia"/>
        </w:rPr>
        <w:t>PEM</w:t>
      </w:r>
      <w:r w:rsidRPr="002C6E01">
        <w:rPr>
          <w:rFonts w:ascii="Times New Roman" w:eastAsia="宋体" w:hAnsi="Times New Roman" w:cs="Times New Roman" w:hint="eastAsia"/>
        </w:rPr>
        <w:t>自身性能的目标</w:t>
      </w:r>
      <w:r w:rsidRPr="002C6E01">
        <w:rPr>
          <w:rFonts w:ascii="Times New Roman" w:eastAsia="宋体" w:hAnsi="Times New Roman" w:cs="Times New Roman"/>
        </w:rPr>
        <w:t>。</w:t>
      </w:r>
      <w:r w:rsidRPr="002C6E01">
        <w:rPr>
          <w:rFonts w:ascii="Times New Roman" w:eastAsia="宋体" w:hAnsi="Times New Roman" w:cs="Times New Roman" w:hint="eastAsia"/>
        </w:rPr>
        <w:t>这种通过异质膜的结构设计，实现了</w:t>
      </w:r>
      <w:r w:rsidRPr="002C6E01">
        <w:rPr>
          <w:rFonts w:ascii="Times New Roman" w:eastAsia="宋体" w:hAnsi="Times New Roman" w:cs="Times New Roman" w:hint="eastAsia"/>
        </w:rPr>
        <w:t>PEM</w:t>
      </w:r>
      <w:r w:rsidRPr="002C6E01">
        <w:rPr>
          <w:rFonts w:ascii="Times New Roman" w:eastAsia="宋体" w:hAnsi="Times New Roman" w:cs="Times New Roman"/>
        </w:rPr>
        <w:t>智能感知外界工况并</w:t>
      </w:r>
      <w:r w:rsidRPr="002C6E01">
        <w:rPr>
          <w:rFonts w:ascii="Times New Roman" w:eastAsia="宋体" w:hAnsi="Times New Roman" w:cs="Times New Roman" w:hint="eastAsia"/>
        </w:rPr>
        <w:t>自动地进行膜结构调整以保证</w:t>
      </w:r>
      <w:r w:rsidRPr="002C6E01">
        <w:rPr>
          <w:rFonts w:ascii="Times New Roman" w:eastAsia="宋体" w:hAnsi="Times New Roman" w:cs="Times New Roman"/>
        </w:rPr>
        <w:t>质子传导</w:t>
      </w:r>
      <w:r w:rsidRPr="002C6E01">
        <w:rPr>
          <w:rFonts w:ascii="Times New Roman" w:eastAsia="宋体" w:hAnsi="Times New Roman" w:cs="Times New Roman" w:hint="eastAsia"/>
        </w:rPr>
        <w:t>和机械性能，即“环境自适应异质</w:t>
      </w:r>
      <w:r w:rsidRPr="002C6E01">
        <w:rPr>
          <w:rFonts w:ascii="Times New Roman" w:eastAsia="宋体" w:hAnsi="Times New Roman" w:cs="Times New Roman"/>
        </w:rPr>
        <w:t>PEM</w:t>
      </w:r>
      <w:r w:rsidRPr="002C6E01">
        <w:rPr>
          <w:rFonts w:ascii="Times New Roman" w:eastAsia="宋体" w:hAnsi="Times New Roman" w:cs="Times New Roman" w:hint="eastAsia"/>
        </w:rPr>
        <w:t>”的研究思路具有广阔的发展前景。然而，要实现</w:t>
      </w:r>
      <w:r w:rsidRPr="002C6E01">
        <w:rPr>
          <w:rFonts w:hint="eastAsia"/>
        </w:rPr>
        <w:t>PEM</w:t>
      </w:r>
      <w:r w:rsidRPr="002C6E01">
        <w:rPr>
          <w:rFonts w:hint="eastAsia"/>
        </w:rPr>
        <w:t>性能对外界湿度条件可适应的目标，需存在以下两个方面的科学问题，第一、异质组分结构的优化及合理的界面结构设计以满足与离聚物基体的良好结合；第二、异质组分在</w:t>
      </w:r>
      <w:r w:rsidRPr="002C6E01">
        <w:rPr>
          <w:rFonts w:hint="eastAsia"/>
        </w:rPr>
        <w:t>PEM</w:t>
      </w:r>
      <w:r w:rsidRPr="002C6E01">
        <w:rPr>
          <w:rFonts w:hint="eastAsia"/>
        </w:rPr>
        <w:t>中需具备特定的有序结构，以构筑质子传递的长程有序的界面通道。</w:t>
      </w:r>
    </w:p>
    <w:p w:rsidR="002C6E01" w:rsidRPr="002C6E01" w:rsidRDefault="002C6E01" w:rsidP="002C6E01">
      <w:pPr>
        <w:autoSpaceDE w:val="0"/>
        <w:autoSpaceDN w:val="0"/>
        <w:adjustRightInd w:val="0"/>
        <w:spacing w:line="440" w:lineRule="exact"/>
        <w:ind w:firstLineChars="200" w:firstLine="480"/>
        <w:jc w:val="left"/>
        <w:rPr>
          <w:sz w:val="24"/>
          <w:szCs w:val="24"/>
        </w:rPr>
      </w:pPr>
      <w:r w:rsidRPr="002C6E01">
        <w:rPr>
          <w:rFonts w:hint="eastAsia"/>
          <w:sz w:val="24"/>
          <w:szCs w:val="24"/>
        </w:rPr>
        <w:t>在异质组分的界面结构设计方面，</w:t>
      </w:r>
      <w:r w:rsidRPr="002C6E01">
        <w:rPr>
          <w:rFonts w:hint="eastAsia"/>
          <w:b/>
          <w:sz w:val="24"/>
          <w:szCs w:val="24"/>
        </w:rPr>
        <w:t>采用不同维度、化学结构、表面性质的纳米填充剂与离聚物复合制备杂化膜，可充分利用</w:t>
      </w:r>
      <w:r w:rsidRPr="002C6E01">
        <w:rPr>
          <w:rFonts w:hint="eastAsia"/>
          <w:sz w:val="24"/>
          <w:szCs w:val="24"/>
        </w:rPr>
        <w:t>零维纳米颗粒</w:t>
      </w:r>
      <w:r w:rsidRPr="002C6E01">
        <w:rPr>
          <w:rFonts w:hint="eastAsia"/>
          <w:sz w:val="24"/>
          <w:szCs w:val="24"/>
        </w:rPr>
        <w:t>[</w:t>
      </w:r>
      <w:r w:rsidRPr="002C6E01">
        <w:rPr>
          <w:rFonts w:ascii="Arial" w:hAnsi="Arial" w:cs="Arial"/>
          <w:b/>
          <w:bCs/>
          <w:i/>
          <w:iCs/>
          <w:shd w:val="clear" w:color="auto" w:fill="FFFFFF"/>
        </w:rPr>
        <w:t>J. Mater. Chem. A </w:t>
      </w:r>
      <w:r w:rsidRPr="002C6E01">
        <w:rPr>
          <w:rFonts w:ascii="Arial" w:hAnsi="Arial" w:cs="Arial"/>
          <w:b/>
          <w:bCs/>
          <w:shd w:val="clear" w:color="auto" w:fill="FFFFFF"/>
        </w:rPr>
        <w:t>2015</w:t>
      </w:r>
      <w:r w:rsidRPr="002C6E01">
        <w:rPr>
          <w:rFonts w:ascii="Arial" w:hAnsi="Arial" w:cs="Arial"/>
          <w:shd w:val="clear" w:color="auto" w:fill="FFFFFF"/>
        </w:rPr>
        <w:t>, 3, 18546-18556.</w:t>
      </w:r>
      <w:r w:rsidRPr="002C6E01">
        <w:rPr>
          <w:sz w:val="24"/>
          <w:szCs w:val="24"/>
        </w:rPr>
        <w:t>]</w:t>
      </w:r>
      <w:r w:rsidRPr="002C6E01">
        <w:rPr>
          <w:rFonts w:hint="eastAsia"/>
          <w:sz w:val="24"/>
          <w:szCs w:val="24"/>
        </w:rPr>
        <w:t>、一维、二维</w:t>
      </w:r>
      <w:r w:rsidRPr="002C6E01">
        <w:rPr>
          <w:rFonts w:hint="eastAsia"/>
          <w:sz w:val="24"/>
          <w:szCs w:val="24"/>
        </w:rPr>
        <w:t>[</w:t>
      </w:r>
      <w:r w:rsidRPr="002C6E01">
        <w:rPr>
          <w:sz w:val="24"/>
          <w:szCs w:val="24"/>
        </w:rPr>
        <w:t>]</w:t>
      </w:r>
      <w:r w:rsidRPr="002C6E01">
        <w:rPr>
          <w:rFonts w:hint="eastAsia"/>
          <w:sz w:val="24"/>
          <w:szCs w:val="24"/>
        </w:rPr>
        <w:t>、</w:t>
      </w:r>
      <w:r w:rsidRPr="002C6E01">
        <w:rPr>
          <w:sz w:val="24"/>
          <w:szCs w:val="24"/>
        </w:rPr>
        <w:t xml:space="preserve"> </w:t>
      </w:r>
      <w:r w:rsidRPr="002C6E01">
        <w:rPr>
          <w:rFonts w:hint="eastAsia"/>
          <w:sz w:val="24"/>
          <w:szCs w:val="24"/>
        </w:rPr>
        <w:t>三维纳米材料与离聚物间的微纳米尺度的相互作用</w:t>
      </w:r>
      <w:r w:rsidRPr="002C6E01">
        <w:rPr>
          <w:rFonts w:hint="eastAsia"/>
          <w:sz w:val="24"/>
          <w:szCs w:val="24"/>
        </w:rPr>
        <w:t>[</w:t>
      </w:r>
      <w:r w:rsidRPr="002C6E01">
        <w:rPr>
          <w:sz w:val="24"/>
          <w:szCs w:val="24"/>
        </w:rPr>
        <w:t>]</w:t>
      </w:r>
      <w:r w:rsidRPr="002C6E01">
        <w:rPr>
          <w:rFonts w:hint="eastAsia"/>
          <w:sz w:val="24"/>
          <w:szCs w:val="24"/>
        </w:rPr>
        <w:t>，一定程度上操控界面微环境。然而，由于可宏量制备的表面接枝聚合方法的限制，对于不同维度的纳米添加剂进行界面改性方法，还停留在硅烷偶连有机小分子或不同种类离子基团的表面修饰等。很大程度上限制了纳米填充剂与离聚物基体间微纳尺度相互作用的优化，对于两相界面的微通道的调控程度比较有限。</w:t>
      </w:r>
    </w:p>
    <w:p w:rsidR="002C6E01" w:rsidRPr="002C6E01" w:rsidRDefault="002C6E01" w:rsidP="002C6E01">
      <w:pPr>
        <w:autoSpaceDE w:val="0"/>
        <w:autoSpaceDN w:val="0"/>
        <w:adjustRightInd w:val="0"/>
        <w:spacing w:line="440" w:lineRule="exact"/>
        <w:ind w:firstLineChars="200" w:firstLine="480"/>
        <w:jc w:val="left"/>
        <w:rPr>
          <w:rFonts w:hint="eastAsia"/>
          <w:sz w:val="24"/>
          <w:szCs w:val="24"/>
        </w:rPr>
      </w:pPr>
      <w:r w:rsidRPr="002C6E01">
        <w:rPr>
          <w:rFonts w:hint="eastAsia"/>
          <w:sz w:val="24"/>
          <w:szCs w:val="24"/>
        </w:rPr>
        <w:t>在异质</w:t>
      </w:r>
      <w:r w:rsidRPr="002C6E01">
        <w:rPr>
          <w:rFonts w:hint="eastAsia"/>
          <w:sz w:val="24"/>
          <w:szCs w:val="24"/>
        </w:rPr>
        <w:t>PEM</w:t>
      </w:r>
      <w:r w:rsidRPr="002C6E01">
        <w:rPr>
          <w:rFonts w:hint="eastAsia"/>
          <w:sz w:val="24"/>
          <w:szCs w:val="24"/>
        </w:rPr>
        <w:t>的有序结构构筑方面，近年来随着对</w:t>
      </w:r>
      <w:r w:rsidRPr="002C6E01">
        <w:rPr>
          <w:rFonts w:hint="eastAsia"/>
          <w:sz w:val="24"/>
          <w:szCs w:val="24"/>
        </w:rPr>
        <w:t>PEM</w:t>
      </w:r>
      <w:r w:rsidRPr="002C6E01">
        <w:rPr>
          <w:rFonts w:hint="eastAsia"/>
          <w:sz w:val="24"/>
          <w:szCs w:val="24"/>
        </w:rPr>
        <w:t>膜构效关系的深入研究，利用仿生结构筑有序</w:t>
      </w:r>
      <w:r w:rsidRPr="002C6E01">
        <w:rPr>
          <w:rFonts w:hint="eastAsia"/>
          <w:sz w:val="24"/>
          <w:szCs w:val="24"/>
        </w:rPr>
        <w:t>PEM</w:t>
      </w:r>
      <w:r w:rsidRPr="002C6E01">
        <w:rPr>
          <w:rFonts w:hint="eastAsia"/>
          <w:sz w:val="24"/>
          <w:szCs w:val="24"/>
        </w:rPr>
        <w:t>的开创性工作也相继被报道，如国内研究者报道以</w:t>
      </w:r>
      <w:r w:rsidRPr="002C6E01">
        <w:rPr>
          <w:rFonts w:hint="eastAsia"/>
          <w:sz w:val="24"/>
          <w:szCs w:val="24"/>
        </w:rPr>
        <w:t>GO/</w:t>
      </w:r>
      <w:r w:rsidRPr="002C6E01">
        <w:rPr>
          <w:sz w:val="24"/>
          <w:szCs w:val="24"/>
        </w:rPr>
        <w:t xml:space="preserve">polymer </w:t>
      </w:r>
      <w:r w:rsidRPr="002C6E01">
        <w:rPr>
          <w:rFonts w:hint="eastAsia"/>
          <w:sz w:val="24"/>
          <w:szCs w:val="24"/>
        </w:rPr>
        <w:t>、</w:t>
      </w:r>
      <w:r w:rsidRPr="002C6E01">
        <w:rPr>
          <w:sz w:val="24"/>
          <w:szCs w:val="24"/>
        </w:rPr>
        <w:t>PDDA/ZrP</w:t>
      </w:r>
      <w:r w:rsidRPr="002C6E01">
        <w:rPr>
          <w:rFonts w:hint="eastAsia"/>
          <w:sz w:val="24"/>
          <w:szCs w:val="24"/>
        </w:rPr>
        <w:t>[</w:t>
      </w:r>
      <w:r w:rsidRPr="002C6E01">
        <w:rPr>
          <w:sz w:val="24"/>
          <w:szCs w:val="24"/>
        </w:rPr>
        <w:t>]</w:t>
      </w:r>
      <w:r w:rsidRPr="002C6E01">
        <w:rPr>
          <w:rFonts w:hint="eastAsia"/>
          <w:sz w:val="24"/>
          <w:szCs w:val="24"/>
        </w:rPr>
        <w:t>等基元构筑仿珍珠层异质</w:t>
      </w:r>
      <w:r w:rsidRPr="002C6E01">
        <w:rPr>
          <w:rFonts w:hint="eastAsia"/>
          <w:sz w:val="24"/>
          <w:szCs w:val="24"/>
        </w:rPr>
        <w:t>PEM</w:t>
      </w:r>
      <w:r w:rsidRPr="002C6E01">
        <w:rPr>
          <w:rFonts w:hint="eastAsia"/>
          <w:sz w:val="24"/>
          <w:szCs w:val="24"/>
        </w:rPr>
        <w:t>膜等，但相关的深入研究还未展开。</w:t>
      </w:r>
    </w:p>
    <w:bookmarkEnd w:id="0"/>
    <w:p w:rsidR="00631D75" w:rsidRPr="002C6E01" w:rsidRDefault="00631D75" w:rsidP="002C6E01"/>
    <w:sectPr w:rsidR="00631D75" w:rsidRPr="002C6E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29BD" w:rsidRDefault="00C929BD" w:rsidP="0085132D">
      <w:r>
        <w:separator/>
      </w:r>
    </w:p>
  </w:endnote>
  <w:endnote w:type="continuationSeparator" w:id="0">
    <w:p w:rsidR="00C929BD" w:rsidRDefault="00C929BD" w:rsidP="0085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29BD" w:rsidRDefault="00C929BD" w:rsidP="0085132D">
      <w:r>
        <w:separator/>
      </w:r>
    </w:p>
  </w:footnote>
  <w:footnote w:type="continuationSeparator" w:id="0">
    <w:p w:rsidR="00C929BD" w:rsidRDefault="00C929BD" w:rsidP="008513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647"/>
    <w:rsid w:val="002C6E01"/>
    <w:rsid w:val="00631D75"/>
    <w:rsid w:val="00765D06"/>
    <w:rsid w:val="0085132D"/>
    <w:rsid w:val="00C929BD"/>
    <w:rsid w:val="00DD1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D78EB1A-EEE1-4A58-9173-3E143C28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132D"/>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132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5132D"/>
    <w:rPr>
      <w:sz w:val="18"/>
      <w:szCs w:val="18"/>
    </w:rPr>
  </w:style>
  <w:style w:type="paragraph" w:styleId="a5">
    <w:name w:val="footer"/>
    <w:basedOn w:val="a"/>
    <w:link w:val="a6"/>
    <w:uiPriority w:val="99"/>
    <w:unhideWhenUsed/>
    <w:rsid w:val="0085132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85132D"/>
    <w:rPr>
      <w:sz w:val="18"/>
      <w:szCs w:val="18"/>
    </w:rPr>
  </w:style>
  <w:style w:type="character" w:customStyle="1" w:styleId="HTML1">
    <w:name w:val="HTML 预设格式 字符1"/>
    <w:link w:val="HTML"/>
    <w:rsid w:val="0085132D"/>
    <w:rPr>
      <w:rFonts w:ascii="宋体" w:hAnsi="宋体" w:cs="宋体"/>
      <w:sz w:val="24"/>
      <w:szCs w:val="24"/>
    </w:rPr>
  </w:style>
  <w:style w:type="paragraph" w:styleId="HTML">
    <w:name w:val="HTML Preformatted"/>
    <w:basedOn w:val="a"/>
    <w:link w:val="HTML1"/>
    <w:rsid w:val="008513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Theme="minorEastAsia" w:hAnsi="宋体" w:cs="宋体"/>
      <w:sz w:val="24"/>
      <w:szCs w:val="24"/>
    </w:rPr>
  </w:style>
  <w:style w:type="character" w:customStyle="1" w:styleId="HTML0">
    <w:name w:val="HTML 预设格式 字符"/>
    <w:basedOn w:val="a0"/>
    <w:uiPriority w:val="99"/>
    <w:semiHidden/>
    <w:rsid w:val="0085132D"/>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陈芳</dc:creator>
  <cp:keywords/>
  <dc:description/>
  <cp:lastModifiedBy>陈芳</cp:lastModifiedBy>
  <cp:revision>3</cp:revision>
  <dcterms:created xsi:type="dcterms:W3CDTF">2020-01-30T13:57:00Z</dcterms:created>
  <dcterms:modified xsi:type="dcterms:W3CDTF">2020-01-31T06:48:00Z</dcterms:modified>
</cp:coreProperties>
</file>