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306"/>
      </w:tblGrid>
      <w:tr w:rsidR="00DB4995" w:rsidRPr="00DB4995" w:rsidTr="00DB4995">
        <w:trPr>
          <w:tblCellSpacing w:w="0" w:type="dxa"/>
          <w:jc w:val="center"/>
        </w:trPr>
        <w:tc>
          <w:tcPr>
            <w:tcW w:w="5000" w:type="pct"/>
            <w:shd w:val="clear" w:color="auto" w:fill="FFFFFF"/>
            <w:vAlign w:val="center"/>
            <w:hideMark/>
          </w:tcPr>
          <w:p w:rsidR="00DB4995" w:rsidRPr="00DB4995" w:rsidRDefault="00DB4995" w:rsidP="00DB4995">
            <w:pPr>
              <w:widowControl/>
              <w:shd w:val="clear" w:color="auto" w:fill="FFFFFF"/>
              <w:spacing w:line="375" w:lineRule="atLeast"/>
              <w:jc w:val="center"/>
              <w:rPr>
                <w:rFonts w:ascii="微软雅黑" w:eastAsia="微软雅黑" w:hAnsi="微软雅黑" w:cs="宋体"/>
                <w:color w:val="777777"/>
                <w:kern w:val="0"/>
                <w:sz w:val="23"/>
                <w:szCs w:val="23"/>
              </w:rPr>
            </w:pPr>
            <w:r w:rsidRPr="00DB4995">
              <w:rPr>
                <w:rFonts w:ascii="微软雅黑" w:eastAsia="微软雅黑" w:hAnsi="微软雅黑" w:cs="宋体" w:hint="eastAsia"/>
                <w:color w:val="777777"/>
                <w:kern w:val="0"/>
                <w:sz w:val="23"/>
                <w:szCs w:val="23"/>
              </w:rPr>
              <w:t>发布时间 : 2015-02-12   文章来源 : 宣传部   文章类型 : 原创</w:t>
            </w:r>
          </w:p>
        </w:tc>
      </w:tr>
      <w:tr w:rsidR="00DB4995" w:rsidRPr="00DB4995" w:rsidTr="00DB4995">
        <w:trPr>
          <w:tblCellSpacing w:w="0" w:type="dxa"/>
          <w:jc w:val="center"/>
        </w:trPr>
        <w:tc>
          <w:tcPr>
            <w:tcW w:w="5000" w:type="pct"/>
            <w:shd w:val="clear" w:color="auto" w:fill="FFFFFF"/>
            <w:vAlign w:val="center"/>
            <w:hideMark/>
          </w:tcPr>
          <w:p w:rsidR="00DB4995" w:rsidRPr="00DB4995" w:rsidRDefault="00DB4995" w:rsidP="00DB4995">
            <w:pPr>
              <w:widowControl/>
              <w:jc w:val="center"/>
              <w:rPr>
                <w:rFonts w:ascii="Times New Roman" w:eastAsia="微软雅黑" w:hAnsi="Times New Roman" w:cs="Times New Roman" w:hint="eastAsia"/>
                <w:kern w:val="0"/>
                <w:szCs w:val="21"/>
              </w:rPr>
            </w:pPr>
            <w:bookmarkStart w:id="0" w:name="_Toc306020031"/>
            <w:r w:rsidRPr="00DB4995">
              <w:rPr>
                <w:rFonts w:ascii="Calibri" w:eastAsia="黑体" w:hAnsi="Calibri" w:cs="Calibri"/>
                <w:kern w:val="0"/>
                <w:sz w:val="36"/>
                <w:szCs w:val="36"/>
              </w:rPr>
              <w:t> </w:t>
            </w:r>
            <w:bookmarkEnd w:id="0"/>
          </w:p>
          <w:p w:rsidR="00DB4995" w:rsidRPr="00DB4995" w:rsidRDefault="00DB4995" w:rsidP="00DB4995">
            <w:pPr>
              <w:widowControl/>
              <w:jc w:val="center"/>
              <w:rPr>
                <w:rFonts w:ascii="Times New Roman" w:eastAsia="微软雅黑" w:hAnsi="Times New Roman" w:cs="Times New Roman"/>
                <w:kern w:val="0"/>
                <w:szCs w:val="21"/>
              </w:rPr>
            </w:pPr>
            <w:r w:rsidRPr="00DB4995">
              <w:rPr>
                <w:rFonts w:ascii="黑体" w:eastAsia="黑体" w:hAnsi="黑体" w:cs="Times New Roman" w:hint="eastAsia"/>
                <w:kern w:val="0"/>
                <w:sz w:val="36"/>
                <w:szCs w:val="36"/>
              </w:rPr>
              <w:t>中国银监会令</w:t>
            </w:r>
          </w:p>
          <w:p w:rsidR="00DB4995" w:rsidRPr="00DB4995" w:rsidRDefault="00DB4995" w:rsidP="00DB4995">
            <w:pPr>
              <w:widowControl/>
              <w:jc w:val="center"/>
              <w:rPr>
                <w:rFonts w:ascii="Times New Roman" w:eastAsia="微软雅黑" w:hAnsi="Times New Roman" w:cs="Times New Roman"/>
                <w:kern w:val="0"/>
                <w:szCs w:val="21"/>
              </w:rPr>
            </w:pPr>
            <w:r w:rsidRPr="00DB4995">
              <w:rPr>
                <w:rFonts w:ascii="楷体_GB2312" w:eastAsia="楷体_GB2312" w:hAnsi="Times New Roman" w:cs="Times New Roman" w:hint="eastAsia"/>
                <w:kern w:val="0"/>
                <w:sz w:val="30"/>
                <w:szCs w:val="30"/>
              </w:rPr>
              <w:t>2015年第1号</w:t>
            </w:r>
          </w:p>
          <w:p w:rsidR="00DB4995" w:rsidRPr="00DB4995" w:rsidRDefault="00DB4995" w:rsidP="00DB4995">
            <w:pPr>
              <w:widowControl/>
              <w:spacing w:line="315" w:lineRule="atLeast"/>
              <w:ind w:firstLine="720"/>
              <w:rPr>
                <w:rFonts w:ascii="Times New Roman" w:eastAsia="微软雅黑" w:hAnsi="Times New Roman" w:cs="Times New Roman"/>
                <w:kern w:val="0"/>
                <w:szCs w:val="21"/>
              </w:rPr>
            </w:pPr>
            <w:r w:rsidRPr="00DB4995">
              <w:rPr>
                <w:rFonts w:ascii="仿宋_GB2312" w:eastAsia="仿宋_GB2312" w:hAnsi="Times New Roman" w:cs="Times New Roman" w:hint="eastAsia"/>
                <w:kern w:val="0"/>
                <w:sz w:val="36"/>
                <w:szCs w:val="36"/>
              </w:rPr>
              <w:t> </w:t>
            </w:r>
          </w:p>
          <w:p w:rsidR="00DB4995" w:rsidRPr="00DB4995" w:rsidRDefault="00DB4995" w:rsidP="00DB4995">
            <w:pPr>
              <w:widowControl/>
              <w:spacing w:line="315" w:lineRule="atLeast"/>
              <w:ind w:firstLine="600"/>
              <w:rPr>
                <w:rFonts w:ascii="Times New Roman" w:eastAsia="微软雅黑" w:hAnsi="Times New Roman" w:cs="Times New Roman"/>
                <w:kern w:val="0"/>
                <w:szCs w:val="21"/>
              </w:rPr>
            </w:pPr>
            <w:r w:rsidRPr="00DB4995">
              <w:rPr>
                <w:rFonts w:ascii="仿宋_GB2312" w:eastAsia="仿宋_GB2312" w:hAnsi="Times New Roman" w:cs="Times New Roman" w:hint="eastAsia"/>
                <w:kern w:val="0"/>
                <w:sz w:val="30"/>
                <w:szCs w:val="30"/>
              </w:rPr>
              <w:t>《</w:t>
            </w:r>
            <w:bookmarkStart w:id="1" w:name="_GoBack"/>
            <w:bookmarkEnd w:id="1"/>
            <w:r w:rsidRPr="00DB4995">
              <w:rPr>
                <w:rFonts w:ascii="仿宋_GB2312" w:eastAsia="仿宋_GB2312" w:hAnsi="Times New Roman" w:cs="Times New Roman" w:hint="eastAsia"/>
                <w:kern w:val="0"/>
                <w:sz w:val="30"/>
                <w:szCs w:val="30"/>
              </w:rPr>
              <w:t>商业银行杠杆率管理办法（修订）》已经中国银监会2014年第18次主席会议通过。现予公布，自2015年4月1日起施行。</w:t>
            </w:r>
          </w:p>
          <w:p w:rsidR="00DB4995" w:rsidRPr="00DB4995" w:rsidRDefault="00DB4995" w:rsidP="00DB4995">
            <w:pPr>
              <w:widowControl/>
              <w:spacing w:line="315" w:lineRule="atLeast"/>
              <w:ind w:firstLine="720"/>
              <w:jc w:val="center"/>
              <w:rPr>
                <w:rFonts w:ascii="Times New Roman" w:eastAsia="微软雅黑" w:hAnsi="Times New Roman" w:cs="Times New Roman"/>
                <w:kern w:val="0"/>
                <w:szCs w:val="21"/>
              </w:rPr>
            </w:pPr>
            <w:r w:rsidRPr="00DB4995">
              <w:rPr>
                <w:rFonts w:ascii="仿宋_GB2312" w:eastAsia="仿宋_GB2312" w:hAnsi="Times New Roman" w:cs="Times New Roman" w:hint="eastAsia"/>
                <w:kern w:val="0"/>
                <w:sz w:val="36"/>
                <w:szCs w:val="36"/>
              </w:rPr>
              <w:t> </w:t>
            </w:r>
          </w:p>
          <w:p w:rsidR="00DB4995" w:rsidRPr="00DB4995" w:rsidRDefault="00DB4995" w:rsidP="00DB4995">
            <w:pPr>
              <w:widowControl/>
              <w:spacing w:line="315" w:lineRule="atLeast"/>
              <w:ind w:firstLine="720"/>
              <w:jc w:val="center"/>
              <w:rPr>
                <w:rFonts w:ascii="Times New Roman" w:eastAsia="微软雅黑" w:hAnsi="Times New Roman" w:cs="Times New Roman"/>
                <w:kern w:val="0"/>
                <w:szCs w:val="21"/>
              </w:rPr>
            </w:pPr>
            <w:r w:rsidRPr="00DB4995">
              <w:rPr>
                <w:rFonts w:ascii="仿宋_GB2312" w:eastAsia="仿宋_GB2312" w:hAnsi="Times New Roman" w:cs="Times New Roman" w:hint="eastAsia"/>
                <w:kern w:val="0"/>
                <w:sz w:val="36"/>
                <w:szCs w:val="36"/>
              </w:rPr>
              <w:t> </w:t>
            </w:r>
          </w:p>
          <w:p w:rsidR="00DB4995" w:rsidRPr="00DB4995" w:rsidRDefault="00DB4995" w:rsidP="00DB4995">
            <w:pPr>
              <w:widowControl/>
              <w:spacing w:line="315" w:lineRule="atLeast"/>
              <w:ind w:firstLine="720"/>
              <w:jc w:val="center"/>
              <w:rPr>
                <w:rFonts w:ascii="Times New Roman" w:eastAsia="微软雅黑" w:hAnsi="Times New Roman" w:cs="Times New Roman"/>
                <w:kern w:val="0"/>
                <w:szCs w:val="21"/>
              </w:rPr>
            </w:pPr>
            <w:r w:rsidRPr="00DB4995">
              <w:rPr>
                <w:rFonts w:ascii="仿宋_GB2312" w:eastAsia="仿宋_GB2312" w:hAnsi="Times New Roman" w:cs="Times New Roman" w:hint="eastAsia"/>
                <w:kern w:val="0"/>
                <w:sz w:val="36"/>
                <w:szCs w:val="36"/>
              </w:rPr>
              <w:t>            </w:t>
            </w:r>
            <w:r w:rsidRPr="00DB4995">
              <w:rPr>
                <w:rFonts w:ascii="仿宋_GB2312" w:eastAsia="仿宋_GB2312" w:hAnsi="Times New Roman" w:cs="Times New Roman" w:hint="eastAsia"/>
                <w:kern w:val="0"/>
                <w:sz w:val="30"/>
                <w:szCs w:val="30"/>
              </w:rPr>
              <w:t>主席：尚福林</w:t>
            </w:r>
          </w:p>
          <w:p w:rsidR="00DB4995" w:rsidRPr="00DB4995" w:rsidRDefault="00DB4995" w:rsidP="00DB4995">
            <w:pPr>
              <w:widowControl/>
              <w:spacing w:line="315" w:lineRule="atLeast"/>
              <w:ind w:firstLine="600"/>
              <w:jc w:val="center"/>
              <w:rPr>
                <w:rFonts w:ascii="Times New Roman" w:eastAsia="微软雅黑" w:hAnsi="Times New Roman" w:cs="Times New Roman"/>
                <w:kern w:val="0"/>
                <w:szCs w:val="21"/>
              </w:rPr>
            </w:pPr>
            <w:r w:rsidRPr="00DB4995">
              <w:rPr>
                <w:rFonts w:ascii="仿宋_GB2312" w:eastAsia="仿宋_GB2312" w:hAnsi="Times New Roman" w:cs="Times New Roman" w:hint="eastAsia"/>
                <w:kern w:val="0"/>
                <w:sz w:val="30"/>
                <w:szCs w:val="30"/>
              </w:rPr>
              <w:t>                </w:t>
            </w:r>
            <w:r w:rsidRPr="00DB4995">
              <w:rPr>
                <w:rFonts w:ascii="仿宋_GB2312" w:eastAsia="仿宋_GB2312" w:hAnsi="Times New Roman" w:cs="Times New Roman" w:hint="eastAsia"/>
                <w:kern w:val="0"/>
                <w:sz w:val="30"/>
                <w:szCs w:val="30"/>
              </w:rPr>
              <w:t>2015年1月30日</w:t>
            </w:r>
          </w:p>
          <w:p w:rsidR="00DB4995" w:rsidRPr="00DB4995" w:rsidRDefault="00DB4995" w:rsidP="00DB4995">
            <w:pPr>
              <w:widowControl/>
              <w:jc w:val="center"/>
              <w:rPr>
                <w:rFonts w:ascii="Times New Roman" w:eastAsia="微软雅黑" w:hAnsi="Times New Roman" w:cs="Times New Roman"/>
                <w:kern w:val="0"/>
                <w:szCs w:val="21"/>
              </w:rPr>
            </w:pPr>
            <w:r w:rsidRPr="00DB4995">
              <w:rPr>
                <w:rFonts w:ascii="Calibri" w:eastAsia="黑体" w:hAnsi="Calibri" w:cs="Calibri"/>
                <w:b/>
                <w:bCs/>
                <w:kern w:val="0"/>
                <w:sz w:val="44"/>
                <w:szCs w:val="44"/>
              </w:rPr>
              <w:t> </w:t>
            </w:r>
          </w:p>
          <w:p w:rsidR="00DB4995" w:rsidRPr="00DB4995" w:rsidRDefault="00DB4995" w:rsidP="00DB4995">
            <w:pPr>
              <w:widowControl/>
              <w:jc w:val="center"/>
              <w:rPr>
                <w:rFonts w:ascii="Times New Roman" w:eastAsia="微软雅黑" w:hAnsi="Times New Roman" w:cs="Times New Roman"/>
                <w:kern w:val="0"/>
                <w:szCs w:val="21"/>
              </w:rPr>
            </w:pPr>
            <w:r w:rsidRPr="00DB4995">
              <w:rPr>
                <w:rFonts w:ascii="黑体" w:eastAsia="黑体" w:hAnsi="黑体" w:cs="Times New Roman" w:hint="eastAsia"/>
                <w:kern w:val="0"/>
                <w:sz w:val="36"/>
                <w:szCs w:val="36"/>
              </w:rPr>
              <w:t>商业银行杠杆率管理办法</w:t>
            </w:r>
          </w:p>
          <w:p w:rsidR="00DB4995" w:rsidRPr="00DB4995" w:rsidRDefault="00DB4995" w:rsidP="00DB4995">
            <w:pPr>
              <w:widowControl/>
              <w:jc w:val="center"/>
              <w:rPr>
                <w:rFonts w:ascii="Times New Roman" w:eastAsia="微软雅黑" w:hAnsi="Times New Roman" w:cs="Times New Roman"/>
                <w:kern w:val="0"/>
                <w:szCs w:val="21"/>
              </w:rPr>
            </w:pPr>
            <w:r w:rsidRPr="00DB4995">
              <w:rPr>
                <w:rFonts w:ascii="黑体" w:eastAsia="黑体" w:hAnsi="黑体" w:cs="Times New Roman" w:hint="eastAsia"/>
                <w:kern w:val="0"/>
                <w:sz w:val="36"/>
                <w:szCs w:val="36"/>
              </w:rPr>
              <w:t>（修订）</w:t>
            </w:r>
          </w:p>
          <w:p w:rsidR="00DB4995" w:rsidRPr="00DB4995" w:rsidRDefault="00DB4995" w:rsidP="00DB4995">
            <w:pPr>
              <w:widowControl/>
              <w:rPr>
                <w:rFonts w:ascii="Times New Roman" w:eastAsia="微软雅黑" w:hAnsi="Times New Roman" w:cs="Times New Roman"/>
                <w:kern w:val="0"/>
                <w:szCs w:val="21"/>
              </w:rPr>
            </w:pPr>
            <w:r w:rsidRPr="00DB4995">
              <w:rPr>
                <w:rFonts w:ascii="Times New Roman" w:eastAsia="微软雅黑" w:hAnsi="Times New Roman" w:cs="Times New Roman"/>
                <w:kern w:val="0"/>
                <w:sz w:val="30"/>
                <w:szCs w:val="30"/>
              </w:rPr>
              <w:t> </w:t>
            </w:r>
          </w:p>
          <w:p w:rsidR="00DB4995" w:rsidRPr="00DB4995" w:rsidRDefault="00DB4995" w:rsidP="00DB4995">
            <w:pPr>
              <w:widowControl/>
              <w:jc w:val="center"/>
              <w:rPr>
                <w:rFonts w:ascii="Calibri" w:eastAsia="微软雅黑" w:hAnsi="Calibri" w:cs="宋体"/>
                <w:kern w:val="0"/>
                <w:szCs w:val="21"/>
              </w:rPr>
            </w:pPr>
            <w:r w:rsidRPr="00DB4995">
              <w:rPr>
                <w:rFonts w:ascii="黑体" w:eastAsia="黑体" w:hAnsi="黑体" w:cs="宋体" w:hint="eastAsia"/>
                <w:kern w:val="0"/>
                <w:sz w:val="30"/>
                <w:szCs w:val="30"/>
              </w:rPr>
              <w:t>第一章 总则</w:t>
            </w:r>
          </w:p>
          <w:p w:rsidR="00DB4995" w:rsidRPr="00DB4995" w:rsidRDefault="00DB4995" w:rsidP="00DB4995">
            <w:pPr>
              <w:widowControl/>
              <w:rPr>
                <w:rFonts w:ascii="Calibri" w:eastAsia="微软雅黑" w:hAnsi="Calibri" w:cs="宋体"/>
                <w:kern w:val="0"/>
                <w:szCs w:val="21"/>
              </w:rPr>
            </w:pPr>
            <w:r w:rsidRPr="00DB4995">
              <w:rPr>
                <w:rFonts w:ascii="Calibri" w:eastAsia="黑体" w:hAnsi="Calibri" w:cs="Calibri"/>
                <w:kern w:val="0"/>
                <w:sz w:val="36"/>
                <w:szCs w:val="36"/>
              </w:rPr>
              <w:t> </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第一条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为有效控制商业银行杠杆化程度，维护商业银行安全、稳健运行，根据《中华人民共和国银行业监督管理法》和《中华人民共和国商业银行法》</w:t>
            </w:r>
            <w:r w:rsidRPr="00DB4995">
              <w:rPr>
                <w:rFonts w:ascii="Times New Roman" w:eastAsia="微软雅黑" w:hAnsi="Times New Roman" w:cs="Times New Roman"/>
                <w:kern w:val="0"/>
                <w:sz w:val="30"/>
                <w:szCs w:val="30"/>
              </w:rPr>
              <w:t>,</w:t>
            </w:r>
            <w:r w:rsidRPr="00DB4995">
              <w:rPr>
                <w:rFonts w:ascii="仿宋_GB2312" w:eastAsia="仿宋_GB2312" w:hAnsi="Calibri" w:cs="宋体" w:hint="eastAsia"/>
                <w:kern w:val="0"/>
                <w:sz w:val="30"/>
                <w:szCs w:val="30"/>
              </w:rPr>
              <w:t>制定本办法。</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lastRenderedPageBreak/>
              <w:t>第二条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本办法适用于在中华人民共和国境内依法设立的商业银行</w:t>
            </w:r>
            <w:r w:rsidRPr="00DB4995">
              <w:rPr>
                <w:rFonts w:ascii="Times New Roman" w:eastAsia="微软雅黑" w:hAnsi="Times New Roman" w:cs="Times New Roman"/>
                <w:kern w:val="0"/>
                <w:sz w:val="30"/>
                <w:szCs w:val="30"/>
              </w:rPr>
              <w:t>,</w:t>
            </w:r>
            <w:r w:rsidRPr="00DB4995">
              <w:rPr>
                <w:rFonts w:ascii="仿宋_GB2312" w:eastAsia="仿宋_GB2312" w:hAnsi="Calibri" w:cs="宋体" w:hint="eastAsia"/>
                <w:kern w:val="0"/>
                <w:sz w:val="30"/>
                <w:szCs w:val="30"/>
              </w:rPr>
              <w:t>包括中资银行、外商独资银行和中外合资银行。</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第三条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本办法所称杠杆率，是指商业银行持有的、符合有关规定的一级资本净额与商业银行调整后的表内外资产余额的比率。</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第四条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商业银行并表和未并表的杠杆率均不得低于</w:t>
            </w:r>
            <w:r w:rsidRPr="00DB4995">
              <w:rPr>
                <w:rFonts w:ascii="Times New Roman" w:eastAsia="微软雅黑" w:hAnsi="Times New Roman" w:cs="Times New Roman"/>
                <w:kern w:val="0"/>
                <w:sz w:val="30"/>
                <w:szCs w:val="30"/>
              </w:rPr>
              <w:t>4%</w:t>
            </w:r>
            <w:r w:rsidRPr="00DB4995">
              <w:rPr>
                <w:rFonts w:ascii="仿宋_GB2312" w:eastAsia="仿宋_GB2312" w:hAnsi="Calibri" w:cs="宋体" w:hint="eastAsia"/>
                <w:kern w:val="0"/>
                <w:sz w:val="30"/>
                <w:szCs w:val="30"/>
              </w:rPr>
              <w:t>。</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第五条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中国银监会及其派出机构按照本办法规定对商业银行的杠杆率及其管理状况实施监督检查。</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第六条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中国银监会对银行业的整体杠杆率情况进行持续监测，加强对银行业系统性风险的分析与防范。</w:t>
            </w:r>
          </w:p>
          <w:p w:rsidR="00DB4995" w:rsidRPr="00DB4995" w:rsidRDefault="00DB4995" w:rsidP="00DB4995">
            <w:pPr>
              <w:widowControl/>
              <w:rPr>
                <w:rFonts w:ascii="Calibri" w:eastAsia="微软雅黑" w:hAnsi="Calibri" w:cs="宋体"/>
                <w:kern w:val="0"/>
                <w:szCs w:val="21"/>
              </w:rPr>
            </w:pPr>
            <w:r w:rsidRPr="00DB4995">
              <w:rPr>
                <w:rFonts w:ascii="Times New Roman" w:eastAsia="微软雅黑" w:hAnsi="Times New Roman" w:cs="Times New Roman"/>
                <w:kern w:val="0"/>
                <w:sz w:val="36"/>
                <w:szCs w:val="36"/>
              </w:rPr>
              <w:t> </w:t>
            </w:r>
          </w:p>
          <w:p w:rsidR="00DB4995" w:rsidRPr="00DB4995" w:rsidRDefault="00DB4995" w:rsidP="00DB4995">
            <w:pPr>
              <w:widowControl/>
              <w:jc w:val="center"/>
              <w:rPr>
                <w:rFonts w:ascii="Calibri" w:eastAsia="微软雅黑" w:hAnsi="Calibri" w:cs="宋体"/>
                <w:kern w:val="0"/>
                <w:szCs w:val="21"/>
              </w:rPr>
            </w:pPr>
            <w:r w:rsidRPr="00DB4995">
              <w:rPr>
                <w:rFonts w:ascii="黑体" w:eastAsia="黑体" w:hAnsi="黑体" w:cs="宋体" w:hint="eastAsia"/>
                <w:kern w:val="0"/>
                <w:sz w:val="32"/>
                <w:szCs w:val="32"/>
              </w:rPr>
              <w:t>第二章</w:t>
            </w:r>
            <w:r w:rsidRPr="00DB4995">
              <w:rPr>
                <w:rFonts w:ascii="Times New Roman" w:eastAsia="微软雅黑" w:hAnsi="Times New Roman" w:cs="Times New Roman"/>
                <w:kern w:val="0"/>
                <w:sz w:val="32"/>
                <w:szCs w:val="32"/>
              </w:rPr>
              <w:t> </w:t>
            </w:r>
            <w:r w:rsidRPr="00DB4995">
              <w:rPr>
                <w:rFonts w:ascii="黑体" w:eastAsia="黑体" w:hAnsi="黑体" w:cs="宋体" w:hint="eastAsia"/>
                <w:kern w:val="0"/>
                <w:sz w:val="32"/>
                <w:szCs w:val="32"/>
              </w:rPr>
              <w:t>杠杆率的计算</w:t>
            </w:r>
          </w:p>
          <w:p w:rsidR="00DB4995" w:rsidRPr="00DB4995" w:rsidRDefault="00DB4995" w:rsidP="00DB4995">
            <w:pPr>
              <w:widowControl/>
              <w:rPr>
                <w:rFonts w:ascii="Calibri" w:eastAsia="微软雅黑" w:hAnsi="Calibri" w:cs="宋体"/>
                <w:kern w:val="0"/>
                <w:szCs w:val="21"/>
              </w:rPr>
            </w:pPr>
            <w:r w:rsidRPr="00DB4995">
              <w:rPr>
                <w:rFonts w:ascii="Times New Roman" w:eastAsia="微软雅黑" w:hAnsi="Times New Roman" w:cs="Times New Roman"/>
                <w:kern w:val="0"/>
                <w:sz w:val="36"/>
                <w:szCs w:val="36"/>
              </w:rPr>
              <w:t> </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第七条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商业银行杠杆率的计算公式为：</w:t>
            </w:r>
          </w:p>
          <w:p w:rsidR="00DB4995" w:rsidRPr="00DB4995" w:rsidRDefault="00DB4995" w:rsidP="00DB4995">
            <w:pPr>
              <w:widowControl/>
              <w:jc w:val="center"/>
              <w:rPr>
                <w:rFonts w:ascii="Times New Roman" w:eastAsia="微软雅黑" w:hAnsi="Times New Roman" w:cs="Times New Roman"/>
                <w:kern w:val="0"/>
                <w:szCs w:val="21"/>
              </w:rPr>
            </w:pPr>
            <w:r w:rsidRPr="00DB4995">
              <w:rPr>
                <w:rFonts w:ascii="Times New Roman" w:eastAsia="微软雅黑" w:hAnsi="Times New Roman" w:cs="Times New Roman"/>
                <w:kern w:val="0"/>
                <w:sz w:val="30"/>
                <w:szCs w:val="30"/>
              </w:rPr>
              <w:t>   </w:t>
            </w:r>
            <w:r w:rsidRPr="00DB4995">
              <w:rPr>
                <w:rFonts w:ascii="Times New Roman" w:eastAsia="微软雅黑" w:hAnsi="Times New Roman" w:cs="Times New Roman"/>
                <w:noProof/>
                <w:kern w:val="0"/>
                <w:sz w:val="30"/>
                <w:szCs w:val="30"/>
              </w:rPr>
              <w:drawing>
                <wp:inline distT="0" distB="0" distL="0" distR="0">
                  <wp:extent cx="2962275" cy="419100"/>
                  <wp:effectExtent l="0" t="0" r="9525" b="0"/>
                  <wp:docPr id="2" name="图片 2" descr="http://www.cbrc.gov.cn/chinese/docfiledir/images20150801/D9D9C53E6C184022A4A45ED774C91A8F.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brc.gov.cn/chinese/docfiledir/images20150801/D9D9C53E6C184022A4A45ED774C91A8F.files/image0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2275" cy="419100"/>
                          </a:xfrm>
                          <a:prstGeom prst="rect">
                            <a:avLst/>
                          </a:prstGeom>
                          <a:noFill/>
                          <a:ln>
                            <a:noFill/>
                          </a:ln>
                        </pic:spPr>
                      </pic:pic>
                    </a:graphicData>
                  </a:graphic>
                </wp:inline>
              </w:drawing>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第八条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一级资本和一级资本扣减项为《商业银行资本管理办法（试行）》所定义的一级资本和一级资本扣减项。</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第九条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调整后的表内外资产余额的计算公式如下所示：</w:t>
            </w:r>
          </w:p>
          <w:p w:rsidR="00DB4995" w:rsidRPr="00DB4995" w:rsidRDefault="00DB4995" w:rsidP="00DB4995">
            <w:pPr>
              <w:widowControl/>
              <w:rPr>
                <w:rFonts w:ascii="Calibri" w:eastAsia="微软雅黑" w:hAnsi="Calibri" w:cs="宋体"/>
                <w:kern w:val="0"/>
                <w:szCs w:val="21"/>
              </w:rPr>
            </w:pPr>
            <w:r w:rsidRPr="00DB4995">
              <w:rPr>
                <w:rFonts w:ascii="Times New Roman" w:eastAsia="微软雅黑" w:hAnsi="Times New Roman" w:cs="Times New Roman"/>
                <w:noProof/>
                <w:kern w:val="0"/>
                <w:sz w:val="30"/>
                <w:szCs w:val="30"/>
              </w:rPr>
              <w:drawing>
                <wp:inline distT="0" distB="0" distL="0" distR="0">
                  <wp:extent cx="5410200" cy="676275"/>
                  <wp:effectExtent l="0" t="0" r="0" b="9525"/>
                  <wp:docPr id="1" name="图片 1" descr="http://www.cbrc.gov.cn/chinese/docfiledir/images20150801/D9D9C53E6C184022A4A45ED774C91A8F.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brc.gov.cn/chinese/docfiledir/images20150801/D9D9C53E6C184022A4A45ED774C91A8F.files/image0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76275"/>
                          </a:xfrm>
                          <a:prstGeom prst="rect">
                            <a:avLst/>
                          </a:prstGeom>
                          <a:noFill/>
                          <a:ln>
                            <a:noFill/>
                          </a:ln>
                        </pic:spPr>
                      </pic:pic>
                    </a:graphicData>
                  </a:graphic>
                </wp:inline>
              </w:drawing>
            </w:r>
            <w:r w:rsidRPr="00DB4995">
              <w:rPr>
                <w:rFonts w:ascii="Times New Roman" w:eastAsia="微软雅黑" w:hAnsi="Times New Roman" w:cs="Times New Roman"/>
                <w:kern w:val="0"/>
                <w:sz w:val="30"/>
                <w:szCs w:val="30"/>
              </w:rPr>
              <w:t>    </w:t>
            </w:r>
            <w:r w:rsidRPr="00DB4995">
              <w:rPr>
                <w:rFonts w:ascii="仿宋_GB2312" w:eastAsia="仿宋_GB2312" w:hAnsi="Calibri" w:cs="宋体" w:hint="eastAsia"/>
                <w:kern w:val="0"/>
                <w:sz w:val="30"/>
                <w:szCs w:val="30"/>
              </w:rPr>
              <w:t>从调整后的表内外资产余额中扣除的一级资本扣减项不包括</w:t>
            </w:r>
            <w:r w:rsidRPr="00DB4995">
              <w:rPr>
                <w:rFonts w:ascii="仿宋_GB2312" w:eastAsia="仿宋_GB2312" w:hAnsi="Calibri" w:cs="宋体" w:hint="eastAsia"/>
                <w:kern w:val="0"/>
                <w:sz w:val="30"/>
                <w:szCs w:val="30"/>
              </w:rPr>
              <w:lastRenderedPageBreak/>
              <w:t>商业银行因自身信用风险变化导致其负债公允价值变化带来的未实现损益。</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第十条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商业银行在计算调整后的表内外资产余额时</w:t>
            </w:r>
            <w:r w:rsidRPr="00DB4995">
              <w:rPr>
                <w:rFonts w:ascii="Times New Roman" w:eastAsia="微软雅黑" w:hAnsi="Times New Roman" w:cs="Times New Roman"/>
                <w:kern w:val="0"/>
                <w:sz w:val="30"/>
                <w:szCs w:val="30"/>
              </w:rPr>
              <w:t>,</w:t>
            </w:r>
            <w:r w:rsidRPr="00DB4995">
              <w:rPr>
                <w:rFonts w:ascii="仿宋_GB2312" w:eastAsia="仿宋_GB2312" w:hAnsi="Calibri" w:cs="宋体" w:hint="eastAsia"/>
                <w:kern w:val="0"/>
                <w:sz w:val="30"/>
                <w:szCs w:val="30"/>
              </w:rPr>
              <w:t>除本办法另有规定外，不考虑抵质押品、保证和信用衍生产品等信用风险缓释因素。</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第十一条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调整后的表内资产余额为扣减针对相关资产计提的准备或会计估值调整后的表内资产余额。</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第十二条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衍生产品资产余额按照本办法附件</w:t>
            </w:r>
            <w:r w:rsidRPr="00DB4995">
              <w:rPr>
                <w:rFonts w:ascii="Times New Roman" w:eastAsia="微软雅黑" w:hAnsi="Times New Roman" w:cs="Times New Roman"/>
                <w:kern w:val="0"/>
                <w:sz w:val="30"/>
                <w:szCs w:val="30"/>
              </w:rPr>
              <w:t>1</w:t>
            </w:r>
            <w:r w:rsidRPr="00DB4995">
              <w:rPr>
                <w:rFonts w:ascii="仿宋_GB2312" w:eastAsia="仿宋_GB2312" w:hAnsi="Calibri" w:cs="宋体" w:hint="eastAsia"/>
                <w:kern w:val="0"/>
                <w:sz w:val="30"/>
                <w:szCs w:val="30"/>
              </w:rPr>
              <w:t>列示的方法计算。</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第十三条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证券融资交易资产余额按照本办法附件</w:t>
            </w:r>
            <w:r w:rsidRPr="00DB4995">
              <w:rPr>
                <w:rFonts w:ascii="Times New Roman" w:eastAsia="微软雅黑" w:hAnsi="Times New Roman" w:cs="Times New Roman"/>
                <w:kern w:val="0"/>
                <w:sz w:val="30"/>
                <w:szCs w:val="30"/>
              </w:rPr>
              <w:t>2</w:t>
            </w:r>
            <w:r w:rsidRPr="00DB4995">
              <w:rPr>
                <w:rFonts w:ascii="仿宋_GB2312" w:eastAsia="仿宋_GB2312" w:hAnsi="Calibri" w:cs="宋体" w:hint="eastAsia"/>
                <w:kern w:val="0"/>
                <w:sz w:val="30"/>
                <w:szCs w:val="30"/>
              </w:rPr>
              <w:t>列示的方法计算。</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第十四条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调整后的表外项目余额按照如下方式计算：</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（一）表外项目中可随时无条件撤销的贷款承诺按照</w:t>
            </w:r>
            <w:r w:rsidRPr="00DB4995">
              <w:rPr>
                <w:rFonts w:ascii="Times New Roman" w:eastAsia="微软雅黑" w:hAnsi="Times New Roman" w:cs="Times New Roman"/>
                <w:kern w:val="0"/>
                <w:sz w:val="30"/>
                <w:szCs w:val="30"/>
              </w:rPr>
              <w:t>10%</w:t>
            </w:r>
            <w:r w:rsidRPr="00DB4995">
              <w:rPr>
                <w:rFonts w:ascii="仿宋_GB2312" w:eastAsia="仿宋_GB2312" w:hAnsi="Calibri" w:cs="宋体" w:hint="eastAsia"/>
                <w:kern w:val="0"/>
                <w:sz w:val="30"/>
                <w:szCs w:val="30"/>
              </w:rPr>
              <w:t>的信用转换系数计算。</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（二）其他表外项目按照《商业银行资本管理办法（试行）》规定的信用风险权重法表外项目信用转换系数计算。</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可随时无条件撤销的贷款承诺是指商业银行在协议中书面列明，无需事先通知、有权随时撤销，或由于借款人的信用状况恶化，可以有效自动撤销，而且撤销不会引起纠纷、诉讼或给银行带来成本的承诺。</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lastRenderedPageBreak/>
              <w:t>第十五条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商业银行计算并表杠杆率时，并表范围和计算方式依据《商业银行资本管理办法（试行）》中关于计算并</w:t>
            </w:r>
            <w:proofErr w:type="gramStart"/>
            <w:r w:rsidRPr="00DB4995">
              <w:rPr>
                <w:rFonts w:ascii="仿宋_GB2312" w:eastAsia="仿宋_GB2312" w:hAnsi="Calibri" w:cs="宋体" w:hint="eastAsia"/>
                <w:kern w:val="0"/>
                <w:sz w:val="30"/>
                <w:szCs w:val="30"/>
              </w:rPr>
              <w:t>表资本</w:t>
            </w:r>
            <w:proofErr w:type="gramEnd"/>
            <w:r w:rsidRPr="00DB4995">
              <w:rPr>
                <w:rFonts w:ascii="仿宋_GB2312" w:eastAsia="仿宋_GB2312" w:hAnsi="Calibri" w:cs="宋体" w:hint="eastAsia"/>
                <w:kern w:val="0"/>
                <w:sz w:val="30"/>
                <w:szCs w:val="30"/>
              </w:rPr>
              <w:t>充足率的相关规定执行。</w:t>
            </w:r>
          </w:p>
          <w:p w:rsidR="00DB4995" w:rsidRPr="00DB4995" w:rsidRDefault="00DB4995" w:rsidP="00DB4995">
            <w:pPr>
              <w:widowControl/>
              <w:rPr>
                <w:rFonts w:ascii="Calibri" w:eastAsia="微软雅黑" w:hAnsi="Calibri" w:cs="宋体"/>
                <w:kern w:val="0"/>
                <w:szCs w:val="21"/>
              </w:rPr>
            </w:pPr>
            <w:r w:rsidRPr="00DB4995">
              <w:rPr>
                <w:rFonts w:ascii="Times New Roman" w:eastAsia="微软雅黑" w:hAnsi="Times New Roman" w:cs="Times New Roman"/>
                <w:kern w:val="0"/>
                <w:sz w:val="36"/>
                <w:szCs w:val="36"/>
              </w:rPr>
              <w:t> </w:t>
            </w:r>
          </w:p>
          <w:p w:rsidR="00DB4995" w:rsidRPr="00DB4995" w:rsidRDefault="00DB4995" w:rsidP="00DB4995">
            <w:pPr>
              <w:widowControl/>
              <w:jc w:val="center"/>
              <w:rPr>
                <w:rFonts w:ascii="Calibri" w:eastAsia="微软雅黑" w:hAnsi="Calibri" w:cs="宋体"/>
                <w:kern w:val="0"/>
                <w:szCs w:val="21"/>
              </w:rPr>
            </w:pPr>
            <w:r w:rsidRPr="00DB4995">
              <w:rPr>
                <w:rFonts w:ascii="黑体" w:eastAsia="黑体" w:hAnsi="黑体" w:cs="宋体" w:hint="eastAsia"/>
                <w:kern w:val="0"/>
                <w:sz w:val="32"/>
                <w:szCs w:val="32"/>
              </w:rPr>
              <w:t>第三章</w:t>
            </w:r>
            <w:r w:rsidRPr="00DB4995">
              <w:rPr>
                <w:rFonts w:ascii="Times New Roman" w:eastAsia="微软雅黑" w:hAnsi="Times New Roman" w:cs="Times New Roman"/>
                <w:kern w:val="0"/>
                <w:sz w:val="32"/>
                <w:szCs w:val="32"/>
              </w:rPr>
              <w:t> </w:t>
            </w:r>
            <w:r w:rsidRPr="00DB4995">
              <w:rPr>
                <w:rFonts w:ascii="黑体" w:eastAsia="黑体" w:hAnsi="黑体" w:cs="宋体" w:hint="eastAsia"/>
                <w:kern w:val="0"/>
                <w:sz w:val="32"/>
                <w:szCs w:val="32"/>
              </w:rPr>
              <w:t>披露要求</w:t>
            </w:r>
          </w:p>
          <w:p w:rsidR="00DB4995" w:rsidRPr="00DB4995" w:rsidRDefault="00DB4995" w:rsidP="00DB4995">
            <w:pPr>
              <w:widowControl/>
              <w:ind w:firstLine="720"/>
              <w:jc w:val="center"/>
              <w:rPr>
                <w:rFonts w:ascii="Calibri" w:eastAsia="微软雅黑" w:hAnsi="Calibri" w:cs="宋体"/>
                <w:kern w:val="0"/>
                <w:szCs w:val="21"/>
              </w:rPr>
            </w:pPr>
            <w:r w:rsidRPr="00DB4995">
              <w:rPr>
                <w:rFonts w:ascii="Times New Roman" w:eastAsia="微软雅黑" w:hAnsi="Times New Roman" w:cs="Times New Roman"/>
                <w:kern w:val="0"/>
                <w:sz w:val="36"/>
                <w:szCs w:val="36"/>
              </w:rPr>
              <w:t> </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第十六条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境内外已经上市的商业银行，以及未上市但上一年年</w:t>
            </w:r>
            <w:proofErr w:type="gramStart"/>
            <w:r w:rsidRPr="00DB4995">
              <w:rPr>
                <w:rFonts w:ascii="仿宋_GB2312" w:eastAsia="仿宋_GB2312" w:hAnsi="Calibri" w:cs="宋体" w:hint="eastAsia"/>
                <w:kern w:val="0"/>
                <w:sz w:val="30"/>
                <w:szCs w:val="30"/>
              </w:rPr>
              <w:t>末并表总</w:t>
            </w:r>
            <w:proofErr w:type="gramEnd"/>
            <w:r w:rsidRPr="00DB4995">
              <w:rPr>
                <w:rFonts w:ascii="仿宋_GB2312" w:eastAsia="仿宋_GB2312" w:hAnsi="Calibri" w:cs="宋体" w:hint="eastAsia"/>
                <w:kern w:val="0"/>
                <w:sz w:val="30"/>
                <w:szCs w:val="30"/>
              </w:rPr>
              <w:t>资产超过</w:t>
            </w:r>
            <w:r w:rsidRPr="00DB4995">
              <w:rPr>
                <w:rFonts w:ascii="Times New Roman" w:eastAsia="微软雅黑" w:hAnsi="Times New Roman" w:cs="Times New Roman"/>
                <w:kern w:val="0"/>
                <w:sz w:val="30"/>
                <w:szCs w:val="30"/>
              </w:rPr>
              <w:t>1</w:t>
            </w:r>
            <w:proofErr w:type="gramStart"/>
            <w:r w:rsidRPr="00DB4995">
              <w:rPr>
                <w:rFonts w:ascii="仿宋_GB2312" w:eastAsia="仿宋_GB2312" w:hAnsi="Calibri" w:cs="宋体" w:hint="eastAsia"/>
                <w:kern w:val="0"/>
                <w:sz w:val="30"/>
                <w:szCs w:val="30"/>
              </w:rPr>
              <w:t>万亿</w:t>
            </w:r>
            <w:proofErr w:type="gramEnd"/>
            <w:r w:rsidRPr="00DB4995">
              <w:rPr>
                <w:rFonts w:ascii="仿宋_GB2312" w:eastAsia="仿宋_GB2312" w:hAnsi="Calibri" w:cs="宋体" w:hint="eastAsia"/>
                <w:kern w:val="0"/>
                <w:sz w:val="30"/>
                <w:szCs w:val="30"/>
              </w:rPr>
              <w:t>元人民币的其他商业银行应当按照下列要求和本办法附件</w:t>
            </w:r>
            <w:r w:rsidRPr="00DB4995">
              <w:rPr>
                <w:rFonts w:ascii="Times New Roman" w:eastAsia="微软雅黑" w:hAnsi="Times New Roman" w:cs="Times New Roman"/>
                <w:kern w:val="0"/>
                <w:sz w:val="30"/>
                <w:szCs w:val="30"/>
              </w:rPr>
              <w:t>3</w:t>
            </w:r>
            <w:r w:rsidRPr="00DB4995">
              <w:rPr>
                <w:rFonts w:ascii="仿宋_GB2312" w:eastAsia="仿宋_GB2312" w:hAnsi="Calibri" w:cs="宋体" w:hint="eastAsia"/>
                <w:kern w:val="0"/>
                <w:sz w:val="30"/>
                <w:szCs w:val="30"/>
              </w:rPr>
              <w:t>的规定，披露杠杆</w:t>
            </w:r>
            <w:proofErr w:type="gramStart"/>
            <w:r w:rsidRPr="00DB4995">
              <w:rPr>
                <w:rFonts w:ascii="仿宋_GB2312" w:eastAsia="仿宋_GB2312" w:hAnsi="Calibri" w:cs="宋体" w:hint="eastAsia"/>
                <w:kern w:val="0"/>
                <w:sz w:val="30"/>
                <w:szCs w:val="30"/>
              </w:rPr>
              <w:t>率相关</w:t>
            </w:r>
            <w:proofErr w:type="gramEnd"/>
            <w:r w:rsidRPr="00DB4995">
              <w:rPr>
                <w:rFonts w:ascii="仿宋_GB2312" w:eastAsia="仿宋_GB2312" w:hAnsi="Calibri" w:cs="宋体" w:hint="eastAsia"/>
                <w:kern w:val="0"/>
                <w:sz w:val="30"/>
                <w:szCs w:val="30"/>
              </w:rPr>
              <w:t>信息：</w:t>
            </w:r>
          </w:p>
          <w:p w:rsidR="00DB4995" w:rsidRPr="00DB4995" w:rsidRDefault="00DB4995" w:rsidP="00DB4995">
            <w:pPr>
              <w:widowControl/>
              <w:ind w:firstLine="450"/>
              <w:rPr>
                <w:rFonts w:ascii="Calibri" w:eastAsia="微软雅黑" w:hAnsi="Calibri" w:cs="宋体"/>
                <w:kern w:val="0"/>
                <w:szCs w:val="21"/>
              </w:rPr>
            </w:pPr>
            <w:r w:rsidRPr="00DB4995">
              <w:rPr>
                <w:rFonts w:ascii="仿宋_GB2312" w:eastAsia="仿宋_GB2312" w:hAnsi="Calibri" w:cs="宋体" w:hint="eastAsia"/>
                <w:kern w:val="0"/>
                <w:sz w:val="30"/>
                <w:szCs w:val="30"/>
              </w:rPr>
              <w:t>（一）在半年度和年度财务报告中按照本办法附件</w:t>
            </w:r>
            <w:r w:rsidRPr="00DB4995">
              <w:rPr>
                <w:rFonts w:ascii="Times New Roman" w:eastAsia="微软雅黑" w:hAnsi="Times New Roman" w:cs="Times New Roman"/>
                <w:kern w:val="0"/>
                <w:sz w:val="30"/>
                <w:szCs w:val="30"/>
              </w:rPr>
              <w:t>3</w:t>
            </w:r>
            <w:r w:rsidRPr="00DB4995">
              <w:rPr>
                <w:rFonts w:ascii="仿宋_GB2312" w:eastAsia="仿宋_GB2312" w:hAnsi="Calibri" w:cs="宋体" w:hint="eastAsia"/>
                <w:kern w:val="0"/>
                <w:sz w:val="30"/>
                <w:szCs w:val="30"/>
              </w:rPr>
              <w:t>的模板</w:t>
            </w:r>
            <w:proofErr w:type="gramStart"/>
            <w:r w:rsidRPr="00DB4995">
              <w:rPr>
                <w:rFonts w:ascii="仿宋_GB2312" w:eastAsia="仿宋_GB2312" w:hAnsi="Calibri" w:cs="宋体" w:hint="eastAsia"/>
                <w:kern w:val="0"/>
                <w:sz w:val="30"/>
                <w:szCs w:val="30"/>
              </w:rPr>
              <w:t>一</w:t>
            </w:r>
            <w:proofErr w:type="gramEnd"/>
            <w:r w:rsidRPr="00DB4995">
              <w:rPr>
                <w:rFonts w:ascii="仿宋_GB2312" w:eastAsia="仿宋_GB2312" w:hAnsi="Calibri" w:cs="宋体" w:hint="eastAsia"/>
                <w:kern w:val="0"/>
                <w:sz w:val="30"/>
                <w:szCs w:val="30"/>
              </w:rPr>
              <w:t>和模板二披露杠杆</w:t>
            </w:r>
            <w:proofErr w:type="gramStart"/>
            <w:r w:rsidRPr="00DB4995">
              <w:rPr>
                <w:rFonts w:ascii="仿宋_GB2312" w:eastAsia="仿宋_GB2312" w:hAnsi="Calibri" w:cs="宋体" w:hint="eastAsia"/>
                <w:kern w:val="0"/>
                <w:sz w:val="30"/>
                <w:szCs w:val="30"/>
              </w:rPr>
              <w:t>率相关</w:t>
            </w:r>
            <w:proofErr w:type="gramEnd"/>
            <w:r w:rsidRPr="00DB4995">
              <w:rPr>
                <w:rFonts w:ascii="仿宋_GB2312" w:eastAsia="仿宋_GB2312" w:hAnsi="Calibri" w:cs="宋体" w:hint="eastAsia"/>
                <w:kern w:val="0"/>
                <w:sz w:val="30"/>
                <w:szCs w:val="30"/>
              </w:rPr>
              <w:t>信息，或在半年度和年度财务报告中提供查阅上述信息的网址链接。</w:t>
            </w:r>
          </w:p>
          <w:p w:rsidR="00DB4995" w:rsidRPr="00DB4995" w:rsidRDefault="00DB4995" w:rsidP="00DB4995">
            <w:pPr>
              <w:widowControl/>
              <w:ind w:firstLine="450"/>
              <w:rPr>
                <w:rFonts w:ascii="Calibri" w:eastAsia="微软雅黑" w:hAnsi="Calibri" w:cs="宋体"/>
                <w:kern w:val="0"/>
                <w:szCs w:val="21"/>
              </w:rPr>
            </w:pPr>
            <w:r w:rsidRPr="00DB4995">
              <w:rPr>
                <w:rFonts w:ascii="仿宋_GB2312" w:eastAsia="仿宋_GB2312" w:hAnsi="Calibri" w:cs="宋体" w:hint="eastAsia"/>
                <w:kern w:val="0"/>
                <w:sz w:val="30"/>
                <w:szCs w:val="30"/>
              </w:rPr>
              <w:t>（二）在季度财务报告中至少披露杠杆率水平、一级资本净额和调整后的表内外资产余额等信息。除披露当期数据外，商业银行应当同时披露前</w:t>
            </w:r>
            <w:r w:rsidRPr="00DB4995">
              <w:rPr>
                <w:rFonts w:ascii="Times New Roman" w:eastAsia="微软雅黑" w:hAnsi="Times New Roman" w:cs="Times New Roman"/>
                <w:kern w:val="0"/>
                <w:sz w:val="30"/>
                <w:szCs w:val="30"/>
              </w:rPr>
              <w:t>3</w:t>
            </w:r>
            <w:r w:rsidRPr="00DB4995">
              <w:rPr>
                <w:rFonts w:ascii="仿宋_GB2312" w:eastAsia="仿宋_GB2312" w:hAnsi="Calibri" w:cs="宋体" w:hint="eastAsia"/>
                <w:kern w:val="0"/>
                <w:sz w:val="30"/>
                <w:szCs w:val="30"/>
              </w:rPr>
              <w:t>个季度的数据。</w:t>
            </w:r>
          </w:p>
          <w:p w:rsidR="00DB4995" w:rsidRPr="00DB4995" w:rsidRDefault="00DB4995" w:rsidP="00DB4995">
            <w:pPr>
              <w:widowControl/>
              <w:ind w:firstLine="450"/>
              <w:rPr>
                <w:rFonts w:ascii="Calibri" w:eastAsia="微软雅黑" w:hAnsi="Calibri" w:cs="宋体"/>
                <w:kern w:val="0"/>
                <w:szCs w:val="21"/>
              </w:rPr>
            </w:pPr>
            <w:r w:rsidRPr="00DB4995">
              <w:rPr>
                <w:rFonts w:ascii="仿宋_GB2312" w:eastAsia="仿宋_GB2312" w:hAnsi="Calibri" w:cs="宋体" w:hint="eastAsia"/>
                <w:kern w:val="0"/>
                <w:sz w:val="30"/>
                <w:szCs w:val="30"/>
              </w:rPr>
              <w:t>（三）对杠杆率的各期变化、影响杠杆率变化的主要因素、相关资产负债表项目与本办法规定的杠杆</w:t>
            </w:r>
            <w:proofErr w:type="gramStart"/>
            <w:r w:rsidRPr="00DB4995">
              <w:rPr>
                <w:rFonts w:ascii="仿宋_GB2312" w:eastAsia="仿宋_GB2312" w:hAnsi="Calibri" w:cs="宋体" w:hint="eastAsia"/>
                <w:kern w:val="0"/>
                <w:sz w:val="30"/>
                <w:szCs w:val="30"/>
              </w:rPr>
              <w:t>率相关</w:t>
            </w:r>
            <w:proofErr w:type="gramEnd"/>
            <w:r w:rsidRPr="00DB4995">
              <w:rPr>
                <w:rFonts w:ascii="仿宋_GB2312" w:eastAsia="仿宋_GB2312" w:hAnsi="Calibri" w:cs="宋体" w:hint="eastAsia"/>
                <w:kern w:val="0"/>
                <w:sz w:val="30"/>
                <w:szCs w:val="30"/>
              </w:rPr>
              <w:t>项目之间的差异等做出说明。</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第十七条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除第十六条规定的商业银行外，其他商业银行应当至少按照发布财务报告的频率，在财务报告中或银行网站披露杠杆率信息。</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lastRenderedPageBreak/>
              <w:t>其他商业银行应当至少披露杠杆率水平、一级资本净额和调整后的表内外资产余额等信息。</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商业银行因特殊原因不能按时披露的，应当至少提前十五个工作日向银监会或其派出机构申请延迟。</w:t>
            </w:r>
          </w:p>
          <w:p w:rsidR="00DB4995" w:rsidRPr="00DB4995" w:rsidRDefault="00DB4995" w:rsidP="00DB4995">
            <w:pPr>
              <w:widowControl/>
              <w:ind w:firstLine="720"/>
              <w:rPr>
                <w:rFonts w:ascii="Calibri" w:eastAsia="微软雅黑" w:hAnsi="Calibri" w:cs="宋体"/>
                <w:kern w:val="0"/>
                <w:szCs w:val="21"/>
              </w:rPr>
            </w:pPr>
            <w:r w:rsidRPr="00DB4995">
              <w:rPr>
                <w:rFonts w:ascii="Times New Roman" w:eastAsia="微软雅黑" w:hAnsi="Times New Roman" w:cs="Times New Roman"/>
                <w:kern w:val="0"/>
                <w:sz w:val="36"/>
                <w:szCs w:val="36"/>
              </w:rPr>
              <w:t> </w:t>
            </w:r>
          </w:p>
          <w:p w:rsidR="00DB4995" w:rsidRPr="00DB4995" w:rsidRDefault="00DB4995" w:rsidP="00DB4995">
            <w:pPr>
              <w:widowControl/>
              <w:jc w:val="center"/>
              <w:rPr>
                <w:rFonts w:ascii="Calibri" w:eastAsia="微软雅黑" w:hAnsi="Calibri" w:cs="宋体"/>
                <w:kern w:val="0"/>
                <w:szCs w:val="21"/>
              </w:rPr>
            </w:pPr>
            <w:r w:rsidRPr="00DB4995">
              <w:rPr>
                <w:rFonts w:ascii="黑体" w:eastAsia="黑体" w:hAnsi="黑体" w:cs="宋体" w:hint="eastAsia"/>
                <w:kern w:val="0"/>
                <w:sz w:val="32"/>
                <w:szCs w:val="32"/>
              </w:rPr>
              <w:t>第四章</w:t>
            </w:r>
            <w:r w:rsidRPr="00DB4995">
              <w:rPr>
                <w:rFonts w:ascii="Times New Roman" w:eastAsia="微软雅黑" w:hAnsi="Times New Roman" w:cs="Times New Roman"/>
                <w:kern w:val="0"/>
                <w:sz w:val="32"/>
                <w:szCs w:val="32"/>
              </w:rPr>
              <w:t> </w:t>
            </w:r>
            <w:r w:rsidRPr="00DB4995">
              <w:rPr>
                <w:rFonts w:ascii="黑体" w:eastAsia="黑体" w:hAnsi="黑体" w:cs="宋体" w:hint="eastAsia"/>
                <w:kern w:val="0"/>
                <w:sz w:val="32"/>
                <w:szCs w:val="32"/>
              </w:rPr>
              <w:t>杠杆率的监督管理</w:t>
            </w:r>
          </w:p>
          <w:p w:rsidR="00DB4995" w:rsidRPr="00DB4995" w:rsidRDefault="00DB4995" w:rsidP="00DB4995">
            <w:pPr>
              <w:widowControl/>
              <w:rPr>
                <w:rFonts w:ascii="Calibri" w:eastAsia="微软雅黑" w:hAnsi="Calibri" w:cs="宋体"/>
                <w:kern w:val="0"/>
                <w:szCs w:val="21"/>
              </w:rPr>
            </w:pPr>
            <w:r w:rsidRPr="00DB4995">
              <w:rPr>
                <w:rFonts w:ascii="Times New Roman" w:eastAsia="微软雅黑" w:hAnsi="Times New Roman" w:cs="Times New Roman"/>
                <w:kern w:val="0"/>
                <w:sz w:val="36"/>
                <w:szCs w:val="36"/>
              </w:rPr>
              <w:t> </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第十八条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商业银行董事会承担杠杆率管理的最终责任，商业银行高级管理</w:t>
            </w:r>
            <w:proofErr w:type="gramStart"/>
            <w:r w:rsidRPr="00DB4995">
              <w:rPr>
                <w:rFonts w:ascii="仿宋_GB2312" w:eastAsia="仿宋_GB2312" w:hAnsi="Calibri" w:cs="宋体" w:hint="eastAsia"/>
                <w:kern w:val="0"/>
                <w:sz w:val="30"/>
                <w:szCs w:val="30"/>
              </w:rPr>
              <w:t>层负责</w:t>
            </w:r>
            <w:proofErr w:type="gramEnd"/>
            <w:r w:rsidRPr="00DB4995">
              <w:rPr>
                <w:rFonts w:ascii="仿宋_GB2312" w:eastAsia="仿宋_GB2312" w:hAnsi="Calibri" w:cs="宋体" w:hint="eastAsia"/>
                <w:kern w:val="0"/>
                <w:sz w:val="30"/>
                <w:szCs w:val="30"/>
              </w:rPr>
              <w:t>杠杆率管理的实施工作。</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第十九条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商业银行应当设定不低于最低监管要求的目标杠杆率，有效控制杠杆化程度。</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第二十条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商业银行应当按照中国银监会及其派出机构的要求定期报送杠杆率报表。</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并表杠杆率报表每半年报送一次，未并表杠杆率报表每季度报送一次。</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第二十一条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对于杠杆率低于最低监管要求的商业银行，中国银监会及其派出机构可以采取以下纠正措施：</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（一）要求商业银行限期补充一级资本；</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（二）要求商业银行控制表内外资产增长速度；</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（三）要求商业银行降低表内外资产规模。</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对于逾期未改正，或者其行为严重危及商业银行稳健运行、损害存款人和其他客户的合法权益的，中国银监会及其派出机构</w:t>
            </w:r>
            <w:r w:rsidRPr="00DB4995">
              <w:rPr>
                <w:rFonts w:ascii="仿宋_GB2312" w:eastAsia="仿宋_GB2312" w:hAnsi="Calibri" w:cs="宋体" w:hint="eastAsia"/>
                <w:kern w:val="0"/>
                <w:sz w:val="30"/>
                <w:szCs w:val="30"/>
              </w:rPr>
              <w:lastRenderedPageBreak/>
              <w:t>可以根据《中华人民共和国银行业监督管理法》的规定，区别情形，采取下列措施：</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（一）责令暂停部分业务、停止批准开办新业务；</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（二）限制分配红利和其他收入；</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（三）停止批准增设分支机构；</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（四）责令控股股东转让股权或者限制有关股东的权利；</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（五）责令调整董事、高级管理人员或者限制其权利；</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（六）法律规定的其他措施。</w:t>
            </w:r>
          </w:p>
          <w:p w:rsidR="00DB4995" w:rsidRPr="00DB4995" w:rsidRDefault="00DB4995" w:rsidP="00DB4995">
            <w:pPr>
              <w:widowControl/>
              <w:ind w:firstLine="600"/>
              <w:rPr>
                <w:rFonts w:ascii="Calibri" w:eastAsia="微软雅黑" w:hAnsi="Calibri" w:cs="宋体"/>
                <w:kern w:val="0"/>
                <w:szCs w:val="21"/>
              </w:rPr>
            </w:pPr>
            <w:r w:rsidRPr="00DB4995">
              <w:rPr>
                <w:rFonts w:ascii="仿宋_GB2312" w:eastAsia="仿宋_GB2312" w:hAnsi="Calibri" w:cs="宋体" w:hint="eastAsia"/>
                <w:kern w:val="0"/>
                <w:sz w:val="30"/>
                <w:szCs w:val="30"/>
              </w:rPr>
              <w:t>除上述措施外，还可以依法对商业银行给予行政处罚。</w:t>
            </w:r>
          </w:p>
          <w:p w:rsidR="00DB4995" w:rsidRPr="00DB4995" w:rsidRDefault="00DB4995" w:rsidP="00DB4995">
            <w:pPr>
              <w:widowControl/>
              <w:ind w:firstLine="720"/>
              <w:rPr>
                <w:rFonts w:ascii="Calibri" w:eastAsia="微软雅黑" w:hAnsi="Calibri" w:cs="宋体"/>
                <w:kern w:val="0"/>
                <w:szCs w:val="21"/>
              </w:rPr>
            </w:pPr>
            <w:r w:rsidRPr="00DB4995">
              <w:rPr>
                <w:rFonts w:ascii="Times New Roman" w:eastAsia="微软雅黑" w:hAnsi="Times New Roman" w:cs="Times New Roman"/>
                <w:kern w:val="0"/>
                <w:sz w:val="36"/>
                <w:szCs w:val="36"/>
              </w:rPr>
              <w:t> </w:t>
            </w:r>
          </w:p>
          <w:p w:rsidR="00DB4995" w:rsidRPr="00DB4995" w:rsidRDefault="00DB4995" w:rsidP="00DB4995">
            <w:pPr>
              <w:widowControl/>
              <w:jc w:val="center"/>
              <w:rPr>
                <w:rFonts w:ascii="Calibri" w:eastAsia="微软雅黑" w:hAnsi="Calibri" w:cs="宋体"/>
                <w:kern w:val="0"/>
                <w:szCs w:val="21"/>
              </w:rPr>
            </w:pPr>
            <w:r w:rsidRPr="00DB4995">
              <w:rPr>
                <w:rFonts w:ascii="黑体" w:eastAsia="黑体" w:hAnsi="黑体" w:cs="宋体" w:hint="eastAsia"/>
                <w:kern w:val="0"/>
                <w:sz w:val="32"/>
                <w:szCs w:val="32"/>
              </w:rPr>
              <w:t>第五章</w:t>
            </w:r>
            <w:r w:rsidRPr="00DB4995">
              <w:rPr>
                <w:rFonts w:ascii="Times New Roman" w:eastAsia="微软雅黑" w:hAnsi="Times New Roman" w:cs="Times New Roman"/>
                <w:kern w:val="0"/>
                <w:sz w:val="32"/>
                <w:szCs w:val="32"/>
              </w:rPr>
              <w:t> </w:t>
            </w:r>
            <w:r w:rsidRPr="00DB4995">
              <w:rPr>
                <w:rFonts w:ascii="黑体" w:eastAsia="黑体" w:hAnsi="黑体" w:cs="宋体" w:hint="eastAsia"/>
                <w:kern w:val="0"/>
                <w:sz w:val="32"/>
                <w:szCs w:val="32"/>
              </w:rPr>
              <w:t>附则</w:t>
            </w:r>
          </w:p>
          <w:p w:rsidR="00DB4995" w:rsidRPr="00DB4995" w:rsidRDefault="00DB4995" w:rsidP="00DB4995">
            <w:pPr>
              <w:widowControl/>
              <w:rPr>
                <w:rFonts w:ascii="Calibri" w:eastAsia="微软雅黑" w:hAnsi="Calibri" w:cs="宋体"/>
                <w:kern w:val="0"/>
                <w:szCs w:val="21"/>
              </w:rPr>
            </w:pPr>
            <w:r w:rsidRPr="00DB4995">
              <w:rPr>
                <w:rFonts w:ascii="Times New Roman" w:eastAsia="微软雅黑" w:hAnsi="Times New Roman" w:cs="Times New Roman"/>
                <w:b/>
                <w:bCs/>
                <w:kern w:val="0"/>
                <w:sz w:val="36"/>
                <w:szCs w:val="36"/>
              </w:rPr>
              <w:t> </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第二十二条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政策性银行、金融资产管理公司、农村合作银行、农村信用社、村镇银行、企业集团财务公司、金融租赁公司、汽车金融公司和消费金融公司参照本办法执行。</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第二十三条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系统重要性银行应当自本办法实施之日</w:t>
            </w:r>
            <w:proofErr w:type="gramStart"/>
            <w:r w:rsidRPr="00DB4995">
              <w:rPr>
                <w:rFonts w:ascii="仿宋_GB2312" w:eastAsia="仿宋_GB2312" w:hAnsi="Calibri" w:cs="宋体" w:hint="eastAsia"/>
                <w:kern w:val="0"/>
                <w:sz w:val="30"/>
                <w:szCs w:val="30"/>
              </w:rPr>
              <w:t>起达到</w:t>
            </w:r>
            <w:proofErr w:type="gramEnd"/>
            <w:r w:rsidRPr="00DB4995">
              <w:rPr>
                <w:rFonts w:ascii="仿宋_GB2312" w:eastAsia="仿宋_GB2312" w:hAnsi="Calibri" w:cs="宋体" w:hint="eastAsia"/>
                <w:kern w:val="0"/>
                <w:sz w:val="30"/>
                <w:szCs w:val="30"/>
              </w:rPr>
              <w:t>本办法规定的最低监管要求，其他商业银行应当于</w:t>
            </w:r>
            <w:r w:rsidRPr="00DB4995">
              <w:rPr>
                <w:rFonts w:ascii="Times New Roman" w:eastAsia="微软雅黑" w:hAnsi="Times New Roman" w:cs="Times New Roman"/>
                <w:kern w:val="0"/>
                <w:sz w:val="30"/>
                <w:szCs w:val="30"/>
              </w:rPr>
              <w:t>2016</w:t>
            </w:r>
            <w:r w:rsidRPr="00DB4995">
              <w:rPr>
                <w:rFonts w:ascii="仿宋_GB2312" w:eastAsia="仿宋_GB2312" w:hAnsi="Calibri" w:cs="宋体" w:hint="eastAsia"/>
                <w:kern w:val="0"/>
                <w:sz w:val="30"/>
                <w:szCs w:val="30"/>
              </w:rPr>
              <w:t>年底前达到本办法规定的最低监管要求。在过渡期内，未达到最低监管要求的银行应当制定达标规划，并向中国银监会或其派出机构报告。</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t>第二十四条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本办法由中国银监会负责解释。</w:t>
            </w:r>
          </w:p>
          <w:p w:rsidR="00DB4995" w:rsidRPr="00DB4995" w:rsidRDefault="00DB4995" w:rsidP="00DB4995">
            <w:pPr>
              <w:widowControl/>
              <w:ind w:firstLine="600"/>
              <w:rPr>
                <w:rFonts w:ascii="Calibri" w:eastAsia="微软雅黑" w:hAnsi="Calibri" w:cs="宋体"/>
                <w:kern w:val="0"/>
                <w:szCs w:val="21"/>
              </w:rPr>
            </w:pPr>
            <w:r w:rsidRPr="00DB4995">
              <w:rPr>
                <w:rFonts w:ascii="Times New Roman" w:eastAsia="微软雅黑" w:hAnsi="Times New Roman" w:cs="Times New Roman"/>
                <w:b/>
                <w:bCs/>
                <w:kern w:val="0"/>
                <w:sz w:val="30"/>
                <w:szCs w:val="30"/>
              </w:rPr>
              <w:lastRenderedPageBreak/>
              <w:t>第二十五条</w:t>
            </w:r>
            <w:r w:rsidRPr="00DB4995">
              <w:rPr>
                <w:rFonts w:ascii="Times New Roman" w:eastAsia="微软雅黑" w:hAnsi="Times New Roman" w:cs="Times New Roman"/>
                <w:kern w:val="0"/>
                <w:sz w:val="14"/>
                <w:szCs w:val="14"/>
              </w:rPr>
              <w:t>              </w:t>
            </w:r>
            <w:r w:rsidRPr="00DB4995">
              <w:rPr>
                <w:rFonts w:ascii="仿宋_GB2312" w:eastAsia="仿宋_GB2312" w:hAnsi="Calibri" w:cs="宋体" w:hint="eastAsia"/>
                <w:kern w:val="0"/>
                <w:sz w:val="30"/>
                <w:szCs w:val="30"/>
              </w:rPr>
              <w:t>本办法自</w:t>
            </w:r>
            <w:r w:rsidRPr="00DB4995">
              <w:rPr>
                <w:rFonts w:ascii="Times New Roman" w:eastAsia="微软雅黑" w:hAnsi="Times New Roman" w:cs="Times New Roman"/>
                <w:kern w:val="0"/>
                <w:sz w:val="30"/>
                <w:szCs w:val="30"/>
              </w:rPr>
              <w:t>2015</w:t>
            </w:r>
            <w:r w:rsidRPr="00DB4995">
              <w:rPr>
                <w:rFonts w:ascii="仿宋_GB2312" w:eastAsia="仿宋_GB2312" w:hAnsi="Calibri" w:cs="宋体" w:hint="eastAsia"/>
                <w:kern w:val="0"/>
                <w:sz w:val="30"/>
                <w:szCs w:val="30"/>
              </w:rPr>
              <w:t>年</w:t>
            </w:r>
            <w:r w:rsidRPr="00DB4995">
              <w:rPr>
                <w:rFonts w:ascii="Times New Roman" w:eastAsia="微软雅黑" w:hAnsi="Times New Roman" w:cs="Times New Roman"/>
                <w:kern w:val="0"/>
                <w:sz w:val="30"/>
                <w:szCs w:val="30"/>
              </w:rPr>
              <w:t>4</w:t>
            </w:r>
            <w:r w:rsidRPr="00DB4995">
              <w:rPr>
                <w:rFonts w:ascii="仿宋_GB2312" w:eastAsia="仿宋_GB2312" w:hAnsi="Calibri" w:cs="宋体" w:hint="eastAsia"/>
                <w:kern w:val="0"/>
                <w:sz w:val="30"/>
                <w:szCs w:val="30"/>
              </w:rPr>
              <w:t>月</w:t>
            </w:r>
            <w:r w:rsidRPr="00DB4995">
              <w:rPr>
                <w:rFonts w:ascii="Times New Roman" w:eastAsia="微软雅黑" w:hAnsi="Times New Roman" w:cs="Times New Roman"/>
                <w:kern w:val="0"/>
                <w:sz w:val="30"/>
                <w:szCs w:val="30"/>
              </w:rPr>
              <w:t>1</w:t>
            </w:r>
            <w:r w:rsidRPr="00DB4995">
              <w:rPr>
                <w:rFonts w:ascii="仿宋_GB2312" w:eastAsia="仿宋_GB2312" w:hAnsi="Calibri" w:cs="宋体" w:hint="eastAsia"/>
                <w:kern w:val="0"/>
                <w:sz w:val="30"/>
                <w:szCs w:val="30"/>
              </w:rPr>
              <w:t>日起施行，《商业银行杠杆率管理办法》（中国银行业监督管理委员会</w:t>
            </w:r>
            <w:r w:rsidRPr="00DB4995">
              <w:rPr>
                <w:rFonts w:ascii="Times New Roman" w:eastAsia="微软雅黑" w:hAnsi="Times New Roman" w:cs="Times New Roman"/>
                <w:kern w:val="0"/>
                <w:sz w:val="30"/>
                <w:szCs w:val="30"/>
              </w:rPr>
              <w:t>2011</w:t>
            </w:r>
            <w:r w:rsidRPr="00DB4995">
              <w:rPr>
                <w:rFonts w:ascii="仿宋_GB2312" w:eastAsia="仿宋_GB2312" w:hAnsi="Calibri" w:cs="宋体" w:hint="eastAsia"/>
                <w:kern w:val="0"/>
                <w:sz w:val="30"/>
                <w:szCs w:val="30"/>
              </w:rPr>
              <w:t>年第</w:t>
            </w:r>
            <w:r w:rsidRPr="00DB4995">
              <w:rPr>
                <w:rFonts w:ascii="Times New Roman" w:eastAsia="微软雅黑" w:hAnsi="Times New Roman" w:cs="Times New Roman"/>
                <w:kern w:val="0"/>
                <w:sz w:val="30"/>
                <w:szCs w:val="30"/>
              </w:rPr>
              <w:t>3</w:t>
            </w:r>
            <w:r w:rsidRPr="00DB4995">
              <w:rPr>
                <w:rFonts w:ascii="仿宋_GB2312" w:eastAsia="仿宋_GB2312" w:hAnsi="Calibri" w:cs="宋体" w:hint="eastAsia"/>
                <w:kern w:val="0"/>
                <w:sz w:val="30"/>
                <w:szCs w:val="30"/>
              </w:rPr>
              <w:t>号令）同时废止。</w:t>
            </w:r>
          </w:p>
          <w:p w:rsidR="00DB4995" w:rsidRPr="00DB4995" w:rsidRDefault="00DB4995" w:rsidP="00DB4995">
            <w:pPr>
              <w:widowControl/>
              <w:rPr>
                <w:rFonts w:ascii="Times New Roman" w:eastAsia="微软雅黑" w:hAnsi="Times New Roman" w:cs="Times New Roman"/>
                <w:kern w:val="0"/>
                <w:szCs w:val="21"/>
              </w:rPr>
            </w:pPr>
            <w:r w:rsidRPr="00DB4995">
              <w:rPr>
                <w:rFonts w:ascii="Times New Roman" w:eastAsia="微软雅黑" w:hAnsi="Times New Roman" w:cs="Times New Roman"/>
                <w:kern w:val="0"/>
                <w:szCs w:val="21"/>
              </w:rPr>
              <w:t> </w:t>
            </w:r>
          </w:p>
          <w:p w:rsidR="00DB4995" w:rsidRPr="00DB4995" w:rsidRDefault="00DB4995" w:rsidP="00DB4995">
            <w:pPr>
              <w:widowControl/>
              <w:rPr>
                <w:rFonts w:ascii="Times New Roman" w:eastAsia="微软雅黑" w:hAnsi="Times New Roman" w:cs="Times New Roman"/>
                <w:kern w:val="0"/>
                <w:szCs w:val="21"/>
              </w:rPr>
            </w:pPr>
            <w:r w:rsidRPr="00DB4995">
              <w:rPr>
                <w:rFonts w:ascii="Times New Roman" w:eastAsia="微软雅黑" w:hAnsi="Times New Roman" w:cs="Times New Roman"/>
                <w:kern w:val="0"/>
                <w:szCs w:val="21"/>
              </w:rPr>
              <w:t> </w:t>
            </w:r>
          </w:p>
        </w:tc>
      </w:tr>
      <w:tr w:rsidR="00DB4995" w:rsidRPr="00DB4995" w:rsidTr="00DB4995">
        <w:trPr>
          <w:tblCellSpacing w:w="0" w:type="dxa"/>
          <w:jc w:val="center"/>
        </w:trPr>
        <w:tc>
          <w:tcPr>
            <w:tcW w:w="5000" w:type="pct"/>
            <w:shd w:val="clear" w:color="auto" w:fill="FFFFFF"/>
            <w:tcMar>
              <w:top w:w="120" w:type="dxa"/>
              <w:left w:w="120" w:type="dxa"/>
              <w:bottom w:w="120" w:type="dxa"/>
              <w:right w:w="120" w:type="dxa"/>
            </w:tcMar>
            <w:vAlign w:val="center"/>
            <w:hideMark/>
          </w:tcPr>
          <w:p w:rsidR="00DB4995" w:rsidRPr="00DB4995" w:rsidRDefault="00DB4995" w:rsidP="00DB4995">
            <w:pPr>
              <w:widowControl/>
              <w:jc w:val="left"/>
              <w:rPr>
                <w:rFonts w:ascii="微软雅黑" w:eastAsia="微软雅黑" w:hAnsi="微软雅黑" w:cs="宋体"/>
                <w:kern w:val="0"/>
                <w:sz w:val="24"/>
                <w:szCs w:val="24"/>
              </w:rPr>
            </w:pPr>
            <w:r w:rsidRPr="00DB4995">
              <w:rPr>
                <w:rFonts w:ascii="微软雅黑" w:eastAsia="微软雅黑" w:hAnsi="微软雅黑" w:cs="宋体" w:hint="eastAsia"/>
                <w:kern w:val="0"/>
                <w:sz w:val="24"/>
                <w:szCs w:val="24"/>
              </w:rPr>
              <w:lastRenderedPageBreak/>
              <w:t>附件信息： </w:t>
            </w:r>
            <w:r w:rsidRPr="00DB4995">
              <w:rPr>
                <w:rFonts w:ascii="微软雅黑" w:eastAsia="微软雅黑" w:hAnsi="微软雅黑" w:cs="宋体" w:hint="eastAsia"/>
                <w:kern w:val="0"/>
                <w:sz w:val="24"/>
                <w:szCs w:val="24"/>
              </w:rPr>
              <w:br/>
            </w:r>
            <w:hyperlink r:id="rId6" w:tgtFrame="_blank" w:history="1">
              <w:r w:rsidRPr="00DB4995">
                <w:rPr>
                  <w:rFonts w:ascii="微软雅黑" w:eastAsia="微软雅黑" w:hAnsi="微软雅黑" w:cs="宋体" w:hint="eastAsia"/>
                  <w:color w:val="0000FF"/>
                  <w:kern w:val="0"/>
                  <w:sz w:val="24"/>
                  <w:szCs w:val="24"/>
                  <w:u w:val="single"/>
                </w:rPr>
                <w:t>附件1：衍生产品资产余额计算方法.doc</w:t>
              </w:r>
            </w:hyperlink>
            <w:r w:rsidRPr="00DB4995">
              <w:rPr>
                <w:rFonts w:ascii="微软雅黑" w:eastAsia="微软雅黑" w:hAnsi="微软雅黑" w:cs="宋体" w:hint="eastAsia"/>
                <w:kern w:val="0"/>
                <w:sz w:val="24"/>
                <w:szCs w:val="24"/>
              </w:rPr>
              <w:t> </w:t>
            </w:r>
            <w:r w:rsidRPr="00DB4995">
              <w:rPr>
                <w:rFonts w:ascii="微软雅黑" w:eastAsia="微软雅黑" w:hAnsi="微软雅黑" w:cs="宋体" w:hint="eastAsia"/>
                <w:kern w:val="0"/>
                <w:sz w:val="24"/>
                <w:szCs w:val="24"/>
              </w:rPr>
              <w:br/>
            </w:r>
            <w:hyperlink r:id="rId7" w:tgtFrame="_blank" w:history="1">
              <w:r w:rsidRPr="00DB4995">
                <w:rPr>
                  <w:rFonts w:ascii="微软雅黑" w:eastAsia="微软雅黑" w:hAnsi="微软雅黑" w:cs="宋体" w:hint="eastAsia"/>
                  <w:color w:val="0000FF"/>
                  <w:kern w:val="0"/>
                  <w:sz w:val="24"/>
                  <w:szCs w:val="24"/>
                  <w:u w:val="single"/>
                </w:rPr>
                <w:t>附件2：证券融资交易资产余额计算方法.doc</w:t>
              </w:r>
            </w:hyperlink>
            <w:r w:rsidRPr="00DB4995">
              <w:rPr>
                <w:rFonts w:ascii="微软雅黑" w:eastAsia="微软雅黑" w:hAnsi="微软雅黑" w:cs="宋体" w:hint="eastAsia"/>
                <w:kern w:val="0"/>
                <w:sz w:val="24"/>
                <w:szCs w:val="24"/>
              </w:rPr>
              <w:t> </w:t>
            </w:r>
            <w:r w:rsidRPr="00DB4995">
              <w:rPr>
                <w:rFonts w:ascii="微软雅黑" w:eastAsia="微软雅黑" w:hAnsi="微软雅黑" w:cs="宋体" w:hint="eastAsia"/>
                <w:kern w:val="0"/>
                <w:sz w:val="24"/>
                <w:szCs w:val="24"/>
              </w:rPr>
              <w:br/>
            </w:r>
            <w:hyperlink r:id="rId8" w:tgtFrame="_blank" w:history="1">
              <w:r w:rsidRPr="00DB4995">
                <w:rPr>
                  <w:rFonts w:ascii="微软雅黑" w:eastAsia="微软雅黑" w:hAnsi="微软雅黑" w:cs="宋体" w:hint="eastAsia"/>
                  <w:color w:val="0000FF"/>
                  <w:kern w:val="0"/>
                  <w:sz w:val="24"/>
                  <w:szCs w:val="24"/>
                  <w:u w:val="single"/>
                </w:rPr>
                <w:t>附件3：杠杆率披露模板.doc</w:t>
              </w:r>
            </w:hyperlink>
            <w:r w:rsidRPr="00DB4995">
              <w:rPr>
                <w:rFonts w:ascii="微软雅黑" w:eastAsia="微软雅黑" w:hAnsi="微软雅黑" w:cs="宋体" w:hint="eastAsia"/>
                <w:kern w:val="0"/>
                <w:sz w:val="24"/>
                <w:szCs w:val="24"/>
              </w:rPr>
              <w:t> </w:t>
            </w:r>
          </w:p>
        </w:tc>
      </w:tr>
    </w:tbl>
    <w:p w:rsidR="00DB4995" w:rsidRPr="00DB4995" w:rsidRDefault="00DB4995"/>
    <w:sectPr w:rsidR="00DB4995" w:rsidRPr="00DB4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95"/>
    <w:rsid w:val="00DB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F0ACB-CAB8-4D2D-8FF0-BFEE8020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paragraph"/>
    <w:basedOn w:val="a"/>
    <w:rsid w:val="00DB499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B49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839295">
      <w:bodyDiv w:val="1"/>
      <w:marLeft w:val="0"/>
      <w:marRight w:val="0"/>
      <w:marTop w:val="0"/>
      <w:marBottom w:val="0"/>
      <w:divBdr>
        <w:top w:val="none" w:sz="0" w:space="0" w:color="auto"/>
        <w:left w:val="none" w:sz="0" w:space="0" w:color="auto"/>
        <w:bottom w:val="none" w:sz="0" w:space="0" w:color="auto"/>
        <w:right w:val="none" w:sz="0" w:space="0" w:color="auto"/>
      </w:divBdr>
      <w:divsChild>
        <w:div w:id="808328419">
          <w:marLeft w:val="150"/>
          <w:marRight w:val="150"/>
          <w:marTop w:val="300"/>
          <w:marBottom w:val="150"/>
          <w:divBdr>
            <w:top w:val="none" w:sz="0" w:space="0" w:color="auto"/>
            <w:left w:val="none" w:sz="0" w:space="0" w:color="auto"/>
            <w:bottom w:val="none" w:sz="0" w:space="0" w:color="auto"/>
            <w:right w:val="none" w:sz="0" w:space="0" w:color="auto"/>
          </w:divBdr>
          <w:divsChild>
            <w:div w:id="1574579061">
              <w:marLeft w:val="0"/>
              <w:marRight w:val="0"/>
              <w:marTop w:val="0"/>
              <w:marBottom w:val="0"/>
              <w:divBdr>
                <w:top w:val="none" w:sz="0" w:space="0" w:color="auto"/>
                <w:left w:val="none" w:sz="0" w:space="0" w:color="auto"/>
                <w:bottom w:val="none" w:sz="0" w:space="0" w:color="auto"/>
                <w:right w:val="none" w:sz="0" w:space="0" w:color="auto"/>
              </w:divBdr>
            </w:div>
          </w:divsChild>
        </w:div>
        <w:div w:id="1051077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rc.gov.cn/chinese/files/2015/4BC0C27A2A624A1E8BF3EBA1A4D26D10.doc" TargetMode="External"/><Relationship Id="rId3" Type="http://schemas.openxmlformats.org/officeDocument/2006/relationships/webSettings" Target="webSettings.xml"/><Relationship Id="rId7" Type="http://schemas.openxmlformats.org/officeDocument/2006/relationships/hyperlink" Target="http://www.cbrc.gov.cn/chinese/files/2015/AC6E871079F7478E95CB5EB350942111.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brc.gov.cn/chinese/files/2015/6CF82CD48E2E418DBDF0180343EF262F.doc" TargetMode="External"/><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songxx</dc:creator>
  <cp:keywords/>
  <dc:description/>
  <cp:lastModifiedBy>songxx</cp:lastModifiedBy>
  <cp:revision>1</cp:revision>
  <dcterms:created xsi:type="dcterms:W3CDTF">2018-05-05T03:49:00Z</dcterms:created>
  <dcterms:modified xsi:type="dcterms:W3CDTF">2018-05-05T03:50:00Z</dcterms:modified>
</cp:coreProperties>
</file>