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F7A55"/>
          <w:sz w:val="16"/>
          <w:shd w:fill="EAF6EE"/>
        </w:rPr>
        <w:t>SYSTEM OVERVIEW DOCUMENT</w:t>
      </w:r>
    </w:p>
    <w:p>
      <w:pPr>
        <w:spacing w:before="520" w:after="120"/>
      </w:pPr>
      <w:r>
        <w:rPr>
          <w:rFonts w:ascii="Aptos Display" w:hAnsi="Aptos Display"/>
          <w:b/>
          <w:color w:val="102F34"/>
          <w:sz w:val="60"/>
        </w:rPr>
        <w:t>BGC London AI Marketing Command Center</w:t>
      </w:r>
    </w:p>
    <w:p>
      <w:pPr>
        <w:spacing w:after="360"/>
      </w:pPr>
      <w:r>
        <w:rPr>
          <w:b/>
          <w:color w:val="2F7A55"/>
          <w:sz w:val="28"/>
        </w:rPr>
        <w:t>AI-Assisted Audience Engagement, Marketing Intelligence, and Department Collaboration System</w:t>
      </w:r>
    </w:p>
    <w:tbl>
      <w:tblPr>
        <w:tblW w:type="pct" w:w="5000"/>
        <w:jc w:val="center"/>
        <w:tblLook w:firstColumn="1" w:firstRow="1" w:lastColumn="0" w:lastRow="0" w:noHBand="0" w:noVBand="1" w:val="04A0"/>
      </w:tblPr>
      <w:tblGrid>
        <w:gridCol w:w="10166"/>
      </w:tblGrid>
      <w:tr>
        <w:tc>
          <w:tcPr>
            <w:tcW w:type="dxa" w:w="10166"/>
            <w:shd w:fill="F5F9F6"/>
            <w:tcBorders>
              <w:top w:val="single" w:sz="8" w:space="0" w:color="DDE8E2"/>
              <w:left w:val="single" w:sz="8" w:space="0" w:color="DDE8E2"/>
              <w:bottom w:val="single" w:sz="8" w:space="0" w:color="DDE8E2"/>
              <w:right w:val="single" w:sz="8" w:space="0" w:color="DDE8E2"/>
            </w:tcBorders>
            <w:tcMar>
              <w:top w:w="180" w:type="dxa"/>
              <w:start w:w="220" w:type="dxa"/>
              <w:bottom w:w="180" w:type="dxa"/>
              <w:end w:w="220" w:type="dxa"/>
            </w:tcMar>
          </w:tcPr>
          <w:p>
            <w:pPr>
              <w:spacing w:after="80"/>
            </w:pPr>
            <w:r>
              <w:rPr>
                <w:b/>
                <w:color w:val="102F34"/>
                <w:sz w:val="24"/>
              </w:rPr>
              <w:t>Purpose of this document</w:t>
            </w:r>
          </w:p>
          <w:p>
            <w:pPr>
              <w:spacing w:after="0"/>
            </w:pPr>
            <w:r>
              <w:rPr>
                <w:color w:val="3D4F54"/>
                <w:sz w:val="19"/>
              </w:rPr>
              <w:t>This document explains the system design, core functionality, strategic role, current demo algorithms, and future API-enabled capabilities of the BGC London AI Marketing Command Center. It is written for client presentation, project handoff, and stakeholder communication.</w:t>
            </w:r>
          </w:p>
        </w:tc>
      </w:tr>
    </w:tbl>
    <w:p>
      <w:pPr>
        <w:spacing w:after="40"/>
      </w:pPr>
    </w:p>
    <w:tbl>
      <w:tblPr>
        <w:tblStyle w:val="TableGrid"/>
        <w:tblW w:type="pct" w:w="5000"/>
        <w:jc w:val="center"/>
        <w:tblLook w:firstColumn="1" w:firstRow="1" w:lastColumn="0" w:lastRow="0" w:noHBand="0" w:noVBand="1" w:val="04A0"/>
      </w:tblPr>
      <w:tblGrid>
        <w:gridCol w:w="5083"/>
        <w:gridCol w:w="5083"/>
      </w:tblGrid>
      <w:tr>
        <w:trPr>
          <w:tblHeader w:val="true"/>
        </w:trPr>
        <w:tc>
          <w:tcPr>
            <w:tcW w:type="dxa" w:w="2232"/>
            <w:shd w:fill="2F7A55"/>
            <w:tcBorders>
              <w:top w:val="single" w:sz="8" w:space="0" w:color="2F7A55"/>
              <w:left w:val="single" w:sz="8" w:space="0" w:color="2F7A55"/>
              <w:bottom w:val="single" w:sz="8" w:space="0" w:color="2F7A55"/>
              <w:right w:val="single" w:sz="8" w:space="0" w:color="2F7A55"/>
            </w:tcBorders>
            <w:tcMar>
              <w:top w:w="120" w:type="dxa"/>
              <w:start w:w="120" w:type="dxa"/>
              <w:bottom w:w="120" w:type="dxa"/>
              <w:end w:w="120" w:type="dxa"/>
            </w:tcMar>
            <w:vAlign w:val="center"/>
          </w:tcPr>
          <w:p>
            <w:pPr>
              <w:jc w:val="left"/>
            </w:pPr>
            <w:r>
              <w:rPr>
                <w:b/>
                <w:color w:val="FFFFFF"/>
                <w:sz w:val="17"/>
              </w:rPr>
              <w:t>Item</w:t>
            </w:r>
          </w:p>
        </w:tc>
        <w:tc>
          <w:tcPr>
            <w:tcW w:type="dxa" w:w="8280"/>
            <w:shd w:fill="2F7A55"/>
            <w:tcBorders>
              <w:top w:val="single" w:sz="8" w:space="0" w:color="2F7A55"/>
              <w:left w:val="single" w:sz="8" w:space="0" w:color="2F7A55"/>
              <w:bottom w:val="single" w:sz="8" w:space="0" w:color="2F7A55"/>
              <w:right w:val="single" w:sz="8" w:space="0" w:color="2F7A55"/>
            </w:tcBorders>
            <w:tcMar>
              <w:top w:w="120" w:type="dxa"/>
              <w:start w:w="120" w:type="dxa"/>
              <w:bottom w:w="120" w:type="dxa"/>
              <w:end w:w="120" w:type="dxa"/>
            </w:tcMar>
            <w:vAlign w:val="center"/>
          </w:tcPr>
          <w:p>
            <w:pPr>
              <w:jc w:val="left"/>
            </w:pPr>
            <w:r>
              <w:rPr>
                <w:b/>
                <w:color w:val="FFFFFF"/>
                <w:sz w:val="17"/>
              </w:rPr>
              <w:t>Description</w:t>
            </w:r>
          </w:p>
        </w:tc>
      </w:tr>
      <w:tr>
        <w:tc>
          <w:tcPr>
            <w:tcW w:type="dxa" w:w="223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Client context</w:t>
            </w:r>
          </w:p>
        </w:tc>
        <w:tc>
          <w:tcPr>
            <w:tcW w:type="dxa" w:w="828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BGC London nonprofit marketing and cross-department collaboration</w:t>
            </w:r>
          </w:p>
        </w:tc>
      </w:tr>
      <w:tr>
        <w:tc>
          <w:tcPr>
            <w:tcW w:type="dxa" w:w="223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System type</w:t>
            </w:r>
          </w:p>
        </w:tc>
        <w:tc>
          <w:tcPr>
            <w:tcW w:type="dxa" w:w="828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AI-assisted marketing workflow, community engagement, and internal coordination platform</w:t>
            </w:r>
          </w:p>
        </w:tc>
      </w:tr>
      <w:tr>
        <w:tc>
          <w:tcPr>
            <w:tcW w:type="dxa" w:w="223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Current implementation</w:t>
            </w:r>
          </w:p>
        </w:tc>
        <w:tc>
          <w:tcPr>
            <w:tcW w:type="dxa" w:w="828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Streamlit prototype using mock data, session state, predefined content logic, and no external APIs</w:t>
            </w:r>
          </w:p>
        </w:tc>
      </w:tr>
      <w:tr>
        <w:tc>
          <w:tcPr>
            <w:tcW w:type="dxa" w:w="223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Future direction</w:t>
            </w:r>
          </w:p>
        </w:tc>
        <w:tc>
          <w:tcPr>
            <w:tcW w:type="dxa" w:w="828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Production-ready platform with authenticated users, database storage, live analytics, channel integrations, and richer AI recommendations</w:t>
            </w:r>
          </w:p>
        </w:tc>
      </w:tr>
    </w:tbl>
    <w:p>
      <w:pPr>
        <w:spacing w:after="120"/>
      </w:pPr>
    </w:p>
    <w:p>
      <w:r>
        <w:br w:type="page"/>
      </w:r>
    </w:p>
    <w:p>
      <w:pPr>
        <w:pStyle w:val="Heading1"/>
      </w:pPr>
      <w:r>
        <w:t>1. Executive Summary</w:t>
      </w:r>
    </w:p>
    <w:p>
      <w:r>
        <w:t>The BGC London AI Marketing Command Center is designed as a shared operating system for nonprofit marketing, program updates, asset coordination, campaign planning, and community outreach. The system moves beyond a simple AI copy generator. It helps a small marketing team decide what to promote, why it matters, what content to create, where to publish it, how to coordinate with departments, and how to learn from performance signals.</w:t>
      </w:r>
    </w:p>
    <w:tbl>
      <w:tblPr>
        <w:tblW w:type="pct" w:w="5000"/>
        <w:jc w:val="center"/>
        <w:tblLook w:firstColumn="1" w:firstRow="1" w:lastColumn="0" w:lastRow="0" w:noHBand="0" w:noVBand="1" w:val="04A0"/>
      </w:tblPr>
      <w:tblGrid>
        <w:gridCol w:w="10166"/>
      </w:tblGrid>
      <w:tr>
        <w:tc>
          <w:tcPr>
            <w:tcW w:type="dxa" w:w="10166"/>
            <w:shd w:fill="FFF9E5"/>
            <w:tcBorders>
              <w:top w:val="single" w:sz="8" w:space="0" w:color="DDE8E2"/>
              <w:left w:val="single" w:sz="8" w:space="0" w:color="DDE8E2"/>
              <w:bottom w:val="single" w:sz="8" w:space="0" w:color="DDE8E2"/>
              <w:right w:val="single" w:sz="8" w:space="0" w:color="DDE8E2"/>
            </w:tcBorders>
            <w:tcMar>
              <w:top w:w="180" w:type="dxa"/>
              <w:start w:w="220" w:type="dxa"/>
              <w:bottom w:w="180" w:type="dxa"/>
              <w:end w:w="220" w:type="dxa"/>
            </w:tcMar>
          </w:tcPr>
          <w:p>
            <w:pPr>
              <w:spacing w:after="80"/>
            </w:pPr>
            <w:r>
              <w:rPr>
                <w:b/>
                <w:color w:val="102F34"/>
                <w:sz w:val="24"/>
              </w:rPr>
              <w:t>Core positioning</w:t>
            </w:r>
          </w:p>
          <w:p>
            <w:pPr>
              <w:spacing w:after="0"/>
            </w:pPr>
            <w:r>
              <w:rPr>
                <w:color w:val="3D4F54"/>
                <w:sz w:val="19"/>
              </w:rPr>
              <w:t>The system addresses two connected bottlenecks: the marketing execution bottleneck and the cross-department information bottleneck. It helps BGC repeat a consistent value message across digital, offline, donor, and community channels.</w:t>
            </w:r>
          </w:p>
        </w:tc>
      </w:tr>
    </w:tbl>
    <w:p>
      <w:pPr>
        <w:spacing w:after="40"/>
      </w:pPr>
    </w:p>
    <w:p>
      <w:pPr>
        <w:pStyle w:val="ListBullet"/>
        <w:spacing w:after="40"/>
      </w:pPr>
      <w:r>
        <w:t>Marketing staff get a guided workflow: Intake -&gt; Recommend -&gt; Explore Ideas -&gt; Draft Content -&gt; Plan -&gt; Scan Trends -&gt; Measure Impact.</w:t>
      </w:r>
    </w:p>
    <w:p>
      <w:pPr>
        <w:pStyle w:val="ListBullet"/>
        <w:spacing w:after="40"/>
      </w:pPr>
      <w:r>
        <w:t>Departments get a collaboration workspace for submitting updates, sharing assets, and viewing shared calendar activity.</w:t>
      </w:r>
    </w:p>
    <w:p>
      <w:pPr>
        <w:pStyle w:val="ListBullet"/>
        <w:spacing w:after="40"/>
      </w:pPr>
      <w:r>
        <w:t>Leadership and partners can understand BGC’s broader value: mentorship, belonging, meals, scholarships, leadership, wellness, and community transformation.</w:t>
      </w:r>
    </w:p>
    <w:p>
      <w:pPr>
        <w:pStyle w:val="Heading1"/>
      </w:pPr>
      <w:r>
        <w:t>2. System Design</w:t>
      </w:r>
    </w:p>
    <w:p>
      <w:pPr>
        <w:pStyle w:val="Heading2"/>
      </w:pPr>
      <w:r>
        <w:t>2.1 Design Principles</w:t>
      </w:r>
    </w:p>
    <w:p>
      <w:pPr>
        <w:pStyle w:val="ListBullet"/>
        <w:spacing w:after="40"/>
      </w:pPr>
      <w:r>
        <w:t>Guided workflow over scattered tools: the interface is structured around a step-by-step marketing process.</w:t>
      </w:r>
    </w:p>
    <w:p>
      <w:pPr>
        <w:pStyle w:val="ListBullet"/>
        <w:spacing w:after="40"/>
      </w:pPr>
      <w:r>
        <w:t>Progressive disclosure: summary first, detail on demand, so staff are not overwhelmed by long report-like pages.</w:t>
      </w:r>
    </w:p>
    <w:p>
      <w:pPr>
        <w:pStyle w:val="ListBullet"/>
        <w:spacing w:after="40"/>
      </w:pPr>
      <w:r>
        <w:t>Nonprofit-friendly language: the system emphasizes community, belonging, youth opportunity, donor trust, and practical action.</w:t>
      </w:r>
    </w:p>
    <w:p>
      <w:pPr>
        <w:pStyle w:val="ListBullet"/>
        <w:spacing w:after="40"/>
      </w:pPr>
      <w:r>
        <w:t>Mock intelligence for demo readiness: the current prototype simulates AI behavior through deterministic scoring, templates, and session-state workflows.</w:t>
      </w:r>
    </w:p>
    <w:p>
      <w:pPr>
        <w:pStyle w:val="ListBullet"/>
        <w:spacing w:after="40"/>
      </w:pPr>
      <w:r>
        <w:t>Scalable architecture: future versions can replace mock data with APIs, databases, authentication, analytics, and real AI models.</w:t>
      </w:r>
    </w:p>
    <w:p>
      <w:pPr>
        <w:pStyle w:val="Heading2"/>
      </w:pPr>
      <w:r>
        <w:t>2.2 Architecture Layers</w:t>
      </w:r>
    </w:p>
    <w:tbl>
      <w:tblPr>
        <w:tblStyle w:val="TableGrid"/>
        <w:tblW w:type="pct" w:w="5000"/>
        <w:jc w:val="center"/>
        <w:tblLook w:firstColumn="1" w:firstRow="1" w:lastColumn="0" w:lastRow="0" w:noHBand="0" w:noVBand="1" w:val="04A0"/>
      </w:tblPr>
      <w:tblGrid>
        <w:gridCol w:w="5083"/>
        <w:gridCol w:w="5083"/>
      </w:tblGrid>
      <w:tr>
        <w:trPr>
          <w:tblHeader w:val="true"/>
        </w:trPr>
        <w:tc>
          <w:tcPr>
            <w:tcW w:type="dxa" w:w="2232"/>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Layer</w:t>
            </w:r>
          </w:p>
        </w:tc>
        <w:tc>
          <w:tcPr>
            <w:tcW w:type="dxa" w:w="8280"/>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Current / Future Role</w:t>
            </w:r>
          </w:p>
        </w:tc>
      </w:tr>
      <w:tr>
        <w:tc>
          <w:tcPr>
            <w:tcW w:type="dxa" w:w="223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Presentation Layer</w:t>
            </w:r>
          </w:p>
        </w:tc>
        <w:tc>
          <w:tcPr>
            <w:tcW w:type="dxa" w:w="828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Streamlit interface with BGC-inspired branding, login, sidebar, workflow topbar, cards, tabs, expanders, and visual dashboards.</w:t>
            </w:r>
          </w:p>
        </w:tc>
      </w:tr>
      <w:tr>
        <w:tc>
          <w:tcPr>
            <w:tcW w:type="dxa" w:w="223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Workflow Layer</w:t>
            </w:r>
          </w:p>
        </w:tc>
        <w:tc>
          <w:tcPr>
            <w:tcW w:type="dxa" w:w="828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Step-based user journey from program intake through recommendation, content creation, planning, trend scanning, and impact measurement.</w:t>
            </w:r>
          </w:p>
        </w:tc>
      </w:tr>
      <w:tr>
        <w:tc>
          <w:tcPr>
            <w:tcW w:type="dxa" w:w="223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Collaboration Layer</w:t>
            </w:r>
          </w:p>
        </w:tc>
        <w:tc>
          <w:tcPr>
            <w:tcW w:type="dxa" w:w="828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Shared calendar, department message board, and asset library for cross-department updates and marketing handoffs.</w:t>
            </w:r>
          </w:p>
        </w:tc>
      </w:tr>
      <w:tr>
        <w:tc>
          <w:tcPr>
            <w:tcW w:type="dxa" w:w="223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Mock Intelligence Layer</w:t>
            </w:r>
          </w:p>
        </w:tc>
        <w:tc>
          <w:tcPr>
            <w:tcW w:type="dxa" w:w="828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Heuristic scoring, predefined content variations, viral idea templates, regional heatmap logic, and simulated performance signals.</w:t>
            </w:r>
          </w:p>
        </w:tc>
      </w:tr>
      <w:tr>
        <w:tc>
          <w:tcPr>
            <w:tcW w:type="dxa" w:w="223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State Layer</w:t>
            </w:r>
          </w:p>
        </w:tc>
        <w:tc>
          <w:tcPr>
            <w:tcW w:type="dxa" w:w="828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Streamlit session_state stores logged-in user, department, selected campaign, submitted briefs, calendar items, messages, selected assets, and content drafts.</w:t>
            </w:r>
          </w:p>
        </w:tc>
      </w:tr>
      <w:tr>
        <w:tc>
          <w:tcPr>
            <w:tcW w:type="dxa" w:w="223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Future Data Layer</w:t>
            </w:r>
          </w:p>
        </w:tc>
        <w:tc>
          <w:tcPr>
            <w:tcW w:type="dxa" w:w="828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Production database and API integrations for real campaign records, analytics, donor data, asset metadata, and department submissions.</w:t>
            </w:r>
          </w:p>
        </w:tc>
      </w:tr>
    </w:tbl>
    <w:p>
      <w:pPr>
        <w:spacing w:after="120"/>
      </w:pPr>
    </w:p>
    <w:p>
      <w:pPr>
        <w:pStyle w:val="Heading2"/>
      </w:pPr>
      <w:r>
        <w:t>2.3 User Roles and Access Model</w:t>
      </w:r>
    </w:p>
    <w:tbl>
      <w:tblPr>
        <w:tblStyle w:val="TableGrid"/>
        <w:tblW w:type="pct" w:w="5000"/>
        <w:jc w:val="center"/>
        <w:tblLook w:firstColumn="1" w:firstRow="1" w:lastColumn="0" w:lastRow="0" w:noHBand="0" w:noVBand="1" w:val="04A0"/>
      </w:tblPr>
      <w:tblGrid>
        <w:gridCol w:w="5083"/>
        <w:gridCol w:w="5083"/>
      </w:tblGrid>
      <w:tr>
        <w:trPr>
          <w:tblHeader w:val="true"/>
        </w:trPr>
        <w:tc>
          <w:tcPr>
            <w:tcW w:type="dxa" w:w="2376"/>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Role</w:t>
            </w:r>
          </w:p>
        </w:tc>
        <w:tc>
          <w:tcPr>
            <w:tcW w:type="dxa" w:w="8136"/>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Access and Purpose</w:t>
            </w:r>
          </w:p>
        </w:tc>
      </w:tr>
      <w:tr>
        <w:tc>
          <w:tcPr>
            <w:tcW w:type="dxa" w:w="2376"/>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Marketing</w:t>
            </w:r>
          </w:p>
        </w:tc>
        <w:tc>
          <w:tcPr>
            <w:tcW w:type="dxa" w:w="8136"/>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Full access to the AI Marketing Command Center, including recommendations, content studio, viral engine, planner, trend scan, impact dashboard, asset library, message board, and shared calendar.</w:t>
            </w:r>
          </w:p>
        </w:tc>
      </w:tr>
      <w:tr>
        <w:tc>
          <w:tcPr>
            <w:tcW w:type="dxa" w:w="2376"/>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Program / Department Staff</w:t>
            </w:r>
          </w:p>
        </w:tc>
        <w:tc>
          <w:tcPr>
            <w:tcW w:type="dxa" w:w="8136"/>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Collaboration access only: message board, shared calendar, and asset upload/library. This keeps the interface simple for non-marketing users.</w:t>
            </w:r>
          </w:p>
        </w:tc>
      </w:tr>
      <w:tr>
        <w:tc>
          <w:tcPr>
            <w:tcW w:type="dxa" w:w="2376"/>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Leadership / Admin</w:t>
            </w:r>
          </w:p>
        </w:tc>
        <w:tc>
          <w:tcPr>
            <w:tcW w:type="dxa" w:w="8136"/>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Future production role for strategic visibility, reporting, donor summaries, and governance controls.</w:t>
            </w:r>
          </w:p>
        </w:tc>
      </w:tr>
    </w:tbl>
    <w:p>
      <w:pPr>
        <w:spacing w:after="120"/>
      </w:pPr>
    </w:p>
    <w:p>
      <w:pPr>
        <w:pStyle w:val="Heading1"/>
      </w:pPr>
      <w:r>
        <w:t>3. Core System Workflow</w:t>
      </w:r>
    </w:p>
    <w:tbl>
      <w:tblPr>
        <w:tblStyle w:val="TableGrid"/>
        <w:tblW w:type="pct" w:w="5000"/>
        <w:jc w:val="center"/>
        <w:tblLook w:firstColumn="1" w:firstRow="1" w:lastColumn="0" w:lastRow="0" w:noHBand="0" w:noVBand="1" w:val="04A0"/>
      </w:tblPr>
      <w:tblGrid>
        <w:gridCol w:w="3389"/>
        <w:gridCol w:w="3389"/>
        <w:gridCol w:w="3389"/>
      </w:tblGrid>
      <w:tr>
        <w:trPr>
          <w:tblHeader w:val="true"/>
        </w:trPr>
        <w:tc>
          <w:tcPr>
            <w:tcW w:type="dxa" w:w="1440"/>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Step</w:t>
            </w:r>
          </w:p>
        </w:tc>
        <w:tc>
          <w:tcPr>
            <w:tcW w:type="dxa" w:w="2520"/>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Page</w:t>
            </w:r>
          </w:p>
        </w:tc>
        <w:tc>
          <w:tcPr>
            <w:tcW w:type="dxa" w:w="6552"/>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Purpose</w:t>
            </w:r>
          </w:p>
        </w:tc>
      </w:tr>
      <w:tr>
        <w:tc>
          <w:tcPr>
            <w:tcW w:type="dxa" w:w="144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1. Intake</w:t>
            </w:r>
          </w:p>
        </w:tc>
        <w:tc>
          <w:tcPr>
            <w:tcW w:type="dxa" w:w="252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Program &amp; Asset Intake</w:t>
            </w:r>
          </w:p>
        </w:tc>
        <w:tc>
          <w:tcPr>
            <w:tcW w:type="dxa" w:w="655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Collect program updates, campaign timing, audience, message, assets, consent status, and readiness.</w:t>
            </w:r>
          </w:p>
        </w:tc>
      </w:tr>
      <w:tr>
        <w:tc>
          <w:tcPr>
            <w:tcW w:type="dxa" w:w="144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2. Recommend</w:t>
            </w:r>
          </w:p>
        </w:tc>
        <w:tc>
          <w:tcPr>
            <w:tcW w:type="dxa" w:w="252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AI Campaign Recommendation</w:t>
            </w:r>
          </w:p>
        </w:tc>
        <w:tc>
          <w:tcPr>
            <w:tcW w:type="dxa" w:w="655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Rank campaign opportunities based on urgency, audience fit, asset readiness, timing, mission alignment, and department updates.</w:t>
            </w:r>
          </w:p>
        </w:tc>
      </w:tr>
      <w:tr>
        <w:tc>
          <w:tcPr>
            <w:tcW w:type="dxa" w:w="144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3. Explore Ideas</w:t>
            </w:r>
          </w:p>
        </w:tc>
        <w:tc>
          <w:tcPr>
            <w:tcW w:type="dxa" w:w="252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AI Viral Content Engine</w:t>
            </w:r>
          </w:p>
        </w:tc>
        <w:tc>
          <w:tcPr>
            <w:tcW w:type="dxa" w:w="655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Turn program moments into trend-aware hooks, Reels ideas, offline-to-digital concepts, and short-form creative strategies.</w:t>
            </w:r>
          </w:p>
        </w:tc>
      </w:tr>
      <w:tr>
        <w:tc>
          <w:tcPr>
            <w:tcW w:type="dxa" w:w="144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4. Draft Content</w:t>
            </w:r>
          </w:p>
        </w:tc>
        <w:tc>
          <w:tcPr>
            <w:tcW w:type="dxa" w:w="252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AI Content Studio</w:t>
            </w:r>
          </w:p>
        </w:tc>
        <w:tc>
          <w:tcPr>
            <w:tcW w:type="dxa" w:w="655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Generate platform-specific copy, rewrite content variations, score draft quality, and adapt messaging by audience and emotional angle.</w:t>
            </w:r>
          </w:p>
        </w:tc>
      </w:tr>
      <w:tr>
        <w:tc>
          <w:tcPr>
            <w:tcW w:type="dxa" w:w="144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5. Plan</w:t>
            </w:r>
          </w:p>
        </w:tc>
        <w:tc>
          <w:tcPr>
            <w:tcW w:type="dxa" w:w="252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Campaign Planner</w:t>
            </w:r>
          </w:p>
        </w:tc>
        <w:tc>
          <w:tcPr>
            <w:tcW w:type="dxa" w:w="655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Translate campaign strategy into weekly plans, offline activation, partnerships, regional targeting, and outreach actions.</w:t>
            </w:r>
          </w:p>
        </w:tc>
      </w:tr>
      <w:tr>
        <w:tc>
          <w:tcPr>
            <w:tcW w:type="dxa" w:w="144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6. Scan Trends</w:t>
            </w:r>
          </w:p>
        </w:tc>
        <w:tc>
          <w:tcPr>
            <w:tcW w:type="dxa" w:w="252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Trend &amp; Performance Scan</w:t>
            </w:r>
          </w:p>
        </w:tc>
        <w:tc>
          <w:tcPr>
            <w:tcW w:type="dxa" w:w="655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Surface trend signals, performance opportunities, audience urgency, asset readiness, and social listening insights.</w:t>
            </w:r>
          </w:p>
        </w:tc>
      </w:tr>
      <w:tr>
        <w:tc>
          <w:tcPr>
            <w:tcW w:type="dxa" w:w="144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7. Measure Impact</w:t>
            </w:r>
          </w:p>
        </w:tc>
        <w:tc>
          <w:tcPr>
            <w:tcW w:type="dxa" w:w="252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Impact Dashboard</w:t>
            </w:r>
          </w:p>
        </w:tc>
        <w:tc>
          <w:tcPr>
            <w:tcW w:type="dxa" w:w="655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Review funnel movement, donor-ready proof points, learning loops, and next best campaign recommendations.</w:t>
            </w:r>
          </w:p>
        </w:tc>
      </w:tr>
    </w:tbl>
    <w:p>
      <w:pPr>
        <w:spacing w:after="120"/>
      </w:pPr>
    </w:p>
    <w:p>
      <w:pPr>
        <w:pStyle w:val="Heading1"/>
      </w:pPr>
      <w:r>
        <w:t>4. System Functionality</w:t>
      </w:r>
    </w:p>
    <w:p>
      <w:pPr>
        <w:pStyle w:val="Heading2"/>
      </w:pPr>
      <w:r>
        <w:t>4.1 Dashboard</w:t>
      </w:r>
    </w:p>
    <w:p>
      <w:r>
        <w:t>The Dashboard acts as an executive command center. It summarizes the current recommended campaign, today’s actions, workflow progress, quick status, donor engagement, and validated client priorities without overwhelming the user with long explanations.</w:t>
      </w:r>
    </w:p>
    <w:p>
      <w:pPr>
        <w:pStyle w:val="ListBullet"/>
        <w:spacing w:after="40"/>
      </w:pPr>
      <w:r>
        <w:t>Recommended campaign card with priority score, urgency, audience, channel, and next action.</w:t>
      </w:r>
    </w:p>
    <w:p>
      <w:pPr>
        <w:pStyle w:val="ListBullet"/>
        <w:spacing w:after="40"/>
      </w:pPr>
      <w:r>
        <w:t>Hero banner for visual identity and emotional connection.</w:t>
      </w:r>
    </w:p>
    <w:p>
      <w:pPr>
        <w:pStyle w:val="ListBullet"/>
        <w:spacing w:after="40"/>
      </w:pPr>
      <w:r>
        <w:t>Today’s action list for immediate execution.</w:t>
      </w:r>
    </w:p>
    <w:p>
      <w:pPr>
        <w:pStyle w:val="ListBullet"/>
        <w:spacing w:after="40"/>
      </w:pPr>
      <w:r>
        <w:t>Collapsible workflow, quick status, donor engagement, and positioning insight sections.</w:t>
      </w:r>
    </w:p>
    <w:p>
      <w:pPr>
        <w:pStyle w:val="Heading2"/>
      </w:pPr>
      <w:r>
        <w:t>4.2 Program &amp; Asset Intake</w:t>
      </w:r>
    </w:p>
    <w:p>
      <w:r>
        <w:t>The intake page converts program staff updates into structured campaign inputs. It combines program brief creation, asset readiness, missing information checks, and calendar sync.</w:t>
      </w:r>
    </w:p>
    <w:p>
      <w:pPr>
        <w:pStyle w:val="ListBullet"/>
        <w:spacing w:after="40"/>
      </w:pPr>
      <w:r>
        <w:t>Internal campaign brief form for program name, segment, timing, date, goal, audience, key message, available assets, and asset quality.</w:t>
      </w:r>
    </w:p>
    <w:p>
      <w:pPr>
        <w:pStyle w:val="ListBullet"/>
        <w:spacing w:after="40"/>
      </w:pPr>
      <w:r>
        <w:t>Live campaign brief preview with readiness checklist.</w:t>
      </w:r>
    </w:p>
    <w:p>
      <w:pPr>
        <w:pStyle w:val="ListBullet"/>
        <w:spacing w:after="40"/>
      </w:pPr>
      <w:r>
        <w:t>Calendar sync button that saves or updates a matching shared calendar item.</w:t>
      </w:r>
    </w:p>
    <w:p>
      <w:pPr>
        <w:pStyle w:val="ListBullet"/>
        <w:spacing w:after="40"/>
      </w:pPr>
      <w:r>
        <w:t>Session-state integration so the selected campaign carries into recommendation and content pages.</w:t>
      </w:r>
    </w:p>
    <w:p>
      <w:pPr>
        <w:pStyle w:val="Heading2"/>
      </w:pPr>
      <w:r>
        <w:t>4.3 AI Campaign Recommendation</w:t>
      </w:r>
    </w:p>
    <w:p>
      <w:r>
        <w:t>The recommendation page helps the marketing team decide what to promote next. It is designed as a decision workspace rather than a simple list of content ideas.</w:t>
      </w:r>
    </w:p>
    <w:p>
      <w:pPr>
        <w:pStyle w:val="ListBullet"/>
        <w:spacing w:after="40"/>
      </w:pPr>
      <w:r>
        <w:t>Primary recommended campaign with score, audience fit, asset readiness, urgency, and reasoning.</w:t>
      </w:r>
    </w:p>
    <w:p>
      <w:pPr>
        <w:pStyle w:val="ListBullet"/>
        <w:spacing w:after="40"/>
      </w:pPr>
      <w:r>
        <w:t>Mode switch for Digital Campaign, Offline Activation, and Hybrid Campaign.</w:t>
      </w:r>
    </w:p>
    <w:p>
      <w:pPr>
        <w:pStyle w:val="ListBullet"/>
        <w:spacing w:after="40"/>
      </w:pPr>
      <w:r>
        <w:t>Comparison section for other campaign options.</w:t>
      </w:r>
    </w:p>
    <w:p>
      <w:pPr>
        <w:pStyle w:val="ListBullet"/>
        <w:spacing w:after="40"/>
      </w:pPr>
      <w:r>
        <w:t>Tabs for why this campaign, audience fit, asset readiness, offline activation, and donor opportunity.</w:t>
      </w:r>
    </w:p>
    <w:p>
      <w:pPr>
        <w:pStyle w:val="Heading2"/>
      </w:pPr>
      <w:r>
        <w:t>4.4 AI Viral Content Engine</w:t>
      </w:r>
    </w:p>
    <w:p>
      <w:r>
        <w:t>The Viral Content Engine helps staff understand short-form content strategy without needing social media trend expertise. It teaches the logic behind content styles and adapts them to BGC programs.</w:t>
      </w:r>
    </w:p>
    <w:p>
      <w:pPr>
        <w:pStyle w:val="ListBullet"/>
        <w:spacing w:after="40"/>
      </w:pPr>
      <w:r>
        <w:t>Current viral content signals such as POV storytelling, day-in-the-life, text-overlay reels, and behind-the-scenes nonprofit content.</w:t>
      </w:r>
    </w:p>
    <w:p>
      <w:pPr>
        <w:pStyle w:val="ListBullet"/>
        <w:spacing w:after="40"/>
      </w:pPr>
      <w:r>
        <w:t>Best program matches for current trends with viral potential scores.</w:t>
      </w:r>
    </w:p>
    <w:p>
      <w:pPr>
        <w:pStyle w:val="ListBullet"/>
        <w:spacing w:after="40"/>
      </w:pPr>
      <w:r>
        <w:t>Viral hook generator with emotional, curiosity, parent-focused, and CTA hooks.</w:t>
      </w:r>
    </w:p>
    <w:p>
      <w:pPr>
        <w:pStyle w:val="ListBullet"/>
        <w:spacing w:after="40"/>
      </w:pPr>
      <w:r>
        <w:t>Reel structure builder with scenes, camera suggestions, text overlays, voiceover, and CTA ending.</w:t>
      </w:r>
    </w:p>
    <w:p>
      <w:pPr>
        <w:pStyle w:val="ListBullet"/>
        <w:spacing w:after="40"/>
      </w:pPr>
      <w:r>
        <w:t>Offline Moment -&gt; Viral Content section for Backpack Campaign, Angel Tree, and Campus Ambassador Program.</w:t>
      </w:r>
    </w:p>
    <w:p>
      <w:pPr>
        <w:pStyle w:val="Heading2"/>
      </w:pPr>
      <w:r>
        <w:t>4.5 AI Content Studio</w:t>
      </w:r>
    </w:p>
    <w:p>
      <w:r>
        <w:t>The Content Studio generates and adapts campaign copy across channels while simulating AI writing assistance through predefined logic and scoring.</w:t>
      </w:r>
    </w:p>
    <w:p>
      <w:pPr>
        <w:pStyle w:val="ListBullet"/>
        <w:spacing w:after="40"/>
      </w:pPr>
      <w:r>
        <w:t>Modes for Standard Campaign Copy, Fun Social Content Ideas, and Video Inspiration Builder.</w:t>
      </w:r>
    </w:p>
    <w:p>
      <w:pPr>
        <w:pStyle w:val="ListBullet"/>
        <w:spacing w:after="40"/>
      </w:pPr>
      <w:r>
        <w:t>Platform-specific writing for Instagram, Facebook, LinkedIn, newsletter, and partner email.</w:t>
      </w:r>
    </w:p>
    <w:p>
      <w:pPr>
        <w:pStyle w:val="ListBullet"/>
        <w:spacing w:after="40"/>
      </w:pPr>
      <w:r>
        <w:t>Rewrite buttons for shorter, more emotional, CTA-focused, and parent-focused versions.</w:t>
      </w:r>
    </w:p>
    <w:p>
      <w:pPr>
        <w:pStyle w:val="ListBullet"/>
        <w:spacing w:after="40"/>
      </w:pPr>
      <w:r>
        <w:t>AI Content Score panel with emotional impact, hook strength, clarity, CTA strength, shareability, parent appeal, youth appeal, authenticity, and community relevance.</w:t>
      </w:r>
    </w:p>
    <w:p>
      <w:pPr>
        <w:pStyle w:val="ListBullet"/>
        <w:spacing w:after="40"/>
      </w:pPr>
      <w:r>
        <w:t>Visual direction notes for filming style, captions, pacing, and production guidance.</w:t>
      </w:r>
    </w:p>
    <w:p>
      <w:pPr>
        <w:pStyle w:val="Heading2"/>
      </w:pPr>
      <w:r>
        <w:t>4.6 Campaign Planner</w:t>
      </w:r>
    </w:p>
    <w:p>
      <w:r>
        <w:t>The planner turns campaign recommendations into real execution plans across digital posts, offline activation, regional intelligence, and partnerships.</w:t>
      </w:r>
    </w:p>
    <w:p>
      <w:pPr>
        <w:pStyle w:val="ListBullet"/>
        <w:spacing w:after="40"/>
      </w:pPr>
      <w:r>
        <w:t>Weekly Plan tab with key content actions and pipeline status.</w:t>
      </w:r>
    </w:p>
    <w:p>
      <w:pPr>
        <w:pStyle w:val="ListBullet"/>
        <w:spacing w:after="40"/>
      </w:pPr>
      <w:r>
        <w:t>Offline Activation tab for Backpack Campaign, Angel Tree BGC Edition, and Campus Ambassador Program.</w:t>
      </w:r>
    </w:p>
    <w:p>
      <w:pPr>
        <w:pStyle w:val="ListBullet"/>
        <w:spacing w:after="40"/>
      </w:pPr>
      <w:r>
        <w:t>Regional Intelligence tab using mock London-area engagement signals and region-focused recommendations.</w:t>
      </w:r>
    </w:p>
    <w:p>
      <w:pPr>
        <w:pStyle w:val="ListBullet"/>
        <w:spacing w:after="40"/>
      </w:pPr>
      <w:r>
        <w:t>Partnership Ideas tab showing schools, campuses, local businesses, and local media with specific asks and marketing support content.</w:t>
      </w:r>
    </w:p>
    <w:p>
      <w:pPr>
        <w:pStyle w:val="Heading2"/>
      </w:pPr>
      <w:r>
        <w:t>4.7 Shared Calendar</w:t>
      </w:r>
    </w:p>
    <w:p>
      <w:r>
        <w:t>The Shared Calendar supports both weekly and monthly planning views. It includes marketing campaigns and program activities submitted by departments.</w:t>
      </w:r>
    </w:p>
    <w:p>
      <w:pPr>
        <w:pStyle w:val="ListBullet"/>
        <w:spacing w:after="40"/>
      </w:pPr>
      <w:r>
        <w:t>Week view with Monday-to-Sunday campaign and activity cards.</w:t>
      </w:r>
    </w:p>
    <w:p>
      <w:pPr>
        <w:pStyle w:val="ListBullet"/>
        <w:spacing w:after="40"/>
      </w:pPr>
      <w:r>
        <w:t>Month view with key campaign/activity items and compact event labels.</w:t>
      </w:r>
    </w:p>
    <w:p>
      <w:pPr>
        <w:pStyle w:val="ListBullet"/>
        <w:spacing w:after="40"/>
      </w:pPr>
      <w:r>
        <w:t>Calendar items can be created from Program &amp; Asset Intake and updated without duplication when program/date match.</w:t>
      </w:r>
    </w:p>
    <w:p>
      <w:pPr>
        <w:pStyle w:val="ListBullet"/>
        <w:spacing w:after="40"/>
      </w:pPr>
      <w:r>
        <w:t>Event cards show program, department, channel/activity type, status, and source.</w:t>
      </w:r>
    </w:p>
    <w:p>
      <w:pPr>
        <w:pStyle w:val="Heading2"/>
      </w:pPr>
      <w:r>
        <w:t>4.8 Department Message Board</w:t>
      </w:r>
    </w:p>
    <w:p>
      <w:r>
        <w:t>The message board functions as a lightweight internal communication workspace. It reduces reliance on verbal reminders and scattered text messages.</w:t>
      </w:r>
    </w:p>
    <w:p>
      <w:pPr>
        <w:pStyle w:val="ListBullet"/>
        <w:spacing w:after="40"/>
      </w:pPr>
      <w:r>
        <w:t>Department channels for marketing, program staff, education, sports, volunteers, partnerships, and front desk.</w:t>
      </w:r>
    </w:p>
    <w:p>
      <w:pPr>
        <w:pStyle w:val="ListBullet"/>
        <w:spacing w:after="40"/>
      </w:pPr>
      <w:r>
        <w:t>Prominent message composer at the top for posting updates.</w:t>
      </w:r>
    </w:p>
    <w:p>
      <w:pPr>
        <w:pStyle w:val="ListBullet"/>
        <w:spacing w:after="40"/>
      </w:pPr>
      <w:r>
        <w:t>Message feed with sender, department, timestamp, body, type, and priority tags.</w:t>
      </w:r>
    </w:p>
    <w:p>
      <w:pPr>
        <w:pStyle w:val="ListBullet"/>
        <w:spacing w:after="40"/>
      </w:pPr>
      <w:r>
        <w:t>Session-state message storage for demo submissions.</w:t>
      </w:r>
    </w:p>
    <w:p>
      <w:pPr>
        <w:pStyle w:val="Heading2"/>
      </w:pPr>
      <w:r>
        <w:t>4.9 Asset Library and Quick Use</w:t>
      </w:r>
    </w:p>
    <w:p>
      <w:r>
        <w:t>The Asset Library is designed as a visual media library rather than a text-heavy data table. It helps marketing staff browse reusable content and move assets directly into content creation.</w:t>
      </w:r>
    </w:p>
    <w:p>
      <w:pPr>
        <w:pStyle w:val="ListBullet"/>
        <w:spacing w:after="40"/>
      </w:pPr>
      <w:r>
        <w:t>Visual asset grid with preview, title, tags, consent status, channel fit, and AI suggestion.</w:t>
      </w:r>
    </w:p>
    <w:p>
      <w:pPr>
        <w:pStyle w:val="ListBullet"/>
        <w:spacing w:after="40"/>
      </w:pPr>
      <w:r>
        <w:t>Tag-style filters for program, asset type, channel, approval, and consent status.</w:t>
      </w:r>
    </w:p>
    <w:p>
      <w:pPr>
        <w:pStyle w:val="ListBullet"/>
        <w:spacing w:after="40"/>
      </w:pPr>
      <w:r>
        <w:t>Use in campaign button saves selected asset to session_state and navigates to AI Content Studio.</w:t>
      </w:r>
    </w:p>
    <w:p>
      <w:pPr>
        <w:pStyle w:val="ListBullet"/>
        <w:spacing w:after="40"/>
      </w:pPr>
      <w:r>
        <w:t>Department asset upload/intake form for non-marketing users.</w:t>
      </w:r>
    </w:p>
    <w:p>
      <w:pPr>
        <w:pStyle w:val="Heading1"/>
      </w:pPr>
      <w:r>
        <w:t>5. Strategic Role and System Value</w:t>
      </w:r>
    </w:p>
    <w:tbl>
      <w:tblPr>
        <w:tblW w:type="pct" w:w="5000"/>
        <w:jc w:val="center"/>
        <w:tblLook w:firstColumn="1" w:firstRow="1" w:lastColumn="0" w:lastRow="0" w:noHBand="0" w:noVBand="1" w:val="04A0"/>
      </w:tblPr>
      <w:tblGrid>
        <w:gridCol w:w="10166"/>
      </w:tblGrid>
      <w:tr>
        <w:tc>
          <w:tcPr>
            <w:tcW w:type="dxa" w:w="10166"/>
            <w:shd w:fill="FFF9E5"/>
            <w:tcBorders>
              <w:top w:val="single" w:sz="8" w:space="0" w:color="DDE8E2"/>
              <w:left w:val="single" w:sz="8" w:space="0" w:color="DDE8E2"/>
              <w:bottom w:val="single" w:sz="8" w:space="0" w:color="DDE8E2"/>
              <w:right w:val="single" w:sz="8" w:space="0" w:color="DDE8E2"/>
            </w:tcBorders>
            <w:tcMar>
              <w:top w:w="180" w:type="dxa"/>
              <w:start w:w="220" w:type="dxa"/>
              <w:bottom w:w="180" w:type="dxa"/>
              <w:end w:w="220" w:type="dxa"/>
            </w:tcMar>
          </w:tcPr>
          <w:p>
            <w:pPr>
              <w:spacing w:after="80"/>
            </w:pPr>
            <w:r>
              <w:rPr>
                <w:b/>
                <w:color w:val="102F34"/>
                <w:sz w:val="24"/>
              </w:rPr>
              <w:t>Strategic insight</w:t>
            </w:r>
          </w:p>
          <w:p>
            <w:pPr>
              <w:spacing w:after="0"/>
            </w:pPr>
            <w:r>
              <w:rPr>
                <w:color w:val="3D4F54"/>
                <w:sz w:val="19"/>
              </w:rPr>
              <w:t>BGC’s marketing challenge is not only low reach. It is also a positioning and memorability challenge. The system helps staff repeatedly communicate the same core value message: BGC is not just recreation or childcare; it is mentorship, belonging, confidence, meals, scholarships, leadership, wellness, and community transformation.</w:t>
            </w:r>
          </w:p>
        </w:tc>
      </w:tr>
    </w:tbl>
    <w:p>
      <w:pPr>
        <w:spacing w:after="40"/>
      </w:pPr>
    </w:p>
    <w:tbl>
      <w:tblPr>
        <w:tblStyle w:val="TableGrid"/>
        <w:tblW w:type="pct" w:w="5000"/>
        <w:jc w:val="center"/>
        <w:tblLook w:firstColumn="1" w:firstRow="1" w:lastColumn="0" w:lastRow="0" w:noHBand="0" w:noVBand="1" w:val="04A0"/>
      </w:tblPr>
      <w:tblGrid>
        <w:gridCol w:w="5083"/>
        <w:gridCol w:w="5083"/>
      </w:tblGrid>
      <w:tr>
        <w:trPr>
          <w:tblHeader w:val="true"/>
        </w:trPr>
        <w:tc>
          <w:tcPr>
            <w:tcW w:type="dxa" w:w="2592"/>
            <w:shd w:fill="2F7A55"/>
            <w:tcBorders>
              <w:top w:val="single" w:sz="8" w:space="0" w:color="2F7A55"/>
              <w:left w:val="single" w:sz="8" w:space="0" w:color="2F7A55"/>
              <w:bottom w:val="single" w:sz="8" w:space="0" w:color="2F7A55"/>
              <w:right w:val="single" w:sz="8" w:space="0" w:color="2F7A55"/>
            </w:tcBorders>
            <w:tcMar>
              <w:top w:w="120" w:type="dxa"/>
              <w:start w:w="120" w:type="dxa"/>
              <w:bottom w:w="120" w:type="dxa"/>
              <w:end w:w="120" w:type="dxa"/>
            </w:tcMar>
            <w:vAlign w:val="center"/>
          </w:tcPr>
          <w:p>
            <w:pPr>
              <w:jc w:val="left"/>
            </w:pPr>
            <w:r>
              <w:rPr>
                <w:b/>
                <w:color w:val="FFFFFF"/>
                <w:sz w:val="17"/>
              </w:rPr>
              <w:t>Value Area</w:t>
            </w:r>
          </w:p>
        </w:tc>
        <w:tc>
          <w:tcPr>
            <w:tcW w:type="dxa" w:w="7920"/>
            <w:shd w:fill="2F7A55"/>
            <w:tcBorders>
              <w:top w:val="single" w:sz="8" w:space="0" w:color="2F7A55"/>
              <w:left w:val="single" w:sz="8" w:space="0" w:color="2F7A55"/>
              <w:bottom w:val="single" w:sz="8" w:space="0" w:color="2F7A55"/>
              <w:right w:val="single" w:sz="8" w:space="0" w:color="2F7A55"/>
            </w:tcBorders>
            <w:tcMar>
              <w:top w:w="120" w:type="dxa"/>
              <w:start w:w="120" w:type="dxa"/>
              <w:bottom w:w="120" w:type="dxa"/>
              <w:end w:w="120" w:type="dxa"/>
            </w:tcMar>
            <w:vAlign w:val="center"/>
          </w:tcPr>
          <w:p>
            <w:pPr>
              <w:jc w:val="left"/>
            </w:pPr>
            <w:r>
              <w:rPr>
                <w:b/>
                <w:color w:val="FFFFFF"/>
                <w:sz w:val="17"/>
              </w:rPr>
              <w:t>How the System Helps</w:t>
            </w:r>
          </w:p>
        </w:tc>
      </w:tr>
      <w:tr>
        <w:tc>
          <w:tcPr>
            <w:tcW w:type="dxa" w:w="259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Marketing execution</w:t>
            </w:r>
          </w:p>
        </w:tc>
        <w:tc>
          <w:tcPr>
            <w:tcW w:type="dxa" w:w="792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Turns scattered ideas into a structured workflow: recommend, create, plan, publish, and measure.</w:t>
            </w:r>
          </w:p>
        </w:tc>
      </w:tr>
      <w:tr>
        <w:tc>
          <w:tcPr>
            <w:tcW w:type="dxa" w:w="259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Cross-department communication</w:t>
            </w:r>
          </w:p>
        </w:tc>
        <w:tc>
          <w:tcPr>
            <w:tcW w:type="dxa" w:w="792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Creates a shared place for departments to submit updates, assets, and calendar items instead of relying only on text messages or verbal reminders.</w:t>
            </w:r>
          </w:p>
        </w:tc>
      </w:tr>
      <w:tr>
        <w:tc>
          <w:tcPr>
            <w:tcW w:type="dxa" w:w="259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Audience awareness</w:t>
            </w:r>
          </w:p>
        </w:tc>
        <w:tc>
          <w:tcPr>
            <w:tcW w:type="dxa" w:w="792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Helps BGC repeat memorable campaign themes across social media, newsletters, partners, donors, and offline activations.</w:t>
            </w:r>
          </w:p>
        </w:tc>
      </w:tr>
      <w:tr>
        <w:tc>
          <w:tcPr>
            <w:tcW w:type="dxa" w:w="259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Donor visibility</w:t>
            </w:r>
          </w:p>
        </w:tc>
        <w:tc>
          <w:tcPr>
            <w:tcW w:type="dxa" w:w="792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Highlights proof points such as meals served, scholarships, transportation support, sports equipment access, and youth confidence-building stories.</w:t>
            </w:r>
          </w:p>
        </w:tc>
      </w:tr>
      <w:tr>
        <w:tc>
          <w:tcPr>
            <w:tcW w:type="dxa" w:w="259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Offline/community reach</w:t>
            </w:r>
          </w:p>
        </w:tc>
        <w:tc>
          <w:tcPr>
            <w:tcW w:type="dxa" w:w="792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Adds partnership planning, donation drives, campus ambassadors, local media, schools, and business drop-off points.</w:t>
            </w:r>
          </w:p>
        </w:tc>
      </w:tr>
      <w:tr>
        <w:tc>
          <w:tcPr>
            <w:tcW w:type="dxa" w:w="259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Staff enablement</w:t>
            </w:r>
          </w:p>
        </w:tc>
        <w:tc>
          <w:tcPr>
            <w:tcW w:type="dxa" w:w="792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Gives non-specialists practical content structures, hooks, video plans, and recommended actions.</w:t>
            </w:r>
          </w:p>
        </w:tc>
      </w:tr>
    </w:tbl>
    <w:p>
      <w:pPr>
        <w:spacing w:after="120"/>
      </w:pPr>
    </w:p>
    <w:p>
      <w:pPr>
        <w:pStyle w:val="Heading1"/>
      </w:pPr>
      <w:r>
        <w:t>6. Current Demo Algorithm</w:t>
      </w:r>
    </w:p>
    <w:p>
      <w:r>
        <w:t>The current prototype does not call external AI or analytics APIs. Instead, it simulates intelligent behavior through transparent rule-based scoring, structured mock data, session-state memory, and predefined content variation libraries. This keeps the demo stable, fast, and easy to present.</w:t>
      </w:r>
    </w:p>
    <w:p>
      <w:pPr>
        <w:pStyle w:val="Heading2"/>
      </w:pPr>
      <w:r>
        <w:t>6.1 Intake Completeness and Campaign Confidence</w:t>
      </w:r>
    </w:p>
    <w:p>
      <w:r>
        <w:t>When users enter a custom program or campaign brief, the system evaluates how complete and credible the information is before assigning recommendation confidence. This prevents a minimal placeholder such as “test” from appearing as a fully validated campaign.</w:t>
      </w:r>
    </w:p>
    <w:tbl>
      <w:tblPr>
        <w:tblStyle w:val="TableGrid"/>
        <w:tblW w:type="pct" w:w="5000"/>
        <w:jc w:val="center"/>
        <w:tblLook w:firstColumn="1" w:firstRow="1" w:lastColumn="0" w:lastRow="0" w:noHBand="0" w:noVBand="1" w:val="04A0"/>
      </w:tblPr>
      <w:tblGrid>
        <w:gridCol w:w="5083"/>
        <w:gridCol w:w="5083"/>
      </w:tblGrid>
      <w:tr>
        <w:trPr>
          <w:tblHeader w:val="true"/>
        </w:trPr>
        <w:tc>
          <w:tcPr>
            <w:tcW w:type="dxa" w:w="2592"/>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Signal</w:t>
            </w:r>
          </w:p>
        </w:tc>
        <w:tc>
          <w:tcPr>
            <w:tcW w:type="dxa" w:w="7920"/>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How It Affects the Demo Algorithm</w:t>
            </w:r>
          </w:p>
        </w:tc>
      </w:tr>
      <w:tr>
        <w:tc>
          <w:tcPr>
            <w:tcW w:type="dxa" w:w="259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Program specificity</w:t>
            </w:r>
          </w:p>
        </w:tc>
        <w:tc>
          <w:tcPr>
            <w:tcW w:type="dxa" w:w="792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Specific program names score higher than placeholders or very short entries.</w:t>
            </w:r>
          </w:p>
        </w:tc>
      </w:tr>
      <w:tr>
        <w:tc>
          <w:tcPr>
            <w:tcW w:type="dxa" w:w="259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Audience clarity</w:t>
            </w:r>
          </w:p>
        </w:tc>
        <w:tc>
          <w:tcPr>
            <w:tcW w:type="dxa" w:w="792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Clear target audiences improve audience fit and channel confidence.</w:t>
            </w:r>
          </w:p>
        </w:tc>
      </w:tr>
      <w:tr>
        <w:tc>
          <w:tcPr>
            <w:tcW w:type="dxa" w:w="259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Key message quality</w:t>
            </w:r>
          </w:p>
        </w:tc>
        <w:tc>
          <w:tcPr>
            <w:tcW w:type="dxa" w:w="792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Specific outcomes, story details, or proof points increase mission alignment and content quality.</w:t>
            </w:r>
          </w:p>
        </w:tc>
      </w:tr>
      <w:tr>
        <w:tc>
          <w:tcPr>
            <w:tcW w:type="dxa" w:w="259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Asset readiness</w:t>
            </w:r>
          </w:p>
        </w:tc>
        <w:tc>
          <w:tcPr>
            <w:tcW w:type="dxa" w:w="792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Available photos, video, testimonials, and high-quality assets increase asset readiness score.</w:t>
            </w:r>
          </w:p>
        </w:tc>
      </w:tr>
      <w:tr>
        <w:tc>
          <w:tcPr>
            <w:tcW w:type="dxa" w:w="259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Timing urgency</w:t>
            </w:r>
          </w:p>
        </w:tc>
        <w:tc>
          <w:tcPr>
            <w:tcW w:type="dxa" w:w="792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Upcoming dates and seasonal relevance improve urgency.</w:t>
            </w:r>
          </w:p>
        </w:tc>
      </w:tr>
      <w:tr>
        <w:tc>
          <w:tcPr>
            <w:tcW w:type="dxa" w:w="259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Missing information</w:t>
            </w:r>
          </w:p>
        </w:tc>
        <w:tc>
          <w:tcPr>
            <w:tcW w:type="dxa" w:w="792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Missing fields lower recommendation confidence and produce more cautious reasoning.</w:t>
            </w:r>
          </w:p>
        </w:tc>
      </w:tr>
    </w:tbl>
    <w:p>
      <w:pPr>
        <w:spacing w:after="120"/>
      </w:pPr>
    </w:p>
    <w:p>
      <w:pPr>
        <w:pStyle w:val="Heading2"/>
      </w:pPr>
      <w:r>
        <w:t>6.2 Campaign Recommendation Score</w:t>
      </w:r>
    </w:p>
    <w:p>
      <w:r>
        <w:t>The recommendation score is a weighted mock calculation that combines marketing readiness, urgency, mission relevance, audience fit, asset readiness, and channel suitability.</w:t>
      </w:r>
    </w:p>
    <w:tbl>
      <w:tblPr>
        <w:tblW w:type="pct" w:w="5000"/>
        <w:jc w:val="center"/>
        <w:tblLook w:firstColumn="1" w:firstRow="1" w:lastColumn="0" w:lastRow="0" w:noHBand="0" w:noVBand="1" w:val="04A0"/>
      </w:tblPr>
      <w:tblGrid>
        <w:gridCol w:w="10166"/>
      </w:tblGrid>
      <w:tr>
        <w:tc>
          <w:tcPr>
            <w:tcW w:type="dxa" w:w="10166"/>
            <w:shd w:fill="F5F9F6"/>
            <w:tcBorders>
              <w:top w:val="single" w:sz="8" w:space="0" w:color="DDE8E2"/>
              <w:left w:val="single" w:sz="8" w:space="0" w:color="DDE8E2"/>
              <w:bottom w:val="single" w:sz="8" w:space="0" w:color="DDE8E2"/>
              <w:right w:val="single" w:sz="8" w:space="0" w:color="DDE8E2"/>
            </w:tcBorders>
            <w:tcMar>
              <w:top w:w="180" w:type="dxa"/>
              <w:start w:w="220" w:type="dxa"/>
              <w:bottom w:w="180" w:type="dxa"/>
              <w:end w:w="220" w:type="dxa"/>
            </w:tcMar>
          </w:tcPr>
          <w:p>
            <w:pPr>
              <w:spacing w:after="80"/>
            </w:pPr>
            <w:r>
              <w:rPr>
                <w:b/>
                <w:color w:val="102F34"/>
                <w:sz w:val="24"/>
              </w:rPr>
              <w:t>Illustrative formula</w:t>
            </w:r>
          </w:p>
          <w:p>
            <w:pPr>
              <w:spacing w:after="0"/>
            </w:pPr>
            <w:r>
              <w:rPr>
                <w:color w:val="3D4F54"/>
                <w:sz w:val="19"/>
              </w:rPr>
              <w:t>Recommendation Score = timing urgency + audience fit + asset readiness + mission alignment + engagement potential + department update signal. In the demo, these are represented by mock weights and guardrails rather than live analytics.</w:t>
            </w:r>
          </w:p>
        </w:tc>
      </w:tr>
    </w:tbl>
    <w:p>
      <w:pPr>
        <w:spacing w:after="40"/>
      </w:pPr>
    </w:p>
    <w:tbl>
      <w:tblPr>
        <w:tblStyle w:val="TableGrid"/>
        <w:tblW w:type="pct" w:w="5000"/>
        <w:jc w:val="center"/>
        <w:tblLook w:firstColumn="1" w:firstRow="1" w:lastColumn="0" w:lastRow="0" w:noHBand="0" w:noVBand="1" w:val="04A0"/>
      </w:tblPr>
      <w:tblGrid>
        <w:gridCol w:w="3389"/>
        <w:gridCol w:w="3389"/>
        <w:gridCol w:w="3389"/>
      </w:tblGrid>
      <w:tr>
        <w:trPr>
          <w:tblHeader w:val="true"/>
        </w:trPr>
        <w:tc>
          <w:tcPr>
            <w:tcW w:type="dxa" w:w="2232"/>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Component</w:t>
            </w:r>
          </w:p>
        </w:tc>
        <w:tc>
          <w:tcPr>
            <w:tcW w:type="dxa" w:w="3960"/>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Example Inputs</w:t>
            </w:r>
          </w:p>
        </w:tc>
        <w:tc>
          <w:tcPr>
            <w:tcW w:type="dxa" w:w="4320"/>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Purpose</w:t>
            </w:r>
          </w:p>
        </w:tc>
      </w:tr>
      <w:tr>
        <w:tc>
          <w:tcPr>
            <w:tcW w:type="dxa" w:w="223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Timing urgency</w:t>
            </w:r>
          </w:p>
        </w:tc>
        <w:tc>
          <w:tcPr>
            <w:tcW w:type="dxa" w:w="396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Upcoming date, seasonal moment, back-to-school relevance</w:t>
            </w:r>
          </w:p>
        </w:tc>
        <w:tc>
          <w:tcPr>
            <w:tcW w:type="dxa" w:w="432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Determines whether the campaign should be promoted soon.</w:t>
            </w:r>
          </w:p>
        </w:tc>
      </w:tr>
      <w:tr>
        <w:tc>
          <w:tcPr>
            <w:tcW w:type="dxa" w:w="223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Audience fit</w:t>
            </w:r>
          </w:p>
        </w:tc>
        <w:tc>
          <w:tcPr>
            <w:tcW w:type="dxa" w:w="396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Parents, youth, donors, volunteers, older adults, community supporters</w:t>
            </w:r>
          </w:p>
        </w:tc>
        <w:tc>
          <w:tcPr>
            <w:tcW w:type="dxa" w:w="432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Determines whether the message has a clear target audience.</w:t>
            </w:r>
          </w:p>
        </w:tc>
      </w:tr>
      <w:tr>
        <w:tc>
          <w:tcPr>
            <w:tcW w:type="dxa" w:w="223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Asset readiness</w:t>
            </w:r>
          </w:p>
        </w:tc>
        <w:tc>
          <w:tcPr>
            <w:tcW w:type="dxa" w:w="396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Photos, videos, testimonials, consent status, quality</w:t>
            </w:r>
          </w:p>
        </w:tc>
        <w:tc>
          <w:tcPr>
            <w:tcW w:type="dxa" w:w="432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Determines whether the campaign can be launched without major production delay.</w:t>
            </w:r>
          </w:p>
        </w:tc>
      </w:tr>
      <w:tr>
        <w:tc>
          <w:tcPr>
            <w:tcW w:type="dxa" w:w="223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Mission alignment</w:t>
            </w:r>
          </w:p>
        </w:tc>
        <w:tc>
          <w:tcPr>
            <w:tcW w:type="dxa" w:w="396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Belonging, confidence, meals, scholarships, wellness, leadership</w:t>
            </w:r>
          </w:p>
        </w:tc>
        <w:tc>
          <w:tcPr>
            <w:tcW w:type="dxa" w:w="432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Determines whether the campaign reinforces BGC’s long-term value.</w:t>
            </w:r>
          </w:p>
        </w:tc>
      </w:tr>
      <w:tr>
        <w:tc>
          <w:tcPr>
            <w:tcW w:type="dxa" w:w="223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Engagement potential</w:t>
            </w:r>
          </w:p>
        </w:tc>
        <w:tc>
          <w:tcPr>
            <w:tcW w:type="dxa" w:w="396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Past mock engagement, social format fit, channel fit</w:t>
            </w:r>
          </w:p>
        </w:tc>
        <w:tc>
          <w:tcPr>
            <w:tcW w:type="dxa" w:w="432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Determines likely response in social, newsletter, or partner channels.</w:t>
            </w:r>
          </w:p>
        </w:tc>
      </w:tr>
      <w:tr>
        <w:tc>
          <w:tcPr>
            <w:tcW w:type="dxa" w:w="223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Department signal</w:t>
            </w:r>
          </w:p>
        </w:tc>
        <w:tc>
          <w:tcPr>
            <w:tcW w:type="dxa" w:w="396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Submitted updates, asset notes, message board activity</w:t>
            </w:r>
          </w:p>
        </w:tc>
        <w:tc>
          <w:tcPr>
            <w:tcW w:type="dxa" w:w="432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Connects internal program updates to campaign planning.</w:t>
            </w:r>
          </w:p>
        </w:tc>
      </w:tr>
    </w:tbl>
    <w:p>
      <w:pPr>
        <w:spacing w:after="120"/>
      </w:pPr>
    </w:p>
    <w:p>
      <w:pPr>
        <w:pStyle w:val="Heading2"/>
      </w:pPr>
      <w:r>
        <w:t>6.3 AI Content Score</w:t>
      </w:r>
    </w:p>
    <w:p>
      <w:r>
        <w:t>The Content Studio evaluates generated content using heuristic signals such as tone, content length, emotional language, CTA presence, platform, and audience framing.</w:t>
      </w:r>
    </w:p>
    <w:tbl>
      <w:tblPr>
        <w:tblStyle w:val="TableGrid"/>
        <w:tblW w:type="pct" w:w="5000"/>
        <w:jc w:val="center"/>
        <w:tblLook w:firstColumn="1" w:firstRow="1" w:lastColumn="0" w:lastRow="0" w:noHBand="0" w:noVBand="1" w:val="04A0"/>
      </w:tblPr>
      <w:tblGrid>
        <w:gridCol w:w="5083"/>
        <w:gridCol w:w="5083"/>
      </w:tblGrid>
      <w:tr>
        <w:trPr>
          <w:tblHeader w:val="true"/>
        </w:trPr>
        <w:tc>
          <w:tcPr>
            <w:tcW w:type="dxa" w:w="2448"/>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Sub-score</w:t>
            </w:r>
          </w:p>
        </w:tc>
        <w:tc>
          <w:tcPr>
            <w:tcW w:type="dxa" w:w="8064"/>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Mock Evaluation Logic</w:t>
            </w:r>
          </w:p>
        </w:tc>
      </w:tr>
      <w:tr>
        <w:tc>
          <w:tcPr>
            <w:tcW w:type="dxa" w:w="2448"/>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Emotional Impact</w:t>
            </w:r>
          </w:p>
        </w:tc>
        <w:tc>
          <w:tcPr>
            <w:tcW w:type="dxa" w:w="8064"/>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Increases when the copy includes human outcomes, confidence, belonging, support, or transformation language.</w:t>
            </w:r>
          </w:p>
        </w:tc>
      </w:tr>
      <w:tr>
        <w:tc>
          <w:tcPr>
            <w:tcW w:type="dxa" w:w="2448"/>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Hook Strength</w:t>
            </w:r>
          </w:p>
        </w:tc>
        <w:tc>
          <w:tcPr>
            <w:tcW w:type="dxa" w:w="8064"/>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Increases when the opening sentence is concise, specific, and curiosity- or emotion-driven.</w:t>
            </w:r>
          </w:p>
        </w:tc>
      </w:tr>
      <w:tr>
        <w:tc>
          <w:tcPr>
            <w:tcW w:type="dxa" w:w="2448"/>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Clarity</w:t>
            </w:r>
          </w:p>
        </w:tc>
        <w:tc>
          <w:tcPr>
            <w:tcW w:type="dxa" w:w="8064"/>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Increases when sentences are direct, program purpose is understandable, and CTA is not buried.</w:t>
            </w:r>
          </w:p>
        </w:tc>
      </w:tr>
      <w:tr>
        <w:tc>
          <w:tcPr>
            <w:tcW w:type="dxa" w:w="2448"/>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CTA Strength</w:t>
            </w:r>
          </w:p>
        </w:tc>
        <w:tc>
          <w:tcPr>
            <w:tcW w:type="dxa" w:w="8064"/>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Increases when the copy clearly asks the reader to learn more, share, register, volunteer, donate, or connect.</w:t>
            </w:r>
          </w:p>
        </w:tc>
      </w:tr>
      <w:tr>
        <w:tc>
          <w:tcPr>
            <w:tcW w:type="dxa" w:w="2448"/>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Shareability</w:t>
            </w:r>
          </w:p>
        </w:tc>
        <w:tc>
          <w:tcPr>
            <w:tcW w:type="dxa" w:w="8064"/>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Increases for short-form, story-first, visually adaptable, and platform-native content.</w:t>
            </w:r>
          </w:p>
        </w:tc>
      </w:tr>
      <w:tr>
        <w:tc>
          <w:tcPr>
            <w:tcW w:type="dxa" w:w="2448"/>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Parent / Youth Appeal</w:t>
            </w:r>
          </w:p>
        </w:tc>
        <w:tc>
          <w:tcPr>
            <w:tcW w:type="dxa" w:w="8064"/>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Varies based on audience framing, tone, safety/trust language, belonging, identity, and future success.</w:t>
            </w:r>
          </w:p>
        </w:tc>
      </w:tr>
      <w:tr>
        <w:tc>
          <w:tcPr>
            <w:tcW w:type="dxa" w:w="2448"/>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Authenticity</w:t>
            </w:r>
          </w:p>
        </w:tc>
        <w:tc>
          <w:tcPr>
            <w:tcW w:type="dxa" w:w="8064"/>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Increases when the copy sounds human, practical, and specific rather than generic or corporate.</w:t>
            </w:r>
          </w:p>
        </w:tc>
      </w:tr>
    </w:tbl>
    <w:p>
      <w:pPr>
        <w:spacing w:after="120"/>
      </w:pPr>
    </w:p>
    <w:p>
      <w:pPr>
        <w:pStyle w:val="Heading2"/>
      </w:pPr>
      <w:r>
        <w:t>6.4 Viral Potential Score</w:t>
      </w:r>
    </w:p>
    <w:p>
      <w:r>
        <w:t>The Viral Content Engine uses mock trend intelligence to score how well a BGC program can fit current short-form content styles.</w:t>
      </w:r>
    </w:p>
    <w:p>
      <w:pPr>
        <w:pStyle w:val="ListBullet"/>
        <w:spacing w:after="40"/>
      </w:pPr>
      <w:r>
        <w:t>Emotional relatability: Does the concept invite people to identify with a real moment?</w:t>
      </w:r>
    </w:p>
    <w:p>
      <w:pPr>
        <w:pStyle w:val="ListBullet"/>
        <w:spacing w:after="40"/>
      </w:pPr>
      <w:r>
        <w:t>Shareability: Is the idea simple enough to understand and pass along?</w:t>
      </w:r>
    </w:p>
    <w:p>
      <w:pPr>
        <w:pStyle w:val="ListBullet"/>
        <w:spacing w:after="40"/>
      </w:pPr>
      <w:r>
        <w:t>Authenticity: Can it be filmed with phone-shot, real-life footage rather than polished corporate production?</w:t>
      </w:r>
    </w:p>
    <w:p>
      <w:pPr>
        <w:pStyle w:val="ListBullet"/>
        <w:spacing w:after="40"/>
      </w:pPr>
      <w:r>
        <w:t>Youth appeal: Does it feel current, creator-led, and visually energetic?</w:t>
      </w:r>
    </w:p>
    <w:p>
      <w:pPr>
        <w:pStyle w:val="ListBullet"/>
        <w:spacing w:after="40"/>
      </w:pPr>
      <w:r>
        <w:t>Parent engagement: Does it communicate safety, belonging, trust, and family relevance?</w:t>
      </w:r>
    </w:p>
    <w:p>
      <w:pPr>
        <w:pStyle w:val="ListBullet"/>
        <w:spacing w:after="40"/>
      </w:pPr>
      <w:r>
        <w:t>Hook strength: Does the first three seconds create curiosity or emotional connection?</w:t>
      </w:r>
    </w:p>
    <w:p>
      <w:pPr>
        <w:pStyle w:val="Heading2"/>
      </w:pPr>
      <w:r>
        <w:t>6.5 Regional Intelligence Heatmap</w:t>
      </w:r>
    </w:p>
    <w:p>
      <w:r>
        <w:t>The London Community Heatmap is a mock geographic intelligence layer. It shows how a future system could recommend local outreach strategies based on neighborhood engagement, audience behavior, volunteer interest, and awareness gaps.</w:t>
      </w:r>
    </w:p>
    <w:tbl>
      <w:tblPr>
        <w:tblStyle w:val="TableGrid"/>
        <w:tblW w:type="pct" w:w="5000"/>
        <w:jc w:val="center"/>
        <w:tblLook w:firstColumn="1" w:firstRow="1" w:lastColumn="0" w:lastRow="0" w:noHBand="0" w:noVBand="1" w:val="04A0"/>
      </w:tblPr>
      <w:tblGrid>
        <w:gridCol w:w="3389"/>
        <w:gridCol w:w="3389"/>
        <w:gridCol w:w="3389"/>
      </w:tblGrid>
      <w:tr>
        <w:trPr>
          <w:tblHeader w:val="true"/>
        </w:trPr>
        <w:tc>
          <w:tcPr>
            <w:tcW w:type="dxa" w:w="2016"/>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Region</w:t>
            </w:r>
          </w:p>
        </w:tc>
        <w:tc>
          <w:tcPr>
            <w:tcW w:type="dxa" w:w="3888"/>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Mock Signal</w:t>
            </w:r>
          </w:p>
        </w:tc>
        <w:tc>
          <w:tcPr>
            <w:tcW w:type="dxa" w:w="4608"/>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Recommended Campaign Logic</w:t>
            </w:r>
          </w:p>
        </w:tc>
      </w:tr>
      <w:tr>
        <w:tc>
          <w:tcPr>
            <w:tcW w:type="dxa" w:w="2016"/>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North London</w:t>
            </w:r>
          </w:p>
        </w:tc>
        <w:tc>
          <w:tcPr>
            <w:tcW w:type="dxa" w:w="3888"/>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Parent engagement and after-school relevance</w:t>
            </w:r>
          </w:p>
        </w:tc>
        <w:tc>
          <w:tcPr>
            <w:tcW w:type="dxa" w:w="4608"/>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Parent-focused safety and after-school campaign.</w:t>
            </w:r>
          </w:p>
        </w:tc>
      </w:tr>
      <w:tr>
        <w:tc>
          <w:tcPr>
            <w:tcW w:type="dxa" w:w="2016"/>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Downtown</w:t>
            </w:r>
          </w:p>
        </w:tc>
        <w:tc>
          <w:tcPr>
            <w:tcW w:type="dxa" w:w="3888"/>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Strong volunteer and community storytelling interest</w:t>
            </w:r>
          </w:p>
        </w:tc>
        <w:tc>
          <w:tcPr>
            <w:tcW w:type="dxa" w:w="4608"/>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Community story content with volunteer CTA.</w:t>
            </w:r>
          </w:p>
        </w:tc>
      </w:tr>
      <w:tr>
        <w:tc>
          <w:tcPr>
            <w:tcW w:type="dxa" w:w="2016"/>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East London</w:t>
            </w:r>
          </w:p>
        </w:tc>
        <w:tc>
          <w:tcPr>
            <w:tcW w:type="dxa" w:w="3888"/>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Growing youth engagement but lower awareness</w:t>
            </w:r>
          </w:p>
        </w:tc>
        <w:tc>
          <w:tcPr>
            <w:tcW w:type="dxa" w:w="4608"/>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After-school registration and MAP referral campaign.</w:t>
            </w:r>
          </w:p>
        </w:tc>
      </w:tr>
      <w:tr>
        <w:tc>
          <w:tcPr>
            <w:tcW w:type="dxa" w:w="2016"/>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West London</w:t>
            </w:r>
          </w:p>
        </w:tc>
        <w:tc>
          <w:tcPr>
            <w:tcW w:type="dxa" w:w="3888"/>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Sports and recreation entry points</w:t>
            </w:r>
          </w:p>
        </w:tc>
        <w:tc>
          <w:tcPr>
            <w:tcW w:type="dxa" w:w="4608"/>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Sports and recreation engagement push.</w:t>
            </w:r>
          </w:p>
        </w:tc>
      </w:tr>
      <w:tr>
        <w:tc>
          <w:tcPr>
            <w:tcW w:type="dxa" w:w="2016"/>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South London</w:t>
            </w:r>
          </w:p>
        </w:tc>
        <w:tc>
          <w:tcPr>
            <w:tcW w:type="dxa" w:w="3888"/>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Wellness and caregiver reminder opportunity</w:t>
            </w:r>
          </w:p>
        </w:tc>
        <w:tc>
          <w:tcPr>
            <w:tcW w:type="dxa" w:w="4608"/>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50+ wellness awareness campaign.</w:t>
            </w:r>
          </w:p>
        </w:tc>
      </w:tr>
    </w:tbl>
    <w:p>
      <w:pPr>
        <w:spacing w:after="120"/>
      </w:pPr>
    </w:p>
    <w:p>
      <w:pPr>
        <w:pStyle w:val="Heading2"/>
      </w:pPr>
      <w:r>
        <w:t>6.6 Calendar Sync Logic</w:t>
      </w:r>
    </w:p>
    <w:p>
      <w:r>
        <w:t>When a brief is saved from Program &amp; Asset Intake, the system creates or updates a matching item in the Shared Calendar. If the same program and date already exist, the item is updated instead of duplicated.</w:t>
      </w:r>
    </w:p>
    <w:p>
      <w:pPr>
        <w:pStyle w:val="ListBullet"/>
        <w:spacing w:after="40"/>
      </w:pPr>
      <w:r>
        <w:t>Stored fields include program name, segment, activity timing, program date, goal, target audience, key message, assets, asset quality, department, and source.</w:t>
      </w:r>
    </w:p>
    <w:p>
      <w:pPr>
        <w:pStyle w:val="ListBullet"/>
        <w:spacing w:after="40"/>
      </w:pPr>
      <w:r>
        <w:t>Calendar cards show program name, campaign goal, audience, status, and source: Program Intake.</w:t>
      </w:r>
    </w:p>
    <w:p>
      <w:pPr>
        <w:pStyle w:val="ListBullet"/>
        <w:spacing w:after="40"/>
      </w:pPr>
      <w:r>
        <w:t>Status is inferred from readiness signals such as asset quality and missing information.</w:t>
      </w:r>
    </w:p>
    <w:p>
      <w:pPr>
        <w:pStyle w:val="Heading1"/>
      </w:pPr>
      <w:r>
        <w:t>7. Future System Capabilities</w:t>
      </w:r>
    </w:p>
    <w:p>
      <w:r>
        <w:t>The current demo is intentionally mock-based. A production version could connect the same interface and workflow to real data sources, AI models, and operational systems.</w:t>
      </w:r>
    </w:p>
    <w:tbl>
      <w:tblPr>
        <w:tblStyle w:val="TableGrid"/>
        <w:tblW w:type="pct" w:w="5000"/>
        <w:jc w:val="center"/>
        <w:tblLook w:firstColumn="1" w:firstRow="1" w:lastColumn="0" w:lastRow="0" w:noHBand="0" w:noVBand="1" w:val="04A0"/>
      </w:tblPr>
      <w:tblGrid>
        <w:gridCol w:w="5083"/>
        <w:gridCol w:w="5083"/>
      </w:tblGrid>
      <w:tr>
        <w:trPr>
          <w:tblHeader w:val="true"/>
        </w:trPr>
        <w:tc>
          <w:tcPr>
            <w:tcW w:type="dxa" w:w="2736"/>
            <w:shd w:fill="5C9AA0"/>
            <w:tcBorders>
              <w:top w:val="single" w:sz="8" w:space="0" w:color="5C9AA0"/>
              <w:left w:val="single" w:sz="8" w:space="0" w:color="5C9AA0"/>
              <w:bottom w:val="single" w:sz="8" w:space="0" w:color="5C9AA0"/>
              <w:right w:val="single" w:sz="8" w:space="0" w:color="5C9AA0"/>
            </w:tcBorders>
            <w:tcMar>
              <w:top w:w="120" w:type="dxa"/>
              <w:start w:w="120" w:type="dxa"/>
              <w:bottom w:w="120" w:type="dxa"/>
              <w:end w:w="120" w:type="dxa"/>
            </w:tcMar>
            <w:vAlign w:val="center"/>
          </w:tcPr>
          <w:p>
            <w:pPr>
              <w:jc w:val="left"/>
            </w:pPr>
            <w:r>
              <w:rPr>
                <w:b/>
                <w:color w:val="FFFFFF"/>
                <w:sz w:val="17"/>
              </w:rPr>
              <w:t>Future Capability</w:t>
            </w:r>
          </w:p>
        </w:tc>
        <w:tc>
          <w:tcPr>
            <w:tcW w:type="dxa" w:w="7776"/>
            <w:shd w:fill="5C9AA0"/>
            <w:tcBorders>
              <w:top w:val="single" w:sz="8" w:space="0" w:color="5C9AA0"/>
              <w:left w:val="single" w:sz="8" w:space="0" w:color="5C9AA0"/>
              <w:bottom w:val="single" w:sz="8" w:space="0" w:color="5C9AA0"/>
              <w:right w:val="single" w:sz="8" w:space="0" w:color="5C9AA0"/>
            </w:tcBorders>
            <w:tcMar>
              <w:top w:w="120" w:type="dxa"/>
              <w:start w:w="120" w:type="dxa"/>
              <w:bottom w:w="120" w:type="dxa"/>
              <w:end w:w="120" w:type="dxa"/>
            </w:tcMar>
            <w:vAlign w:val="center"/>
          </w:tcPr>
          <w:p>
            <w:pPr>
              <w:jc w:val="left"/>
            </w:pPr>
            <w:r>
              <w:rPr>
                <w:b/>
                <w:color w:val="FFFFFF"/>
                <w:sz w:val="17"/>
              </w:rPr>
              <w:t>What It Would Enable</w:t>
            </w:r>
          </w:p>
        </w:tc>
      </w:tr>
      <w:tr>
        <w:tc>
          <w:tcPr>
            <w:tcW w:type="dxa" w:w="2736"/>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Real analytics integrations</w:t>
            </w:r>
          </w:p>
        </w:tc>
        <w:tc>
          <w:tcPr>
            <w:tcW w:type="dxa" w:w="7776"/>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Connect Meta, Instagram, TikTok, Google Analytics, Google Ads Grant, newsletter tools, and website analytics to replace mock performance signals.</w:t>
            </w:r>
          </w:p>
        </w:tc>
      </w:tr>
      <w:tr>
        <w:tc>
          <w:tcPr>
            <w:tcW w:type="dxa" w:w="2736"/>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Live AI recommendation engine</w:t>
            </w:r>
          </w:p>
        </w:tc>
        <w:tc>
          <w:tcPr>
            <w:tcW w:type="dxa" w:w="7776"/>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Use real campaign history, engagement patterns, program dates, asset metadata, and audience behavior to prioritize campaigns.</w:t>
            </w:r>
          </w:p>
        </w:tc>
      </w:tr>
      <w:tr>
        <w:tc>
          <w:tcPr>
            <w:tcW w:type="dxa" w:w="2736"/>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Database-backed collaboration</w:t>
            </w:r>
          </w:p>
        </w:tc>
        <w:tc>
          <w:tcPr>
            <w:tcW w:type="dxa" w:w="7776"/>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Store briefs, messages, calendar items, assets, consent status, and campaign history in a secure database.</w:t>
            </w:r>
          </w:p>
        </w:tc>
      </w:tr>
      <w:tr>
        <w:tc>
          <w:tcPr>
            <w:tcW w:type="dxa" w:w="2736"/>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Advanced role-based access</w:t>
            </w:r>
          </w:p>
        </w:tc>
        <w:tc>
          <w:tcPr>
            <w:tcW w:type="dxa" w:w="7776"/>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Separate permissions for marketing, program staff, leadership, volunteers, fundraisers, and administrators.</w:t>
            </w:r>
          </w:p>
        </w:tc>
      </w:tr>
      <w:tr>
        <w:tc>
          <w:tcPr>
            <w:tcW w:type="dxa" w:w="2736"/>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Asset intelligence</w:t>
            </w:r>
          </w:p>
        </w:tc>
        <w:tc>
          <w:tcPr>
            <w:tcW w:type="dxa" w:w="7776"/>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Auto-tag uploaded media, detect channel fit, flag missing consent, summarize testimonials, and recommend reuse opportunities.</w:t>
            </w:r>
          </w:p>
        </w:tc>
      </w:tr>
      <w:tr>
        <w:tc>
          <w:tcPr>
            <w:tcW w:type="dxa" w:w="2736"/>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Donor segmentation</w:t>
            </w:r>
          </w:p>
        </w:tc>
        <w:tc>
          <w:tcPr>
            <w:tcW w:type="dxa" w:w="7776"/>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Match campaign proof points to donor interests, partner categories, CSR themes, and recurring giving opportunities.</w:t>
            </w:r>
          </w:p>
        </w:tc>
      </w:tr>
      <w:tr>
        <w:tc>
          <w:tcPr>
            <w:tcW w:type="dxa" w:w="2736"/>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Offline campaign tracking</w:t>
            </w:r>
          </w:p>
        </w:tc>
        <w:tc>
          <w:tcPr>
            <w:tcW w:type="dxa" w:w="7776"/>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Track QR scans, school referrals, drop-off locations, donation milestones, ambassador signups, and local media mentions.</w:t>
            </w:r>
          </w:p>
        </w:tc>
      </w:tr>
      <w:tr>
        <w:tc>
          <w:tcPr>
            <w:tcW w:type="dxa" w:w="2736"/>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Automated reporting</w:t>
            </w:r>
          </w:p>
        </w:tc>
        <w:tc>
          <w:tcPr>
            <w:tcW w:type="dxa" w:w="7776"/>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Generate monthly board summaries, quarterly donor reports, campaign retrospectives, and next-best-campaign recommendations.</w:t>
            </w:r>
          </w:p>
        </w:tc>
      </w:tr>
      <w:tr>
        <w:tc>
          <w:tcPr>
            <w:tcW w:type="dxa" w:w="2736"/>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Production content AI</w:t>
            </w:r>
          </w:p>
        </w:tc>
        <w:tc>
          <w:tcPr>
            <w:tcW w:type="dxa" w:w="7776"/>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Use a controlled AI model to generate channel-specific copy, variations, video scripts, donor messages, and partner outreach emails with brand and privacy guardrails.</w:t>
            </w:r>
          </w:p>
        </w:tc>
      </w:tr>
    </w:tbl>
    <w:p>
      <w:pPr>
        <w:spacing w:after="120"/>
      </w:pPr>
    </w:p>
    <w:p>
      <w:pPr>
        <w:pStyle w:val="Heading1"/>
      </w:pPr>
      <w:r>
        <w:t>8. Implementation Boundary of the Current Demo</w:t>
      </w:r>
    </w:p>
    <w:tbl>
      <w:tblPr>
        <w:tblW w:type="pct" w:w="5000"/>
        <w:jc w:val="center"/>
        <w:tblLook w:firstColumn="1" w:firstRow="1" w:lastColumn="0" w:lastRow="0" w:noHBand="0" w:noVBand="1" w:val="04A0"/>
      </w:tblPr>
      <w:tblGrid>
        <w:gridCol w:w="10166"/>
      </w:tblGrid>
      <w:tr>
        <w:tc>
          <w:tcPr>
            <w:tcW w:type="dxa" w:w="10166"/>
            <w:shd w:fill="FFF9E5"/>
            <w:tcBorders>
              <w:top w:val="single" w:sz="8" w:space="0" w:color="DDE8E2"/>
              <w:left w:val="single" w:sz="8" w:space="0" w:color="DDE8E2"/>
              <w:bottom w:val="single" w:sz="8" w:space="0" w:color="DDE8E2"/>
              <w:right w:val="single" w:sz="8" w:space="0" w:color="DDE8E2"/>
            </w:tcBorders>
            <w:tcMar>
              <w:top w:w="180" w:type="dxa"/>
              <w:start w:w="220" w:type="dxa"/>
              <w:bottom w:w="180" w:type="dxa"/>
              <w:end w:w="220" w:type="dxa"/>
            </w:tcMar>
          </w:tcPr>
          <w:p>
            <w:pPr>
              <w:spacing w:after="80"/>
            </w:pPr>
            <w:r>
              <w:rPr>
                <w:b/>
                <w:color w:val="102F34"/>
                <w:sz w:val="24"/>
              </w:rPr>
              <w:t>Important demo boundary</w:t>
            </w:r>
          </w:p>
          <w:p>
            <w:pPr>
              <w:spacing w:after="0"/>
            </w:pPr>
            <w:r>
              <w:rPr>
                <w:color w:val="3D4F54"/>
                <w:sz w:val="19"/>
              </w:rPr>
              <w:t>The current system is a functional prototype using mock data, deterministic logic, predefined content libraries, and Streamlit session state. It does not yet connect to real analytics APIs, social platforms, CRM/donor databases, or live AI services. This is by design: the demo is built to demonstrate the workflow, user experience, strategic value, and future product direction.</w:t>
            </w:r>
          </w:p>
        </w:tc>
      </w:tr>
    </w:tbl>
    <w:p>
      <w:pPr>
        <w:spacing w:after="40"/>
      </w:pPr>
    </w:p>
    <w:tbl>
      <w:tblPr>
        <w:tblStyle w:val="TableGrid"/>
        <w:tblW w:type="pct" w:w="5000"/>
        <w:jc w:val="center"/>
        <w:tblLook w:firstColumn="1" w:firstRow="1" w:lastColumn="0" w:lastRow="0" w:noHBand="0" w:noVBand="1" w:val="04A0"/>
      </w:tblPr>
      <w:tblGrid>
        <w:gridCol w:w="5083"/>
        <w:gridCol w:w="5083"/>
      </w:tblGrid>
      <w:tr>
        <w:trPr>
          <w:tblHeader w:val="true"/>
        </w:trPr>
        <w:tc>
          <w:tcPr>
            <w:tcW w:type="dxa" w:w="3240"/>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Currently Implemented</w:t>
            </w:r>
          </w:p>
        </w:tc>
        <w:tc>
          <w:tcPr>
            <w:tcW w:type="dxa" w:w="7272"/>
            <w:shd w:fill="102F34"/>
            <w:tcBorders>
              <w:top w:val="single" w:sz="8" w:space="0" w:color="102F34"/>
              <w:left w:val="single" w:sz="8" w:space="0" w:color="102F34"/>
              <w:bottom w:val="single" w:sz="8" w:space="0" w:color="102F34"/>
              <w:right w:val="single" w:sz="8" w:space="0" w:color="102F34"/>
            </w:tcBorders>
            <w:tcMar>
              <w:top w:w="120" w:type="dxa"/>
              <w:start w:w="120" w:type="dxa"/>
              <w:bottom w:w="120" w:type="dxa"/>
              <w:end w:w="120" w:type="dxa"/>
            </w:tcMar>
            <w:vAlign w:val="center"/>
          </w:tcPr>
          <w:p>
            <w:pPr>
              <w:jc w:val="left"/>
            </w:pPr>
            <w:r>
              <w:rPr>
                <w:b/>
                <w:color w:val="FFFFFF"/>
                <w:sz w:val="17"/>
              </w:rPr>
              <w:t>Future Production Version</w:t>
            </w:r>
          </w:p>
        </w:tc>
      </w:tr>
      <w:tr>
        <w:tc>
          <w:tcPr>
            <w:tcW w:type="dxa" w:w="324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Mock login and role access</w:t>
            </w:r>
          </w:p>
        </w:tc>
        <w:tc>
          <w:tcPr>
            <w:tcW w:type="dxa" w:w="727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Secure authentication, organization account management, and audit logs.</w:t>
            </w:r>
          </w:p>
        </w:tc>
      </w:tr>
      <w:tr>
        <w:tc>
          <w:tcPr>
            <w:tcW w:type="dxa" w:w="324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Session-state storage</w:t>
            </w:r>
          </w:p>
        </w:tc>
        <w:tc>
          <w:tcPr>
            <w:tcW w:type="dxa" w:w="727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Persistent database with campaign records, departments, assets, messages, and calendar items.</w:t>
            </w:r>
          </w:p>
        </w:tc>
      </w:tr>
      <w:tr>
        <w:tc>
          <w:tcPr>
            <w:tcW w:type="dxa" w:w="324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Predefined content variations</w:t>
            </w:r>
          </w:p>
        </w:tc>
        <w:tc>
          <w:tcPr>
            <w:tcW w:type="dxa" w:w="727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AI-generated copy and scripts using brand-safe prompts and approval guardrails.</w:t>
            </w:r>
          </w:p>
        </w:tc>
      </w:tr>
      <w:tr>
        <w:tc>
          <w:tcPr>
            <w:tcW w:type="dxa" w:w="324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Mock scoring logic</w:t>
            </w:r>
          </w:p>
        </w:tc>
        <w:tc>
          <w:tcPr>
            <w:tcW w:type="dxa" w:w="727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Data-trained recommendation models using live performance and engagement data.</w:t>
            </w:r>
          </w:p>
        </w:tc>
      </w:tr>
      <w:tr>
        <w:tc>
          <w:tcPr>
            <w:tcW w:type="dxa" w:w="3240"/>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Static regional heatmap</w:t>
            </w:r>
          </w:p>
        </w:tc>
        <w:tc>
          <w:tcPr>
            <w:tcW w:type="dxa" w:w="7272"/>
            <w:shd w:fill="FFFFFF"/>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Geographic intelligence using local campaign response, referrals, QR scans, and web traffic.</w:t>
            </w:r>
          </w:p>
        </w:tc>
      </w:tr>
      <w:tr>
        <w:tc>
          <w:tcPr>
            <w:tcW w:type="dxa" w:w="3240"/>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b/>
                <w:color w:val="24393F"/>
                <w:sz w:val="17"/>
              </w:rPr>
              <w:t>Demo asset library</w:t>
            </w:r>
          </w:p>
        </w:tc>
        <w:tc>
          <w:tcPr>
            <w:tcW w:type="dxa" w:w="7272"/>
            <w:shd w:fill="F8FAF7"/>
            <w:tcBorders>
              <w:top w:val="single" w:sz="6" w:space="0" w:color="DDE8E2"/>
              <w:left w:val="single" w:sz="6" w:space="0" w:color="DDE8E2"/>
              <w:bottom w:val="single" w:sz="6" w:space="0" w:color="DDE8E2"/>
              <w:right w:val="single" w:sz="6" w:space="0" w:color="DDE8E2"/>
            </w:tcBorders>
            <w:tcMar>
              <w:top w:w="110" w:type="dxa"/>
              <w:start w:w="120" w:type="dxa"/>
              <w:bottom w:w="110" w:type="dxa"/>
              <w:end w:w="120" w:type="dxa"/>
            </w:tcMar>
            <w:vAlign w:val="center"/>
          </w:tcPr>
          <w:p>
            <w:pPr>
              <w:spacing w:after="0"/>
            </w:pPr>
            <w:r>
              <w:rPr>
                <w:color w:val="24393F"/>
                <w:sz w:val="17"/>
              </w:rPr>
              <w:t>Searchable DAM-style media library with consent metadata and auto-tagging.</w:t>
            </w:r>
          </w:p>
        </w:tc>
      </w:tr>
    </w:tbl>
    <w:p>
      <w:pPr>
        <w:spacing w:after="120"/>
      </w:pPr>
    </w:p>
    <w:p>
      <w:pPr>
        <w:pStyle w:val="Heading1"/>
      </w:pPr>
      <w:r>
        <w:t>9. Why This System Matters for BGC London</w:t>
      </w:r>
    </w:p>
    <w:p>
      <w:r>
        <w:t>For a small nonprofit marketing team, the challenge is not simply generating more posts. The deeper challenge is coordinating information, choosing the right campaigns, making BGC’s value memorable, and connecting digital content to real community action.</w:t>
      </w:r>
    </w:p>
    <w:p>
      <w:pPr>
        <w:pStyle w:val="ListBullet"/>
        <w:spacing w:after="40"/>
      </w:pPr>
      <w:r>
        <w:t>It helps program staff contribute without needing to understand marketing workflows.</w:t>
      </w:r>
    </w:p>
    <w:p>
      <w:pPr>
        <w:pStyle w:val="ListBullet"/>
        <w:spacing w:after="40"/>
      </w:pPr>
      <w:r>
        <w:t>It helps marketing staff move from scattered updates to prioritized campaigns.</w:t>
      </w:r>
    </w:p>
    <w:p>
      <w:pPr>
        <w:pStyle w:val="ListBullet"/>
        <w:spacing w:after="40"/>
      </w:pPr>
      <w:r>
        <w:t>It helps donors and partners see concrete proof of community value.</w:t>
      </w:r>
    </w:p>
    <w:p>
      <w:pPr>
        <w:pStyle w:val="ListBullet"/>
        <w:spacing w:after="40"/>
      </w:pPr>
      <w:r>
        <w:t>It helps BGC sustain consistent messaging across social media, newsletters, schools, partners, local businesses, and offline campaigns.</w:t>
      </w:r>
    </w:p>
    <w:p>
      <w:pPr>
        <w:pStyle w:val="ListBullet"/>
        <w:spacing w:after="40"/>
      </w:pPr>
      <w:r>
        <w:t>It gives the organization a repeatable operating model for awareness, engagement, donor visibility, and community recognition.</w:t>
      </w:r>
    </w:p>
    <w:tbl>
      <w:tblPr>
        <w:tblW w:type="pct" w:w="5000"/>
        <w:jc w:val="center"/>
        <w:tblLook w:firstColumn="1" w:firstRow="1" w:lastColumn="0" w:lastRow="0" w:noHBand="0" w:noVBand="1" w:val="04A0"/>
      </w:tblPr>
      <w:tblGrid>
        <w:gridCol w:w="10166"/>
      </w:tblGrid>
      <w:tr>
        <w:tc>
          <w:tcPr>
            <w:tcW w:type="dxa" w:w="10166"/>
            <w:shd w:fill="EAF6EE"/>
            <w:tcBorders>
              <w:top w:val="single" w:sz="8" w:space="0" w:color="DDE8E2"/>
              <w:left w:val="single" w:sz="8" w:space="0" w:color="DDE8E2"/>
              <w:bottom w:val="single" w:sz="8" w:space="0" w:color="DDE8E2"/>
              <w:right w:val="single" w:sz="8" w:space="0" w:color="DDE8E2"/>
            </w:tcBorders>
            <w:tcMar>
              <w:top w:w="180" w:type="dxa"/>
              <w:start w:w="220" w:type="dxa"/>
              <w:bottom w:w="180" w:type="dxa"/>
              <w:end w:w="220" w:type="dxa"/>
            </w:tcMar>
          </w:tcPr>
          <w:p>
            <w:pPr>
              <w:spacing w:after="80"/>
            </w:pPr>
            <w:r>
              <w:rPr>
                <w:b/>
                <w:color w:val="102F34"/>
                <w:sz w:val="24"/>
              </w:rPr>
              <w:t>Final positioning statement</w:t>
            </w:r>
          </w:p>
          <w:p>
            <w:pPr>
              <w:spacing w:after="0"/>
            </w:pPr>
            <w:r>
              <w:rPr>
                <w:color w:val="3D4F54"/>
                <w:sz w:val="19"/>
              </w:rPr>
              <w:t>The BGC London AI Marketing Command Center is best understood as an AI-assisted audience engagement and marketing intelligence system. It combines campaign strategy, content creation, team collaboration, asset coordination, community activation, and impact learning into one guided workspace.</w:t>
            </w:r>
          </w:p>
        </w:tc>
      </w:tr>
    </w:tbl>
    <w:p>
      <w:pPr>
        <w:spacing w:after="4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07276"/>
        <w:sz w:val="16"/>
      </w:rPr>
      <w:t>BGC London AI Marketing Command Center | System Overview</w:t>
    </w:r>
  </w:p>
  <w:p>
    <w:pPr>
      <w:jc w:val="right"/>
    </w:pPr>
    <w:r>
      <w:rPr>
        <w:sz w:val="16"/>
      </w:rPr>
      <w:t xml:space="preserve">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eastAsia="Aptos"/>
      <w:color w:val="2439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02F34"/>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eastAsia="Aptos Display"/>
      <w:b/>
      <w:bCs/>
      <w:color w:val="102F34"/>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eastAsia="Aptos Display"/>
      <w:b/>
      <w:bCs/>
      <w:color w:val="102F3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