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1654" w14:textId="77777777" w:rsidR="0063156C" w:rsidRPr="00F32F0E" w:rsidRDefault="004E2A51">
      <w:pPr>
        <w:pStyle w:val="af2"/>
        <w:keepNext/>
        <w:widowControl w:val="0"/>
        <w:rPr>
          <w:rFonts w:ascii="宋体" w:hAnsi="宋体" w:hint="eastAsia"/>
          <w:szCs w:val="44"/>
        </w:rPr>
      </w:pPr>
      <w:r w:rsidRPr="00F32F0E">
        <w:rPr>
          <w:rFonts w:eastAsia="Times New Roman"/>
          <w:color w:val="000000"/>
          <w:szCs w:val="44"/>
          <w:lang w:eastAsia="en-US"/>
        </w:rPr>
        <w:t xml:space="preserve">A Group Consensus Method for Interval-Valued Fuzzy Preferences </w:t>
      </w:r>
      <w:r w:rsidRPr="00F32F0E">
        <w:rPr>
          <w:color w:val="000000"/>
          <w:szCs w:val="44"/>
        </w:rPr>
        <w:br/>
      </w:r>
      <w:r w:rsidRPr="00F32F0E">
        <w:rPr>
          <w:rFonts w:eastAsia="Times New Roman"/>
          <w:color w:val="000000"/>
          <w:szCs w:val="44"/>
          <w:lang w:eastAsia="en-US"/>
        </w:rPr>
        <w:t>Based on Context Encoding and Social Attention</w:t>
      </w:r>
    </w:p>
    <w:p w14:paraId="4FAB5F71" w14:textId="77777777" w:rsidR="00F32F0E" w:rsidRDefault="00F32F0E" w:rsidP="00F32F0E">
      <w:pPr>
        <w:pStyle w:val="af3"/>
        <w:keepNext/>
        <w:widowControl w:val="0"/>
      </w:pPr>
      <w:bookmarkStart w:id="0" w:name="中文作者_2"/>
      <w:r>
        <w:rPr>
          <w:rFonts w:eastAsia="Times New Roman"/>
        </w:rPr>
        <w:t>Yang Song</w:t>
      </w:r>
      <w:r>
        <w:rPr>
          <w:rFonts w:eastAsia="Times New Roman"/>
          <w:vertAlign w:val="superscript"/>
        </w:rPr>
        <w:t>2</w:t>
      </w:r>
      <w:r>
        <w:rPr>
          <w:rFonts w:eastAsia="Times New Roman"/>
        </w:rPr>
        <w:t>, Mingshuo Cao</w:t>
      </w:r>
      <w:r>
        <w:rPr>
          <w:rFonts w:eastAsia="Times New Roman"/>
          <w:vertAlign w:val="superscript"/>
        </w:rPr>
        <w:t>1</w:t>
      </w:r>
      <w:r>
        <w:rPr>
          <w:rFonts w:eastAsia="Times New Roman"/>
        </w:rPr>
        <w:t>, Jian Wu</w:t>
      </w:r>
      <w:r>
        <w:rPr>
          <w:rFonts w:eastAsia="Times New Roman"/>
          <w:vertAlign w:val="superscript"/>
        </w:rPr>
        <w:t>1</w:t>
      </w:r>
      <w:r>
        <w:rPr>
          <w:rFonts w:eastAsia="Times New Roman"/>
        </w:rPr>
        <w:t>, Francisco Chiclana</w:t>
      </w:r>
      <w:r>
        <w:rPr>
          <w:rFonts w:eastAsia="Times New Roman"/>
          <w:vertAlign w:val="superscript"/>
        </w:rPr>
        <w:t>3</w:t>
      </w:r>
      <w:bookmarkEnd w:id="0"/>
    </w:p>
    <w:p w14:paraId="7C796477" w14:textId="77777777" w:rsidR="00F32F0E" w:rsidRDefault="00F32F0E" w:rsidP="00F32F0E">
      <w:pPr>
        <w:pStyle w:val="af4"/>
        <w:keepNext/>
        <w:widowControl w:val="0"/>
      </w:pPr>
      <w:bookmarkStart w:id="1" w:name="中文作者单位_2"/>
      <w:r>
        <w:rPr>
          <w:rFonts w:eastAsia="Times New Roman"/>
          <w:color w:val="000000"/>
          <w:lang w:eastAsia="en-US"/>
        </w:rPr>
        <w:t xml:space="preserve">(1. School of Economics and Management, Shanghai Maritime University, Shanghai 201306, China; 2. </w:t>
      </w:r>
      <w:r>
        <w:rPr>
          <w:rFonts w:eastAsia="Times New Roman"/>
          <w:i/>
          <w:color w:val="000000"/>
          <w:lang w:eastAsia="en-US"/>
        </w:rPr>
        <w:t xml:space="preserve">School of Information Engineering, Shanghai Maritime University, Shanghai 201306, China; 3. Institute of Artificial Intelligence, Faculty of Computing, Engineering and Media, De Montfort University, Leicester, </w:t>
      </w:r>
      <w:r>
        <w:rPr>
          <w:rFonts w:eastAsia="Times New Roman"/>
          <w:color w:val="000000"/>
          <w:lang w:eastAsia="en-US"/>
        </w:rPr>
        <w:t>UK)</w:t>
      </w:r>
      <w:bookmarkEnd w:id="1"/>
      <w:r>
        <w:rPr>
          <w:color w:val="FFFFFF" w:themeColor="background1"/>
          <w14:textFill>
            <w14:noFill/>
          </w14:textFill>
        </w:rPr>
        <w:footnoteReference w:id="1"/>
      </w:r>
    </w:p>
    <w:p w14:paraId="58101114" w14:textId="77777777" w:rsidR="0063156C" w:rsidRPr="00B26C61" w:rsidRDefault="004E2A51" w:rsidP="00B26C61">
      <w:pPr>
        <w:pStyle w:val="affff4"/>
        <w:ind w:firstLine="422"/>
      </w:pPr>
      <w:r>
        <w:rPr>
          <w:rFonts w:eastAsia="Times New Roman"/>
          <w:b/>
        </w:rPr>
        <w:t xml:space="preserve">Abstract: </w:t>
      </w:r>
      <w:r>
        <w:rPr>
          <w:rFonts w:eastAsia="Times New Roman"/>
        </w:rPr>
        <w:t>Interval-valued preferences retain acceptable ranges but make consensus control sensitive to endpoint dispersion, hidden response differences, and variable group size. This study extends continuous-control Meta-GDM with interval translation, a Transformer context encoder, a variational response code, and permutation-invariant social attention. Consensus and boundary risk are computed from both endpoints; the reward combines consensus gain, nonlinear adjustment cost, cost fairness, outlier distance, and violations. The model is trained for 5,000 episodes only at N=10 and then frozen for 50-scenario tests at N=10, 40, and 100. In static settings, deterministic rules and the proposed model all reach a 1.00 success rate, so no general rule advantage is claimed. Under hidden response heterogeneity, the model reaches 0.98, 1.00, and 1.00 success, versus 0.80, 0.64, and 0.36 for the strongest rule, while reducing termination time by 21.92, 45.28, and 72.84 rounds. At N=40, PPO, DDPG, and conventional SAC fail within 120 rounds, whereas the proposed model reaches 1.00 success in 16.72 rounds. Masking the ten-round history lowers success by 14, 22, and 44 percentage points. Interval translation leaves the mean half-width change at zero and limits the Hausdorff-center discrepancy to 1.11e-16. The evidence supports history-conditioned adaptation, cross-scale reuse, and preservation of interval uncertainty, while higher adjustment cost under heterogeneity and single-seed training remain limitations.</w:t>
      </w:r>
    </w:p>
    <w:p w14:paraId="7B6C232C" w14:textId="77777777" w:rsidR="0063156C" w:rsidRPr="00B26C61" w:rsidRDefault="004E2A51" w:rsidP="00B26C61">
      <w:pPr>
        <w:ind w:firstLineChars="200" w:firstLine="422"/>
      </w:pPr>
      <w:r>
        <w:rPr>
          <w:rFonts w:eastAsia="Times New Roman"/>
          <w:b/>
        </w:rPr>
        <w:t xml:space="preserve">Keywords: </w:t>
      </w:r>
      <w:r>
        <w:rPr>
          <w:rFonts w:eastAsia="Times New Roman"/>
        </w:rPr>
        <w:t>interval-valued fuzzy preference; group consensus; context encoder; social attention; meta-reinforcement learning; adjustment cost</w:t>
      </w:r>
    </w:p>
    <w:p w14:paraId="7E8E594C" w14:textId="77777777" w:rsidR="00AF716D" w:rsidRDefault="00AF716D">
      <w:pPr>
        <w:sectPr w:rsidR="00AF716D">
          <w:footerReference w:type="even" r:id="rId9"/>
          <w:footerReference w:type="default" r:id="rId10"/>
          <w:endnotePr>
            <w:numFmt w:val="decimal"/>
          </w:endnotePr>
          <w:type w:val="continuous"/>
          <w:pgSz w:w="11906" w:h="16838"/>
          <w:pgMar w:top="1701" w:right="1134" w:bottom="1134" w:left="1134" w:header="567" w:footer="567" w:gutter="0"/>
          <w:cols w:space="425"/>
          <w:docGrid w:type="lines" w:linePitch="312"/>
        </w:sectPr>
      </w:pPr>
    </w:p>
    <w:p w14:paraId="3604C4CD" w14:textId="77777777" w:rsidR="00AF716D" w:rsidRDefault="000A6821">
      <w:pPr>
        <w:pStyle w:val="aff"/>
        <w:keepNext/>
        <w:keepLines/>
        <w:widowControl w:val="0"/>
        <w:spacing w:before="156" w:after="156"/>
        <w:jc w:val="left"/>
      </w:pPr>
      <w:r>
        <w:rPr>
          <w:rFonts w:eastAsia="Times New Roman"/>
        </w:rPr>
        <w:t>1  Introduction</w:t>
      </w:r>
    </w:p>
    <w:p w14:paraId="6FFEC09D" w14:textId="50674FF3" w:rsidR="00AF716D" w:rsidRDefault="000A6821">
      <w:pPr>
        <w:pStyle w:val="afe"/>
        <w:ind w:firstLine="420"/>
      </w:pPr>
      <w:r>
        <w:rPr>
          <w:rFonts w:eastAsia="Times New Roman"/>
        </w:rPr>
        <w:t xml:space="preserve">Group consensus models must reconcile heterogeneous opinions without treating uncertainty as noise. Fuzzy preferences and soft-consensus methods provide the basic representation and feedback mechanisms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BibRef001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BibRef003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BibRef006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6</w:t>
      </w:r>
      <w:r>
        <w:rPr>
          <w:rFonts w:eastAsia="Times New Roman"/>
          <w:vertAlign w:val="superscript"/>
        </w:rPr>
        <w:fldChar w:fldCharType="end"/>
      </w:r>
      <w:r>
        <w:rPr>
          <w:rFonts w:eastAsia="Times New Roman"/>
          <w:vertAlign w:val="superscript"/>
        </w:rPr>
        <w:t>]</w:t>
      </w:r>
      <w:r>
        <w:rPr>
          <w:rFonts w:eastAsia="Times New Roman"/>
        </w:rPr>
        <w:t xml:space="preserve">, while interval-valued formulations retain both an opinion center and an admissible range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BibRef007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7</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BibRef008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8</w:t>
      </w:r>
      <w:r>
        <w:rPr>
          <w:rFonts w:eastAsia="Times New Roman"/>
          <w:vertAlign w:val="superscript"/>
        </w:rPr>
        <w:fldChar w:fldCharType="end"/>
      </w:r>
      <w:r>
        <w:rPr>
          <w:rFonts w:eastAsia="Times New Roman"/>
          <w:vertAlign w:val="superscript"/>
        </w:rPr>
        <w:t>]</w:t>
      </w:r>
      <w:r>
        <w:rPr>
          <w:rFonts w:eastAsia="Times New Roman"/>
        </w:rPr>
        <w:t xml:space="preserve">. Opinion-dynamics and personalized-feedback models explain convergence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BibRef009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9</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BibRef010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10</w:t>
      </w:r>
      <w:r>
        <w:rPr>
          <w:rFonts w:eastAsia="Times New Roman"/>
          <w:vertAlign w:val="superscript"/>
        </w:rPr>
        <w:fldChar w:fldCharType="end"/>
      </w:r>
      <w:r>
        <w:rPr>
          <w:rFonts w:eastAsia="Times New Roman"/>
          <w:vertAlign w:val="superscript"/>
        </w:rPr>
        <w:t>]</w:t>
      </w:r>
      <w:r>
        <w:rPr>
          <w:rFonts w:eastAsia="Times New Roman"/>
        </w:rPr>
        <w:t xml:space="preserve"> and negotiated </w:t>
      </w:r>
      <w:r>
        <w:rPr>
          <w:rFonts w:eastAsia="Times New Roman"/>
        </w:rPr>
        <w:t xml:space="preserve">adjustment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BibRef012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12</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BibRef013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13</w:t>
      </w:r>
      <w:r>
        <w:rPr>
          <w:rFonts w:eastAsia="Times New Roman"/>
          <w:vertAlign w:val="superscript"/>
        </w:rPr>
        <w:fldChar w:fldCharType="end"/>
      </w:r>
      <w:r>
        <w:rPr>
          <w:rFonts w:eastAsia="Times New Roman"/>
          <w:vertAlign w:val="superscript"/>
        </w:rPr>
        <w:t>]</w:t>
      </w:r>
      <w:r>
        <w:rPr>
          <w:rFonts w:eastAsia="Times New Roman"/>
        </w:rPr>
        <w:t xml:space="preserve">, but a point-valued state can conceal endpoint violations or create apparent consensus by suppressing uncertainty.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BibRef002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BibRef004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4</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BibRef005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5</w:t>
      </w:r>
      <w:r>
        <w:rPr>
          <w:rFonts w:eastAsia="Times New Roman"/>
          <w:vertAlign w:val="superscript"/>
        </w:rPr>
        <w:fldChar w:fldCharType="end"/>
      </w:r>
      <w:r>
        <w:rPr>
          <w:rFonts w:eastAsia="Times New Roman"/>
          <w:vertAlign w:val="superscript"/>
        </w:rPr>
        <w:t>]</w:t>
      </w:r>
    </w:p>
    <w:p w14:paraId="1B304691" w14:textId="3D27C1DF" w:rsidR="00AF716D" w:rsidRDefault="000A6821">
      <w:pPr>
        <w:pStyle w:val="afe"/>
        <w:ind w:firstLine="420"/>
      </w:pPr>
      <w:r>
        <w:rPr>
          <w:rFonts w:eastAsia="Times New Roman"/>
        </w:rPr>
        <w:t xml:space="preserve">Consensus quality also depends on adjustment cost and burden allocation. Minimum-cost and fairness-aware models show that identical terminal consensus may arise from very different negotiation paths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BibRef014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14</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BibRef015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15</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BibRef016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16</w:t>
      </w:r>
      <w:r>
        <w:rPr>
          <w:rFonts w:eastAsia="Times New Roman"/>
          <w:vertAlign w:val="superscript"/>
        </w:rPr>
        <w:fldChar w:fldCharType="end"/>
      </w:r>
      <w:r>
        <w:rPr>
          <w:rFonts w:eastAsia="Times New Roman"/>
          <w:vertAlign w:val="superscript"/>
        </w:rPr>
        <w:t>]</w:t>
      </w:r>
      <w:r>
        <w:rPr>
          <w:rFonts w:eastAsia="Times New Roman"/>
        </w:rPr>
        <w:t xml:space="preserve">. Variable costs, trust constraints, and behavioral preferences further imply that members need not realize the same fraction of a recommendation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BibRef018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18</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BibRef020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20</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BibRef021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21</w:t>
      </w:r>
      <w:r>
        <w:rPr>
          <w:rFonts w:eastAsia="Times New Roman"/>
          <w:vertAlign w:val="superscript"/>
        </w:rPr>
        <w:fldChar w:fldCharType="end"/>
      </w:r>
      <w:r>
        <w:rPr>
          <w:rFonts w:eastAsia="Times New Roman"/>
          <w:vertAlign w:val="superscript"/>
        </w:rPr>
        <w:t>]</w:t>
      </w:r>
      <w:r>
        <w:rPr>
          <w:rFonts w:eastAsia="Times New Roman"/>
        </w:rPr>
        <w:t xml:space="preserve">. Hidden acceptance </w:t>
      </w:r>
      <w:r>
        <w:rPr>
          <w:rFonts w:eastAsia="Times New Roman"/>
        </w:rPr>
        <w:lastRenderedPageBreak/>
        <w:t xml:space="preserve">tendencies and inertia are therefore identifiable only through repeated suggestions and realized movements.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BibRef011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11</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BibRef017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17</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BibRef019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19</w:t>
      </w:r>
      <w:r>
        <w:rPr>
          <w:rFonts w:eastAsia="Times New Roman"/>
          <w:vertAlign w:val="superscript"/>
        </w:rPr>
        <w:fldChar w:fldCharType="end"/>
      </w:r>
      <w:r>
        <w:rPr>
          <w:rFonts w:eastAsia="Times New Roman"/>
          <w:vertAlign w:val="superscript"/>
        </w:rPr>
        <w:t>]</w:t>
      </w:r>
    </w:p>
    <w:p w14:paraId="260FE226" w14:textId="74CCF632" w:rsidR="00AF716D" w:rsidRDefault="000A6821">
      <w:pPr>
        <w:pStyle w:val="afe"/>
        <w:ind w:firstLine="420"/>
      </w:pPr>
      <w:r>
        <w:rPr>
          <w:rFonts w:eastAsia="Times New Roman"/>
        </w:rPr>
        <w:t xml:space="preserve">Reinforcement learning can optimize continuous coordination paths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BibRef022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22</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BibRef023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23</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BibRef029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29</w:t>
      </w:r>
      <w:r>
        <w:rPr>
          <w:rFonts w:eastAsia="Times New Roman"/>
          <w:vertAlign w:val="superscript"/>
        </w:rPr>
        <w:fldChar w:fldCharType="end"/>
      </w:r>
      <w:r>
        <w:rPr>
          <w:rFonts w:eastAsia="Times New Roman"/>
          <w:vertAlign w:val="superscript"/>
        </w:rPr>
        <w:t>]</w:t>
      </w:r>
      <w:r>
        <w:rPr>
          <w:rFonts w:eastAsia="Times New Roman"/>
        </w:rPr>
        <w:t xml:space="preserve">, but flattened group states bind the policy to a fixed group size. The proposed model combines temporal attention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BibRef024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24</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BibRef028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28</w:t>
      </w:r>
      <w:r>
        <w:rPr>
          <w:rFonts w:eastAsia="Times New Roman"/>
          <w:vertAlign w:val="superscript"/>
        </w:rPr>
        <w:fldChar w:fldCharType="end"/>
      </w:r>
      <w:r>
        <w:rPr>
          <w:rFonts w:eastAsia="Times New Roman"/>
          <w:vertAlign w:val="superscript"/>
        </w:rPr>
        <w:t>]</w:t>
      </w:r>
      <w:r>
        <w:rPr>
          <w:rFonts w:eastAsia="Times New Roman"/>
        </w:rPr>
        <w:t xml:space="preserve">, permutation-invariant set aggregation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BibRef026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26</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BibRef027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27</w:t>
      </w:r>
      <w:r>
        <w:rPr>
          <w:rFonts w:eastAsia="Times New Roman"/>
          <w:vertAlign w:val="superscript"/>
        </w:rPr>
        <w:fldChar w:fldCharType="end"/>
      </w:r>
      <w:r>
        <w:rPr>
          <w:rFonts w:eastAsia="Times New Roman"/>
          <w:vertAlign w:val="superscript"/>
        </w:rPr>
        <w:t>]</w:t>
      </w:r>
      <w:r>
        <w:rPr>
          <w:rFonts w:eastAsia="Times New Roman"/>
        </w:rPr>
        <w:t xml:space="preserve">, and soft actor-critic optimization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BibRef030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30</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BibRef033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33</w:t>
      </w:r>
      <w:r>
        <w:rPr>
          <w:rFonts w:eastAsia="Times New Roman"/>
          <w:vertAlign w:val="superscript"/>
        </w:rPr>
        <w:fldChar w:fldCharType="end"/>
      </w:r>
      <w:r>
        <w:rPr>
          <w:rFonts w:eastAsia="Times New Roman"/>
          <w:vertAlign w:val="superscript"/>
        </w:rPr>
        <w:t>]</w:t>
      </w:r>
      <w:r>
        <w:rPr>
          <w:rFonts w:eastAsia="Times New Roman"/>
        </w:rPr>
        <w:t xml:space="preserve">. Its context-conditioned latent code follows the meta-reinforcement-learning principle of inferring task-relevant behavior from interaction history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BibRef034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34</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BibRef035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35</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BibRef037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37</w:t>
      </w:r>
      <w:r>
        <w:rPr>
          <w:rFonts w:eastAsia="Times New Roman"/>
          <w:vertAlign w:val="superscript"/>
        </w:rPr>
        <w:fldChar w:fldCharType="end"/>
      </w:r>
      <w:r>
        <w:rPr>
          <w:rFonts w:eastAsia="Times New Roman"/>
          <w:vertAlign w:val="superscript"/>
        </w:rPr>
        <w:t>]</w:t>
      </w:r>
      <w:r>
        <w:rPr>
          <w:rFonts w:eastAsia="Times New Roman"/>
        </w:rPr>
        <w:t xml:space="preserve">, although the present implementation does not use a separate MAML outer loop.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BibRef025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25</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BibRef036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36</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BibRef038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38</w:t>
      </w:r>
      <w:r>
        <w:rPr>
          <w:rFonts w:eastAsia="Times New Roman"/>
          <w:vertAlign w:val="superscript"/>
        </w:rPr>
        <w:fldChar w:fldCharType="end"/>
      </w:r>
      <w:r>
        <w:rPr>
          <w:rFonts w:eastAsia="Times New Roman"/>
          <w:vertAlign w:val="superscript"/>
        </w:rPr>
        <w:t>]</w:t>
      </w:r>
    </w:p>
    <w:p w14:paraId="4A638B7E" w14:textId="77777777" w:rsidR="00AF716D" w:rsidRDefault="000A6821">
      <w:pPr>
        <w:pStyle w:val="afe"/>
        <w:ind w:firstLine="420"/>
      </w:pPr>
      <w:r>
        <w:rPr>
          <w:rFonts w:eastAsia="Times New Roman"/>
        </w:rPr>
        <w:t>This study makes three contributions. First, interval centers, half-widths, endpoints, boundaries, and costs are defined consistently, and actions translate rather than shrink intervals. Second, a ten-round context encoder infers response tendencies from suggestions, realized movements, and rewards; social attention then produces member-specific actions with shared parameters. Third, frozen-policy experiments compare static rules, PPO, DDPG, SAC, interval widths, unseen group sizes, hidden heterogeneity, and history masking. This sequence separates basic solvability from the conditions under which context and set structure create an advantage.</w:t>
      </w:r>
    </w:p>
    <w:p w14:paraId="67EB49BF" w14:textId="77777777" w:rsidR="00AF716D" w:rsidRDefault="000A6821">
      <w:pPr>
        <w:pStyle w:val="aff"/>
        <w:keepNext/>
        <w:keepLines/>
        <w:widowControl w:val="0"/>
        <w:spacing w:before="156" w:after="156"/>
        <w:jc w:val="left"/>
      </w:pPr>
      <w:r>
        <w:rPr>
          <w:rFonts w:eastAsia="Times New Roman"/>
        </w:rPr>
        <w:t>2  Problem Formulation</w:t>
      </w:r>
    </w:p>
    <w:p w14:paraId="48791095" w14:textId="77777777" w:rsidR="00AF716D" w:rsidRDefault="000A6821">
      <w:pPr>
        <w:pStyle w:val="aff"/>
        <w:keepNext/>
        <w:keepLines/>
        <w:widowControl w:val="0"/>
        <w:spacing w:before="156" w:after="156"/>
        <w:jc w:val="left"/>
      </w:pPr>
      <w:r>
        <w:rPr>
          <w:rFonts w:eastAsia="Times New Roman"/>
        </w:rPr>
        <w:t>2.1  Interval preference and consensus</w:t>
      </w:r>
    </w:p>
    <w:p w14:paraId="677E090E" w14:textId="77777777" w:rsidR="00AF716D" w:rsidRDefault="000A6821">
      <w:pPr>
        <w:pStyle w:val="afe"/>
        <w:ind w:firstLine="420"/>
      </w:pPr>
      <w:r>
        <w:rPr>
          <w:rFonts w:eastAsia="Times New Roman"/>
        </w:rPr>
        <w:t>For N members, member i reports interval Ii,t at round t. Equations (1)-(2) define its center ci,t, half-width hi,t, and group means. Initial centers are sampled so that every interval lies inside the safe domain; hi,t=0 recovers the point-valued case.</w:t>
      </w:r>
    </w:p>
    <w:p w14:paraId="692E51A0"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0≤</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r>
            <w:rPr>
              <w:rFonts w:ascii="Cambria Math" w:hAnsi="Cambria Math" w:cs="Cambria Math"/>
              <w:sz w:val="18"/>
            </w:rPr>
            <m:t>。</m:t>
          </m:r>
          <m:r>
            <w:rPr>
              <w:rFonts w:ascii="Cambria Math" w:hAnsi="Cambria Math" w:cs="Cambria Math"/>
              <w:sz w:val="18"/>
            </w:rPr>
            <m:t xml:space="preserve">   (1)</m:t>
          </m:r>
        </m:oMath>
      </m:oMathPara>
    </w:p>
    <w:p w14:paraId="30FE4469"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(2)</m:t>
          </m:r>
        </m:oMath>
      </m:oMathPara>
    </w:p>
    <w:p w14:paraId="25934F75" w14:textId="77777777" w:rsidR="00AF716D" w:rsidRDefault="000A6821">
      <w:pPr>
        <w:pStyle w:val="afe"/>
        <w:ind w:firstLine="420"/>
      </w:pPr>
      <w:r>
        <w:rPr>
          <w:rFonts w:eastAsia="Times New Roman"/>
        </w:rPr>
        <w:t xml:space="preserve">Endpoint dispersion Dt, safety score St, and </w:t>
      </w:r>
      <w:r>
        <w:rPr>
          <w:rFonts w:eastAsia="Times New Roman"/>
        </w:rPr>
        <w:t>consensus Ct are given by Eqs. (3)-(5). The cutoff delta=0.01 prevents numerical decay once dispersion is negligible, kappa controls consensus decay, and C*=0.90 is the termination threshold. Member-level endpoint distance di,t and boundary violation vi,t are defined in Eq. (6).</w:t>
      </w:r>
    </w:p>
    <w:p w14:paraId="1F5BF0C8"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={½[</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1/2</m:t>
              </m:r>
            </m:sup>
          </m:sSup>
          <m:r>
            <w:rPr>
              <w:rFonts w:ascii="Cambria Math" w:hAnsi="Cambria Math" w:cs="Cambria Math"/>
              <w:sz w:val="18"/>
            </w:rPr>
            <m:t>。</m:t>
          </m:r>
          <m:r>
            <w:rPr>
              <w:rFonts w:ascii="Cambria Math" w:hAnsi="Cambria Math" w:cs="Cambria Math"/>
              <w:sz w:val="18"/>
            </w:rPr>
            <m:t xml:space="preserve">   (3)</m:t>
          </m:r>
        </m:oMath>
      </m:oMathPara>
    </w:p>
    <w:p w14:paraId="2530E1C1" w14:textId="77777777" w:rsidR="0063156C" w:rsidRDefault="009A0C0A">
      <w:pPr>
        <w:pStyle w:val="afe"/>
        <w:keepLines/>
        <w:ind w:firstLine="420"/>
        <w:jc w:val="center"/>
      </w:pPr>
      <m:oMathPara>
        <m:oMath>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{0,(</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{0,(</m:t>
          </m:r>
          <m:sSub>
            <m:sSubPr>
              <m:ctrlPr>
                <w:rPr>
                  <w:rFonts w:ascii="Cambria Math" w:hAnsi="Cambria Math"/>
                </w:rPr>
              </m:ctrlPr>
            </m:sSubPr>
            <m:e>
              <m:r>
                <m:rPr>
                  <m:sty m:val="p"/>
                </m:rPr>
                <w:rPr>
                  <w:rFonts w:ascii="Cambria Math" w:hAnsi="Cambria Math" w:cs="Cambria Math"/>
                  <w:sz w:val="18"/>
                </w:rPr>
                <m:t>max</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[1-</m:t>
          </m:r>
          <m:r>
            <m:rPr>
              <m:sty m:val="p"/>
            </m:rPr>
            <w:rPr>
              <w:rFonts w:ascii="Cambria Math" w:hAnsi="Cambria Math" w:cs="Cambria Math"/>
              <w:sz w:val="18"/>
            </w:rPr>
            <m:t>max</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p</m:t>
              </m:r>
            </m:e>
            <m:sub>
              <m:r>
                <w:rPr>
                  <w:rFonts w:ascii="Cambria Math" w:hAnsi="Cambria Math" w:cs="Cambria Math"/>
                  <w:sz w:val="18"/>
                </w:rPr>
                <m:t>t</m:t>
              </m:r>
            </m:sub>
            <m:sup>
              <m:r>
                <w:rPr>
                  <w:rFonts w:ascii="Cambria Math" w:hAnsi="Cambria Math" w:cs="Cambria Math"/>
                  <w:sz w:val="18"/>
                </w:rPr>
                <m:t>+</m:t>
              </m:r>
            </m:sup>
          </m:sSubSup>
          <m:r>
            <w:rPr>
              <w:rFonts w:ascii="Cambria Math" w:hAnsi="Cambria Math" w:cs="Cambria Math"/>
              <w:sz w:val="18"/>
            </w:rPr>
            <m:t>),0,1]</m:t>
          </m:r>
          <m:r>
            <w:rPr>
              <w:rFonts w:ascii="Cambria Math" w:hAnsi="Cambria Math" w:cs="Cambria Math"/>
              <w:sz w:val="18"/>
            </w:rPr>
            <m:t>。</m:t>
          </m:r>
          <m:r>
            <w:rPr>
              <w:rFonts w:ascii="Cambria Math" w:hAnsi="Cambria Math" w:cs="Cambria Math"/>
              <w:sz w:val="18"/>
            </w:rPr>
            <m:t xml:space="preserve">   (4)</m:t>
          </m:r>
        </m:oMath>
      </m:oMathPara>
    </w:p>
    <w:p w14:paraId="5F516C53" w14:textId="77777777" w:rsidR="0063156C" w:rsidRDefault="00ED07B6">
      <w:pPr>
        <w:pStyle w:val="afe"/>
        <w:keepLines/>
        <w:ind w:firstLine="360"/>
        <w:jc w:val="center"/>
      </w:pPr>
      <m:oMathPara>
        <m:oMath>
          <m:r>
            <w:rPr>
              <w:rFonts w:ascii="Cambria Math" w:hAnsi="Cambria Math" w:cs="Cambria Math"/>
              <w:sz w:val="18"/>
            </w:rPr>
            <m:t>F(</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 xml:space="preserve">)={1, </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&lt;δ</m:t>
          </m:r>
          <m:r>
            <w:rPr>
              <w:rFonts w:ascii="Cambria Math" w:hAnsi="Cambria Math" w:cs="Cambria Math"/>
              <w:sz w:val="18"/>
            </w:rPr>
            <m:t>；</m:t>
          </m:r>
          <m:r>
            <w:rPr>
              <w:rFonts w:ascii="Cambria Math" w:hAnsi="Cambria Math" w:cs="Cambria Math"/>
              <w:sz w:val="18"/>
            </w:rPr>
            <m:t xml:space="preserve"> </m:t>
          </m:r>
          <m:r>
            <m:rPr>
              <m:sty m:val="p"/>
            </m:rPr>
            <w:rPr>
              <w:rFonts w:ascii="Cambria Math" w:hAnsi="Cambria Math" w:cs="Cambria Math"/>
              <w:sz w:val="18"/>
            </w:rPr>
            <m:t>exp</m:t>
          </m:r>
          <m:r>
            <w:rPr>
              <w:rFonts w:ascii="Cambria Math" w:hAnsi="Cambria Math" w:cs="Cambria Math"/>
              <w:sz w:val="18"/>
            </w:rPr>
            <m:t>(-κ</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≥δ}</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=F(</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(5)</m:t>
          </m:r>
        </m:oMath>
      </m:oMathPara>
    </w:p>
    <w:p w14:paraId="51B5835E"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sSup>
            <m:sSupPr>
              <m:ctrlPr>
                <w:rPr>
                  <w:rFonts w:ascii="Cambria Math" w:hAnsi="Cambria Math"/>
                </w:rPr>
              </m:ctrlPr>
            </m:sSupPr>
            <m:e>
              <m:r>
                <w:rPr>
                  <w:rFonts w:ascii="Cambria Math" w:hAnsi="Cambria Math" w:cs="Cambria Math"/>
                  <w:sz w:val="18"/>
                </w:rPr>
                <m:t>]/2}</m:t>
              </m:r>
            </m:e>
            <m:sup>
              <m:r>
                <w:rPr>
                  <w:rFonts w:ascii="Cambria Math" w:hAnsi="Cambria Math" w:cs="Cambria Math"/>
                  <w:sz w:val="18"/>
                </w:rPr>
                <m:t>1/2</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,0)+</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,0)</m:t>
          </m:r>
          <m:r>
            <w:rPr>
              <w:rFonts w:ascii="Cambria Math" w:hAnsi="Cambria Math" w:cs="Cambria Math"/>
              <w:sz w:val="18"/>
            </w:rPr>
            <m:t>。</m:t>
          </m:r>
          <m:r>
            <w:rPr>
              <w:rFonts w:ascii="Cambria Math" w:hAnsi="Cambria Math" w:cs="Cambria Math"/>
              <w:sz w:val="18"/>
            </w:rPr>
            <m:t xml:space="preserve">   (6)</m:t>
          </m:r>
        </m:oMath>
      </m:oMathPara>
    </w:p>
    <w:p w14:paraId="3B7D9779" w14:textId="77777777" w:rsidR="00AF716D" w:rsidRDefault="000A6821">
      <w:pPr>
        <w:pStyle w:val="aff"/>
        <w:keepNext/>
        <w:keepLines/>
        <w:widowControl w:val="0"/>
        <w:spacing w:before="156" w:after="156"/>
        <w:jc w:val="left"/>
      </w:pPr>
      <w:r>
        <w:rPr>
          <w:rFonts w:eastAsia="Times New Roman"/>
        </w:rPr>
        <w:t>2.2  Response, interval update, and cost</w:t>
      </w:r>
    </w:p>
    <w:p w14:paraId="5C28CD21" w14:textId="77777777" w:rsidR="00AF716D" w:rsidRDefault="000A6821">
      <w:pPr>
        <w:pStyle w:val="afe"/>
        <w:ind w:firstLine="420"/>
      </w:pPr>
      <w:r>
        <w:rPr>
          <w:rFonts w:eastAsia="Times New Roman"/>
        </w:rPr>
        <w:t>The policy proposes ai,t in [-1,1], but the environment realizes movement mi,t according to stubbornness omega_i and response type fi. Equation (8) covers linear, threshold, smooth-threshold, and inertial responses; zeta=10, lambda=0.35, and Delta=0.1 in the reported experiments. Hidden response parameters affect execution but are not exposed to the policy.</w:t>
      </w:r>
    </w:p>
    <w:p w14:paraId="24525277"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ω</m:t>
              </m:r>
            </m:e>
            <m:sub>
              <m:r>
                <w:rPr>
                  <w:rFonts w:ascii="Cambria Math" w:hAnsi="Cambria Math" w:cs="Cambria Math"/>
                  <w:sz w:val="18"/>
                </w:rPr>
                <m:t>i</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θ</m:t>
              </m:r>
            </m:e>
            <m:sub>
              <m:r>
                <w:rPr>
                  <w:rFonts w:ascii="Cambria Math" w:hAnsi="Cambria Math" w:cs="Cambria Math"/>
                  <w:sz w:val="18"/>
                </w:rPr>
                <m:t>i</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m:t>
          </m:r>
          <m:r>
            <w:rPr>
              <w:rFonts w:ascii="Cambria Math" w:hAnsi="Cambria Math" w:cs="Cambria Math"/>
              <w:sz w:val="18"/>
            </w:rPr>
            <m:t>Δ</m:t>
          </m:r>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(7)</m:t>
          </m:r>
        </m:oMath>
      </m:oMathPara>
    </w:p>
    <w:p w14:paraId="05327327"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0</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θ</m:t>
              </m:r>
            </m:e>
            <m:sub>
              <m:r>
                <w:rPr>
                  <w:rFonts w:ascii="Cambria Math" w:hAnsi="Cambria Math" w:cs="Cambria Math"/>
                  <w:sz w:val="18"/>
                </w:rPr>
                <m:t>i</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2</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σ</m:t>
          </m:r>
          <m:r>
            <w:rPr>
              <w:rFonts w:ascii="Cambria Math" w:hAnsi="Cambria Math" w:cs="Cambria Math"/>
              <w:sz w:val="18"/>
            </w:rPr>
            <m:t>[</m:t>
          </m:r>
          <m:r>
            <w:rPr>
              <w:rFonts w:ascii="Cambria Math" w:hAnsi="Cambria Math" w:cs="Cambria Math"/>
              <w:sz w:val="18"/>
            </w:rPr>
            <m:t>ζ</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θ</m:t>
              </m:r>
            </m:e>
            <m:sub>
              <m:r>
                <w:rPr>
                  <w:rFonts w:ascii="Cambria Math" w:hAnsi="Cambria Math" w:cs="Cambria Math"/>
                  <w:sz w:val="18"/>
                </w:rPr>
                <m:t>i</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3</m:t>
              </m:r>
            </m:sub>
          </m:sSub>
          <m:r>
            <w:rPr>
              <w:rFonts w:ascii="Cambria Math" w:hAnsi="Cambria Math" w:cs="Cambria Math"/>
              <w:sz w:val="18"/>
            </w:rPr>
            <m:t>=</m:t>
          </m:r>
          <m:r>
            <w:rPr>
              <w:rFonts w:ascii="Cambria Math" w:hAnsi="Cambria Math" w:cs="Cambria Math"/>
              <w:sz w:val="18"/>
            </w:rPr>
            <m:t>λ</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r>
            <w:rPr>
              <w:rFonts w:ascii="Cambria Math" w:hAnsi="Cambria Math" w:cs="Cambria Math"/>
              <w:sz w:val="18"/>
            </w:rPr>
            <m:t>λ</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r>
                <w:rPr>
                  <w:rFonts w:ascii="Cambria Math" w:hAnsi="Cambria Math" w:cs="Cambria Math"/>
                  <w:sz w:val="18"/>
                </w:rPr>
                <m:t>1</m:t>
              </m:r>
            </m:sub>
          </m:sSub>
          <m:r>
            <w:rPr>
              <w:rFonts w:ascii="Cambria Math" w:hAnsi="Cambria Math" w:cs="Cambria Math"/>
              <w:sz w:val="18"/>
            </w:rPr>
            <m:t>。</m:t>
          </m:r>
          <m:r>
            <w:rPr>
              <w:rFonts w:ascii="Cambria Math" w:hAnsi="Cambria Math" w:cs="Cambria Math"/>
              <w:sz w:val="18"/>
            </w:rPr>
            <m:t xml:space="preserve">   (8)</m:t>
          </m:r>
        </m:oMath>
      </m:oMathPara>
    </w:p>
    <w:p w14:paraId="7B78636D"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(9)</m:t>
          </m:r>
        </m:oMath>
      </m:oMathPara>
    </w:p>
    <w:p w14:paraId="548B38A5" w14:textId="77777777" w:rsidR="00AF716D" w:rsidRDefault="000A6821">
      <w:pPr>
        <w:pStyle w:val="afe"/>
        <w:ind w:firstLine="420"/>
      </w:pPr>
      <w:r>
        <w:rPr>
          <w:rFonts w:eastAsia="Times New Roman"/>
        </w:rPr>
        <w:t>Equation (9) translates the center and holds the half-width fixed, so both endpoints move equally and remain within [0,1]. Adjustment cost is nonlinear with eta=75 and p=2. Equation (11) computes a shifted cost Gini; lower values indicate a more even burden.</w:t>
      </w:r>
    </w:p>
    <w:p w14:paraId="7C08E914"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sub>
          </m:sSub>
          <m:r>
            <w:rPr>
              <w:rFonts w:ascii="Cambria Math" w:hAnsi="Cambria Math" w:cs="Cambria Math"/>
              <w:sz w:val="18"/>
            </w:rPr>
            <m:t>ηΔ</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r>
                <w:rPr>
                  <w:rFonts w:ascii="Cambria Math" w:hAnsi="Cambria Math" w:cs="Cambria Math"/>
                  <w:sz w:val="18"/>
                </w:rPr>
                <m:t>Δ</m:t>
              </m:r>
              <m:r>
                <w:rPr>
                  <w:rFonts w:ascii="Cambria Math" w:hAnsi="Cambria Math" w:cs="Cambria Math"/>
                  <w:sz w:val="18"/>
                </w:rPr>
                <m:t>)</m:t>
              </m:r>
            </m:e>
            <m:sup>
              <m:r>
                <w:rPr>
                  <w:rFonts w:ascii="Cambria Math" w:hAnsi="Cambria Math" w:cs="Cambria Math"/>
                  <w:sz w:val="18"/>
                </w:rPr>
                <m:t>p</m:t>
              </m:r>
            </m:sup>
          </m:sSup>
          <m:r>
            <w:rPr>
              <w:rFonts w:ascii="Cambria Math" w:hAnsi="Cambria Math" w:cs="Cambria Math"/>
              <w:sz w:val="18"/>
            </w:rPr>
            <m:t>，</m:t>
          </m:r>
          <m:r>
            <w:rPr>
              <w:rFonts w:ascii="Cambria Math" w:hAnsi="Cambria Math" w:cs="Cambria Math"/>
              <w:sz w:val="18"/>
            </w:rPr>
            <m:t>p</m:t>
          </m:r>
          <m:r>
            <w:rPr>
              <w:rFonts w:ascii="Cambria Math" w:hAnsi="Cambria Math" w:cs="Cambria Math"/>
              <w:sz w:val="18"/>
            </w:rPr>
            <m:t>&gt;1</m:t>
          </m:r>
          <m:r>
            <w:rPr>
              <w:rFonts w:ascii="Cambria Math" w:hAnsi="Cambria Math" w:cs="Cambria Math"/>
              <w:sz w:val="18"/>
            </w:rPr>
            <m:t>。</m:t>
          </m:r>
          <m:r>
            <w:rPr>
              <w:rFonts w:ascii="Cambria Math" w:hAnsi="Cambria Math" w:cs="Cambria Math"/>
              <w:sz w:val="18"/>
            </w:rPr>
            <m:t xml:space="preserve">   (10)</m:t>
          </m:r>
        </m:oMath>
      </m:oMathPara>
    </w:p>
    <w:p w14:paraId="7CE2ADFB"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j</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j</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g</m:t>
              </m:r>
            </m:e>
            <m:sub>
              <m:r>
                <w:rPr>
                  <w:rFonts w:ascii="Cambria Math" w:hAnsi="Cambria Math" w:cs="Cambria Math"/>
                  <w:sz w:val="18"/>
                </w:rPr>
                <m:t>t</m:t>
              </m:r>
            </m:sub>
          </m:sSub>
          <m:r>
            <w:rPr>
              <w:rFonts w:ascii="Cambria Math" w:hAnsi="Cambria Math" w:cs="Cambria Math"/>
              <w:sz w:val="18"/>
            </w:rPr>
            <m:t xml:space="preserve">={0, </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=0</m:t>
          </m:r>
          <m:r>
            <w:rPr>
              <w:rFonts w:ascii="Cambria Math" w:hAnsi="Cambria Math" w:cs="Cambria Math"/>
              <w:sz w:val="18"/>
            </w:rPr>
            <m:t>；</m:t>
          </m:r>
          <m:r>
            <w:rPr>
              <w:rFonts w:ascii="Cambria Math" w:hAnsi="Cambria Math" w:cs="Cambria Math"/>
              <w:sz w:val="18"/>
            </w:rPr>
            <m:t>2</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r>
            <w:rPr>
              <w:rFonts w:ascii="Cambria Math" w:hAnsi="Cambria Math" w:cs="Cambria Math"/>
              <w:sz w:val="18"/>
            </w:rPr>
            <m:t>i</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m:t>
              </m:r>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N</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N</m:t>
          </m:r>
          <m:r>
            <w:rPr>
              <w:rFonts w:ascii="Cambria Math" w:hAnsi="Cambria Math" w:cs="Cambria Math"/>
              <w:sz w:val="18"/>
            </w:rPr>
            <m:t>+1)/</m:t>
          </m:r>
          <m:r>
            <w:rPr>
              <w:rFonts w:ascii="Cambria Math" w:hAnsi="Cambria Math" w:cs="Cambria Math"/>
              <w:sz w:val="18"/>
            </w:rPr>
            <m:t>N</m:t>
          </m:r>
          <m:r>
            <w:rPr>
              <w:rFonts w:ascii="Cambria Math" w:hAnsi="Cambria Math" w:cs="Cambria Math"/>
              <w:sz w:val="18"/>
            </w:rPr>
            <m:t xml:space="preserve">, </m:t>
          </m:r>
          <m:r>
            <m:rPr>
              <m:sty m:val="p"/>
            </m:rPr>
            <w:rPr>
              <w:rFonts w:ascii="Cambria Math" w:hAnsi="Cambria Math" w:cs="Cambria Math"/>
              <w:sz w:val="18"/>
            </w:rPr>
            <m:t>otherwise</m:t>
          </m:r>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(11)</m:t>
          </m:r>
        </m:oMath>
      </m:oMathPara>
    </w:p>
    <w:p w14:paraId="1F3970FE" w14:textId="77777777" w:rsidR="00AF716D" w:rsidRDefault="000A6821">
      <w:pPr>
        <w:pStyle w:val="aff"/>
        <w:keepNext/>
        <w:keepLines/>
        <w:widowControl w:val="0"/>
        <w:spacing w:before="156" w:after="156"/>
        <w:jc w:val="left"/>
      </w:pPr>
      <w:r>
        <w:rPr>
          <w:rFonts w:eastAsia="Times New Roman"/>
        </w:rPr>
        <w:lastRenderedPageBreak/>
        <w:t>3  Interval Meta-GDM</w:t>
      </w:r>
    </w:p>
    <w:p w14:paraId="79B08F05" w14:textId="77777777" w:rsidR="00AF716D" w:rsidRDefault="000A6821">
      <w:pPr>
        <w:pStyle w:val="aff"/>
        <w:keepNext/>
        <w:keepLines/>
        <w:widowControl w:val="0"/>
        <w:spacing w:before="156" w:after="156"/>
        <w:jc w:val="left"/>
      </w:pPr>
      <w:r>
        <w:rPr>
          <w:rFonts w:eastAsia="Times New Roman"/>
        </w:rPr>
        <w:t>3.1  Architecture and context encoding</w:t>
      </w:r>
    </w:p>
    <w:p w14:paraId="056BAF5A" w14:textId="77777777" w:rsidR="00AF716D" w:rsidRDefault="000A6821">
      <w:pPr>
        <w:pStyle w:val="afe"/>
        <w:ind w:firstLine="420"/>
      </w:pPr>
      <w:r>
        <w:rPr>
          <w:rFonts w:eastAsia="Times New Roman"/>
        </w:rPr>
        <w:t xml:space="preserve">The closed loop alternates policy suggestions, </w:t>
      </w:r>
      <w:r>
        <w:rPr>
          <w:rFonts w:eastAsia="Times New Roman"/>
        </w:rPr>
        <w:t>hidden member responses, interval updates, and reward feedback. Training uses a replay buffer and twin SAC critics; testing freezes every parameter. Figure 1 separates the interaction loop from the off-policy update loop.</w:t>
      </w:r>
    </w:p>
    <w:p w14:paraId="0F32BEFA"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p w14:paraId="28D547E6" w14:textId="524EC659" w:rsidR="00AF716D" w:rsidRDefault="00B12148">
      <w:pPr>
        <w:jc w:val="center"/>
      </w:pPr>
      <w:r w:rsidRPr="00B12148">
        <w:rPr>
          <w:noProof/>
        </w:rPr>
        <w:drawing>
          <wp:anchor distT="0" distB="0" distL="114300" distR="114300" simplePos="0" relativeHeight="251659264" behindDoc="0" locked="0" layoutInCell="1" allowOverlap="1" wp14:anchorId="331C1C60" wp14:editId="587952C2">
            <wp:simplePos x="0" y="0"/>
            <wp:positionH relativeFrom="column">
              <wp:posOffset>0</wp:posOffset>
            </wp:positionH>
            <wp:positionV relativeFrom="paragraph">
              <wp:posOffset>200025</wp:posOffset>
            </wp:positionV>
            <wp:extent cx="6120130" cy="5721350"/>
            <wp:effectExtent l="0" t="0" r="0" b="0"/>
            <wp:wrapTopAndBottom/>
            <wp:docPr id="36983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35221" name=""/>
                    <pic:cNvPicPr/>
                  </pic:nvPicPr>
                  <pic:blipFill>
                    <a:blip r:embed="rId11"/>
                    <a:stretch>
                      <a:fillRect/>
                    </a:stretch>
                  </pic:blipFill>
                  <pic:spPr>
                    <a:xfrm>
                      <a:off x="0" y="0"/>
                      <a:ext cx="6120130" cy="5721350"/>
                    </a:xfrm>
                    <a:prstGeom prst="rect">
                      <a:avLst/>
                    </a:prstGeom>
                  </pic:spPr>
                </pic:pic>
              </a:graphicData>
            </a:graphic>
          </wp:anchor>
        </w:drawing>
      </w:r>
    </w:p>
    <w:p w14:paraId="19341C8C" w14:textId="77777777" w:rsidR="00AF716D" w:rsidRDefault="000A6821">
      <w:pPr>
        <w:pStyle w:val="afffc"/>
      </w:pPr>
      <w:r>
        <w:rPr>
          <w:rFonts w:eastAsia="Times New Roman"/>
        </w:rPr>
        <w:t>Fig. 1  Interaction and SAC Update Loops of Interval Meta-GDM</w:t>
      </w:r>
    </w:p>
    <w:p w14:paraId="7F37E01A"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1D9D3CF5" w14:textId="77777777" w:rsidR="00AF716D" w:rsidRDefault="000A6821">
      <w:pPr>
        <w:pStyle w:val="afe"/>
        <w:ind w:firstLine="420"/>
      </w:pPr>
      <w:r>
        <w:rPr>
          <w:rFonts w:eastAsia="Times New Roman"/>
        </w:rPr>
        <w:t xml:space="preserve">Each member state contains the center, half-width, their deviations from group means, and the remaining-horizon ratio (12). The latest L=10 tuples of proposed action, realized movement, and normalized local reward form the history (13). A Transformer parameterizes the Gaussian response </w:t>
      </w:r>
      <w:r>
        <w:rPr>
          <w:rFonts w:eastAsia="Times New Roman"/>
        </w:rPr>
        <w:t>code (14), and the reparameterization and KL term are defined in (15). At test time the latent mean is used, making inference deterministic.</w:t>
      </w:r>
    </w:p>
    <w:p w14:paraId="3438520E"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H</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r>
            <w:rPr>
              <w:rFonts w:ascii="Cambria Math" w:hAnsi="Cambria Math" w:cs="Cambria Math"/>
              <w:sz w:val="18"/>
            </w:rPr>
            <m:t>H</m:t>
          </m:r>
          <m:r>
            <w:rPr>
              <w:rFonts w:ascii="Cambria Math" w:hAnsi="Cambria Math" w:cs="Cambria Math"/>
              <w:sz w:val="18"/>
            </w:rPr>
            <m:t>]∈</m:t>
          </m:r>
          <m:sSup>
            <m:sSupPr>
              <m:ctrlPr>
                <w:rPr>
                  <w:rFonts w:ascii="Cambria Math" w:hAnsi="Cambria Math"/>
                </w:rPr>
              </m:ctrlPr>
            </m:sSupPr>
            <m:e>
              <m:r>
                <m:rPr>
                  <m:scr m:val="double-struck"/>
                </m:rPr>
                <w:rPr>
                  <w:rFonts w:ascii="Cambria Math" w:hAnsi="Cambria Math" w:cs="Cambria Math"/>
                  <w:sz w:val="18"/>
                </w:rPr>
                <m:t>R</m:t>
              </m:r>
            </m:e>
            <m:sup>
              <m:r>
                <w:rPr>
                  <w:rFonts w:ascii="Cambria Math" w:hAnsi="Cambria Math" w:cs="Cambria Math"/>
                  <w:sz w:val="18"/>
                </w:rPr>
                <m:t>5</m:t>
              </m:r>
            </m:sup>
          </m:sSup>
          <m:r>
            <w:rPr>
              <w:rFonts w:ascii="Cambria Math" w:hAnsi="Cambria Math" w:cs="Cambria Math"/>
              <w:sz w:val="18"/>
            </w:rPr>
            <m:t>。</m:t>
          </m:r>
          <m:r>
            <w:rPr>
              <w:rFonts w:ascii="Cambria Math" w:hAnsi="Cambria Math" w:cs="Cambria Math"/>
              <w:sz w:val="18"/>
            </w:rPr>
            <m:t xml:space="preserve">   (12)</m:t>
          </m:r>
        </m:oMath>
      </m:oMathPara>
    </w:p>
    <w:p w14:paraId="6FB0AEC3"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x</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ν</m:t>
          </m:r>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x</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r>
                <w:rPr>
                  <w:rFonts w:ascii="Cambria Math" w:hAnsi="Cambria Math" w:cs="Cambria Math"/>
                  <w:sz w:val="18"/>
                </w:rPr>
                <m:t>L</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x</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r>
                <w:rPr>
                  <w:rFonts w:ascii="Cambria Math" w:hAnsi="Cambria Math" w:cs="Cambria Math"/>
                  <w:sz w:val="18"/>
                </w:rPr>
                <m:t>1</m:t>
              </m:r>
            </m:sub>
          </m:sSub>
          <m:r>
            <w:rPr>
              <w:rFonts w:ascii="Cambria Math" w:hAnsi="Cambria Math" w:cs="Cambria Math"/>
              <w:sz w:val="18"/>
            </w:rPr>
            <m:t>)∈</m:t>
          </m:r>
          <m:sSup>
            <m:sSupPr>
              <m:ctrlPr>
                <w:rPr>
                  <w:rFonts w:ascii="Cambria Math" w:hAnsi="Cambria Math"/>
                </w:rPr>
              </m:ctrlPr>
            </m:sSupPr>
            <m:e>
              <m:r>
                <m:rPr>
                  <m:scr m:val="double-struck"/>
                </m:rPr>
                <w:rPr>
                  <w:rFonts w:ascii="Cambria Math" w:hAnsi="Cambria Math" w:cs="Cambria Math"/>
                  <w:sz w:val="18"/>
                </w:rPr>
                <m:t>R</m:t>
              </m:r>
            </m:e>
            <m:sup>
              <m:r>
                <w:rPr>
                  <w:rFonts w:ascii="Cambria Math" w:hAnsi="Cambria Math" w:cs="Cambria Math"/>
                  <w:sz w:val="18"/>
                </w:rPr>
                <m:t>L</m:t>
              </m:r>
              <m:r>
                <w:rPr>
                  <w:rFonts w:ascii="Cambria Math" w:hAnsi="Cambria Math" w:cs="Cambria Math"/>
                  <w:sz w:val="18"/>
                </w:rPr>
                <m:t>×3</m:t>
              </m:r>
            </m:sup>
          </m:sSup>
          <m:r>
            <w:rPr>
              <w:rFonts w:ascii="Cambria Math" w:hAnsi="Cambria Math" w:cs="Cambria Math"/>
              <w:sz w:val="18"/>
            </w:rPr>
            <m:t>。</m:t>
          </m:r>
          <m:r>
            <w:rPr>
              <w:rFonts w:ascii="Cambria Math" w:hAnsi="Cambria Math" w:cs="Cambria Math"/>
              <w:sz w:val="18"/>
            </w:rPr>
            <m:t xml:space="preserve">   (13)</m:t>
          </m:r>
        </m:oMath>
      </m:oMathPara>
    </w:p>
    <w:p w14:paraId="682D5A36" w14:textId="77777777" w:rsidR="0063156C" w:rsidRPr="00ED07B6" w:rsidRDefault="009A0C0A">
      <w:pPr>
        <w:pStyle w:val="afe"/>
        <w:keepLines/>
        <w:ind w:firstLine="420"/>
        <w:jc w:val="center"/>
        <w:rPr>
          <w:rFonts w:ascii="Cambria Math" w:hAnsi="Cambria Math"/>
          <w:oMath/>
        </w:rPr>
      </w:pPr>
      <m:oMathPara>
        <m:oMath>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φ</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cr m:val="script"/>
            </m:rPr>
            <w:rPr>
              <w:rFonts w:ascii="Cambria Math" w:hAnsi="Cambria Math" w:cs="Cambria Math"/>
              <w:sz w:val="18"/>
            </w:rPr>
            <m:t>N</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φ</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diag</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φ</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(14)</m:t>
          </m:r>
        </m:oMath>
      </m:oMathPara>
    </w:p>
    <w:p w14:paraId="2EEAAEB2"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ε</m:t>
          </m:r>
          <m:r>
            <w:rPr>
              <w:rFonts w:ascii="Cambria Math" w:hAnsi="Cambria Math" w:cs="Cambria Math"/>
              <w:sz w:val="18"/>
            </w:rPr>
            <m:t>，</m:t>
          </m:r>
          <m:r>
            <w:rPr>
              <w:rFonts w:ascii="Cambria Math" w:hAnsi="Cambria Math" w:cs="Cambria Math"/>
              <w:sz w:val="18"/>
            </w:rPr>
            <m:t>ε</m:t>
          </m:r>
          <m:r>
            <w:rPr>
              <w:rFonts w:ascii="Cambria Math" w:hAnsi="Cambria Math" w:cs="Cambria Math"/>
              <w:sz w:val="18"/>
            </w:rPr>
            <m:t>∼</m:t>
          </m:r>
          <m:r>
            <m:rPr>
              <m:scr m:val="script"/>
            </m:rPr>
            <w:rPr>
              <w:rFonts w:ascii="Cambria Math" w:hAnsi="Cambria Math" w:cs="Cambria Math"/>
              <w:sz w:val="18"/>
            </w:rPr>
            <m:t>N</m:t>
          </m:r>
          <m:r>
            <w:rPr>
              <w:rFonts w:ascii="Cambria Math" w:hAnsi="Cambria Math" w:cs="Cambria Math"/>
              <w:sz w:val="18"/>
            </w:rPr>
            <m:t>(0,</m:t>
          </m:r>
          <m:r>
            <w:rPr>
              <w:rFonts w:ascii="Cambria Math" w:hAnsi="Cambria Math" w:cs="Cambria Math"/>
              <w:sz w:val="18"/>
            </w:rPr>
            <m:t>I</m:t>
          </m:r>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χ</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=½</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k</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μ</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k</m:t>
              </m:r>
            </m:sub>
            <m:sup>
              <m:r>
                <w:rPr>
                  <w:rFonts w:ascii="Cambria Math" w:hAnsi="Cambria Math" w:cs="Cambria Math"/>
                  <w:sz w:val="18"/>
                </w:rPr>
                <m:t>2</m:t>
              </m:r>
            </m:sup>
          </m:sSubSup>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k</m:t>
              </m:r>
            </m:sub>
            <m:sup>
              <m:r>
                <w:rPr>
                  <w:rFonts w:ascii="Cambria Math" w:hAnsi="Cambria Math" w:cs="Cambria Math"/>
                  <w:sz w:val="18"/>
                </w:rPr>
                <m:t>2</m:t>
              </m:r>
            </m:sup>
          </m:sSubSup>
          <m:r>
            <w:rPr>
              <w:rFonts w:ascii="Cambria Math" w:hAnsi="Cambria Math" w:cs="Cambria Math"/>
              <w:sz w:val="18"/>
            </w:rPr>
            <m:t>-</m:t>
          </m:r>
          <m:r>
            <m:rPr>
              <m:sty m:val="p"/>
            </m:rPr>
            <w:rPr>
              <w:rFonts w:ascii="Cambria Math" w:hAnsi="Cambria Math" w:cs="Cambria Math"/>
              <w:sz w:val="18"/>
            </w:rPr>
            <m:t>log</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k</m:t>
              </m:r>
            </m:sub>
            <m:sup>
              <m:r>
                <w:rPr>
                  <w:rFonts w:ascii="Cambria Math" w:hAnsi="Cambria Math" w:cs="Cambria Math"/>
                  <w:sz w:val="18"/>
                </w:rPr>
                <m:t>2</m:t>
              </m:r>
            </m:sup>
          </m:sSubSup>
          <m:r>
            <w:rPr>
              <w:rFonts w:ascii="Cambria Math" w:hAnsi="Cambria Math" w:cs="Cambria Math"/>
              <w:sz w:val="18"/>
            </w:rPr>
            <m:t>-</m:t>
          </m:r>
          <m:r>
            <w:rPr>
              <w:rFonts w:ascii="Cambria Math" w:hAnsi="Cambria Math" w:cs="Cambria Math"/>
              <w:sz w:val="18"/>
            </w:rPr>
            <m:t xml:space="preserve">1), </m:t>
          </m:r>
          <m:r>
            <w:rPr>
              <w:rFonts w:ascii="Cambria Math" w:hAnsi="Cambria Math" w:cs="Cambria Math"/>
              <w:sz w:val="18"/>
            </w:rPr>
            <m:t>at</m:t>
          </m:r>
          <m:r>
            <w:rPr>
              <w:rFonts w:ascii="Cambria Math" w:hAnsi="Cambria Math" w:cs="Cambria Math"/>
              <w:sz w:val="18"/>
            </w:rPr>
            <m:t xml:space="preserve"> </m:t>
          </m:r>
          <m:r>
            <w:rPr>
              <w:rFonts w:ascii="Cambria Math" w:hAnsi="Cambria Math" w:cs="Cambria Math"/>
              <w:sz w:val="18"/>
            </w:rPr>
            <m:t>test</m:t>
          </m:r>
          <m:r>
            <w:rPr>
              <w:rFonts w:ascii="Cambria Math" w:hAnsi="Cambria Math" w:cs="Cambria Math"/>
              <w:sz w:val="18"/>
            </w:rPr>
            <m:t xml:space="preserve"> </m:t>
          </m:r>
          <m:r>
            <w:rPr>
              <w:rFonts w:ascii="Cambria Math" w:hAnsi="Cambria Math" w:cs="Cambria Math"/>
              <w:sz w:val="18"/>
            </w:rPr>
            <m:t>time</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(15)</m:t>
          </m:r>
        </m:oMath>
      </m:oMathPara>
    </w:p>
    <w:p w14:paraId="7C3CBDC6" w14:textId="77777777" w:rsidR="00AF716D" w:rsidRDefault="000A6821">
      <w:pPr>
        <w:pStyle w:val="aff"/>
        <w:keepNext/>
        <w:keepLines/>
        <w:widowControl w:val="0"/>
        <w:spacing w:before="156" w:after="156"/>
        <w:jc w:val="left"/>
      </w:pPr>
      <w:r>
        <w:rPr>
          <w:rFonts w:eastAsia="Times New Roman"/>
        </w:rPr>
        <w:t>3.2  Social attention and shared policy</w:t>
      </w:r>
    </w:p>
    <w:p w14:paraId="41495056" w14:textId="77777777" w:rsidR="00AF716D" w:rsidRDefault="000A6821">
      <w:pPr>
        <w:pStyle w:val="afe"/>
        <w:ind w:firstLine="420"/>
      </w:pPr>
      <w:r>
        <w:rPr>
          <w:rFonts w:eastAsia="Times New Roman"/>
        </w:rPr>
        <w:t>A shared feature layer maps each state-code pair to ui,t. Four-head attention compares each member with the pooled group representation; Eqs. (16)-(18) are invariant to member order and accept any N. The shared Actor generates one squashed Gaussian action per member, with the corrected log density in (20). Twin Critics receive the member representations, group context, and joint action.</w:t>
      </w:r>
    </w:p>
    <w:p w14:paraId="349BD360"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ReLU</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x</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x</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(16)</m:t>
          </m:r>
        </m:oMath>
      </m:oMathPara>
    </w:p>
    <w:p w14:paraId="5908E570"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h</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q</m:t>
              </m:r>
              <m:r>
                <w:rPr>
                  <w:rFonts w:ascii="Cambria Math" w:hAnsi="Cambria Math" w:cs="Cambria Math"/>
                  <w:sz w:val="18"/>
                </w:rPr>
                <m:t>,h</m:t>
              </m:r>
            </m:sub>
          </m:sSub>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q</m:t>
              </m:r>
              <m:r>
                <w:rPr>
                  <w:rFonts w:ascii="Cambria Math" w:hAnsi="Cambria Math" w:cs="Cambria Math"/>
                  <w:sz w:val="18"/>
                </w:rPr>
                <m:t>,h</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k</m:t>
              </m:r>
            </m:e>
            <m:sub>
              <m:r>
                <w:rPr>
                  <w:rFonts w:ascii="Cambria Math" w:hAnsi="Cambria Math" w:cs="Cambria Math"/>
                  <w:sz w:val="18"/>
                </w:rPr>
                <m:t>i</m:t>
              </m:r>
              <m:r>
                <w:rPr>
                  <w:rFonts w:ascii="Cambria Math" w:hAnsi="Cambria Math" w:cs="Cambria Math"/>
                  <w:sz w:val="18"/>
                </w:rPr>
                <m:t>,h,</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k</m:t>
              </m:r>
              <m:r>
                <w:rPr>
                  <w:rFonts w:ascii="Cambria Math" w:hAnsi="Cambria Math" w:cs="Cambria Math"/>
                  <w:sz w:val="18"/>
                </w:rPr>
                <m:t>,h</m:t>
              </m:r>
            </m:sub>
          </m:sSub>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m:t>
              </m:r>
              <m:r>
                <w:rPr>
                  <w:rFonts w:ascii="Cambria Math" w:hAnsi="Cambria Math" w:cs="Cambria Math"/>
                  <w:sz w:val="18"/>
                </w:rPr>
                <m:t>,h,</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v</m:t>
              </m:r>
              <m:r>
                <w:rPr>
                  <w:rFonts w:ascii="Cambria Math" w:hAnsi="Cambria Math" w:cs="Cambria Math"/>
                  <w:sz w:val="18"/>
                </w:rPr>
                <m:t>,h</m:t>
              </m:r>
            </m:sub>
          </m:sSub>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α</m:t>
              </m:r>
            </m:e>
            <m:sub>
              <m:r>
                <w:rPr>
                  <w:rFonts w:ascii="Cambria Math" w:hAnsi="Cambria Math" w:cs="Cambria Math"/>
                  <w:sz w:val="18"/>
                </w:rPr>
                <m:t>i</m:t>
              </m:r>
              <m:r>
                <w:rPr>
                  <w:rFonts w:ascii="Cambria Math" w:hAnsi="Cambria Math" w:cs="Cambria Math"/>
                  <w:sz w:val="18"/>
                </w:rPr>
                <m:t>,h,</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softmax</m:t>
              </m:r>
            </m:e>
            <m:sub>
              <m:r>
                <w:rPr>
                  <w:rFonts w:ascii="Cambria Math" w:hAnsi="Cambria Math" w:cs="Cambria Math"/>
                  <w:sz w:val="18"/>
                </w:rPr>
                <m:t>i</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q</m:t>
              </m:r>
            </m:e>
            <m:sub>
              <m:r>
                <w:rPr>
                  <w:rFonts w:ascii="Cambria Math" w:hAnsi="Cambria Math" w:cs="Cambria Math"/>
                  <w:sz w:val="18"/>
                </w:rPr>
                <m:t>h</m:t>
              </m:r>
              <m:r>
                <w:rPr>
                  <w:rFonts w:ascii="Cambria Math" w:hAnsi="Cambria Math" w:cs="Cambria Math"/>
                  <w:sz w:val="18"/>
                </w:rPr>
                <m:t>,</m:t>
              </m:r>
              <m:r>
                <w:rPr>
                  <w:rFonts w:ascii="Cambria Math" w:hAnsi="Cambria Math" w:cs="Cambria Math"/>
                  <w:sz w:val="18"/>
                </w:rPr>
                <m:t>t</m:t>
              </m:r>
            </m:sub>
            <m:sup>
              <m:r>
                <w:rPr>
                  <w:rFonts w:ascii="Cambria Math" w:hAnsi="Cambria Math" w:cs="Cambria Math"/>
                  <w:sz w:val="18"/>
                </w:rPr>
                <m:t>T</m:t>
              </m:r>
            </m:sup>
          </m:sSubSup>
          <m:sSub>
            <m:sSubPr>
              <m:ctrlPr>
                <w:rPr>
                  <w:rFonts w:ascii="Cambria Math" w:hAnsi="Cambria Math"/>
                </w:rPr>
              </m:ctrlPr>
            </m:sSubPr>
            <m:e>
              <m:r>
                <w:rPr>
                  <w:rFonts w:ascii="Cambria Math" w:hAnsi="Cambria Math" w:cs="Cambria Math"/>
                  <w:sz w:val="18"/>
                </w:rPr>
                <m:t>k</m:t>
              </m:r>
            </m:e>
            <m:sub>
              <m:r>
                <w:rPr>
                  <w:rFonts w:ascii="Cambria Math" w:hAnsi="Cambria Math" w:cs="Cambria Math"/>
                  <w:sz w:val="18"/>
                </w:rPr>
                <m:t>i</m:t>
              </m:r>
              <m:r>
                <w:rPr>
                  <w:rFonts w:ascii="Cambria Math" w:hAnsi="Cambria Math" w:cs="Cambria Math"/>
                  <w:sz w:val="18"/>
                </w:rPr>
                <m:t>,h,</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h</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(17)</m:t>
          </m:r>
        </m:oMath>
      </m:oMathPara>
    </w:p>
    <w:p w14:paraId="4556D22E"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o</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o</m:t>
              </m:r>
            </m:sub>
          </m:sSub>
          <m:r>
            <w:rPr>
              <w:rFonts w:ascii="Cambria Math" w:hAnsi="Cambria Math" w:cs="Cambria Math"/>
              <w:sz w:val="18"/>
            </w:rPr>
            <m:t>·</m:t>
          </m:r>
          <m:r>
            <m:rPr>
              <m:sty m:val="p"/>
            </m:rPr>
            <w:rPr>
              <w:rFonts w:ascii="Cambria Math" w:hAnsi="Cambria Math" w:cs="Cambria Math"/>
              <w:sz w:val="18"/>
            </w:rPr>
            <m:t>LN</m:t>
          </m:r>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Concat</m:t>
              </m:r>
            </m:e>
            <m:sub>
              <m:r>
                <w:rPr>
                  <w:rFonts w:ascii="Cambria Math" w:hAnsi="Cambria Math" w:cs="Cambria Math"/>
                  <w:sz w:val="18"/>
                </w:rPr>
                <m:t>h</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α</m:t>
              </m:r>
            </m:e>
            <m:sub>
              <m:r>
                <w:rPr>
                  <w:rFonts w:ascii="Cambria Math" w:hAnsi="Cambria Math" w:cs="Cambria Math"/>
                  <w:sz w:val="18"/>
                </w:rPr>
                <m:t>i</m:t>
              </m:r>
              <m:r>
                <w:rPr>
                  <w:rFonts w:ascii="Cambria Math" w:hAnsi="Cambria Math" w:cs="Cambria Math"/>
                  <w:sz w:val="18"/>
                </w:rPr>
                <m:t>,h,</m:t>
              </m:r>
              <m:r>
                <w:rPr>
                  <w:rFonts w:ascii="Cambria Math" w:hAnsi="Cambria Math" w:cs="Cambria Math"/>
                  <w:sz w:val="18"/>
                </w:rPr>
                <m:t>t</m:t>
              </m:r>
            </m:sub>
          </m:sSub>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m:t>
              </m:r>
              <m:r>
                <w:rPr>
                  <w:rFonts w:ascii="Cambria Math" w:hAnsi="Cambria Math" w:cs="Cambria Math"/>
                  <w:sz w:val="18"/>
                </w:rPr>
                <m:t>,h,</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ū</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(18)</m:t>
          </m:r>
        </m:oMath>
      </m:oMathPara>
    </w:p>
    <w:p w14:paraId="2EC9F60B" w14:textId="77777777" w:rsidR="0063156C" w:rsidRDefault="00ED07B6">
      <w:pPr>
        <w:pStyle w:val="afe"/>
        <w:keepLines/>
        <w:ind w:firstLine="360"/>
        <w:jc w:val="center"/>
      </w:pPr>
      <m:oMathPara>
        <m:oMath>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f</m:t>
              </m:r>
            </m:e>
            <m:sub>
              <m:r>
                <w:rPr>
                  <w:rFonts w:ascii="Cambria Math" w:hAnsi="Cambria Math" w:cs="Cambria Math"/>
                  <w:sz w:val="18"/>
                </w:rPr>
                <m:t>θ</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o</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ξ</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i,t</m:t>
              </m:r>
            </m:sub>
          </m:sSub>
          <m:sSub>
            <m:sSubPr>
              <m:ctrlPr>
                <w:rPr>
                  <w:rFonts w:ascii="Cambria Math" w:hAnsi="Cambria Math"/>
                </w:rPr>
              </m:ctrlPr>
            </m:sSubPr>
            <m:e>
              <m:r>
                <w:rPr>
                  <w:rFonts w:ascii="Cambria Math" w:hAnsi="Cambria Math" w:cs="Cambria Math"/>
                  <w:sz w:val="18"/>
                </w:rPr>
                <m:t>ε</m:t>
              </m:r>
            </m:e>
            <m:sub>
              <m:r>
                <w:rPr>
                  <w:rFonts w:ascii="Cambria Math" w:hAnsi="Cambria Math" w:cs="Cambria Math"/>
                  <w:sz w:val="18"/>
                </w:rPr>
                <m:t>i</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r>
            <m:rPr>
              <m:sty m:val="p"/>
            </m:rPr>
            <w:rPr>
              <w:rFonts w:ascii="Cambria Math" w:hAnsi="Cambria Math" w:cs="Cambria Math"/>
              <w:sz w:val="18"/>
            </w:rPr>
            <m:t>tanh</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ξ</m:t>
              </m:r>
            </m:e>
            <m:sub>
              <m:r>
                <w:rPr>
                  <w:rFonts w:ascii="Cambria Math" w:hAnsi="Cambria Math" w:cs="Cambria Math"/>
                  <w:sz w:val="18"/>
                </w:rPr>
                <m:t>i,t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(19)</m:t>
          </m:r>
        </m:oMath>
      </m:oMathPara>
    </w:p>
    <w:p w14:paraId="14F0DAD7" w14:textId="77777777" w:rsidR="0063156C" w:rsidRDefault="00ED07B6">
      <w:pPr>
        <w:pStyle w:val="afe"/>
        <w:keepLines/>
        <w:ind w:firstLine="360"/>
        <w:jc w:val="center"/>
      </w:pPr>
      <m:oMathPara>
        <m:oMath>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π</m:t>
              </m:r>
            </m:e>
            <m:sub>
              <m:r>
                <w:rPr>
                  <w:rFonts w:ascii="Cambria Math" w:hAnsi="Cambria Math" w:cs="Cambria Math"/>
                  <w:sz w:val="18"/>
                </w:rPr>
                <m:t>θ</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o</m:t>
              </m:r>
            </m:e>
            <m:sub>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log</m:t>
          </m:r>
          <m:r>
            <m:rPr>
              <m:scr m:val="script"/>
            </m:rPr>
            <w:rPr>
              <w:rFonts w:ascii="Cambria Math" w:hAnsi="Cambria Math" w:cs="Cambria Math"/>
              <w:sz w:val="18"/>
            </w:rPr>
            <m:t>N(</m:t>
          </m:r>
          <m:sSub>
            <m:sSubPr>
              <m:ctrlPr>
                <w:rPr>
                  <w:rFonts w:ascii="Cambria Math" w:hAnsi="Cambria Math"/>
                </w:rPr>
              </m:ctrlPr>
            </m:sSubPr>
            <m:e>
              <m:r>
                <w:rPr>
                  <w:rFonts w:ascii="Cambria Math" w:hAnsi="Cambria Math" w:cs="Cambria Math"/>
                  <w:sz w:val="18"/>
                </w:rPr>
                <m:t>ξ</m:t>
              </m:r>
            </m:e>
            <m:sub>
              <m:r>
                <w:rPr>
                  <w:rFonts w:ascii="Cambria Math" w:hAnsi="Cambria Math" w:cs="Cambria Math"/>
                  <w:sz w:val="18"/>
                </w:rPr>
                <m:t>i,t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μ̂</m:t>
              </m:r>
            </m:e>
            <m:sub>
              <m:r>
                <w:rPr>
                  <w:rFonts w:ascii="Cambria Math" w:hAnsi="Cambria Math" w:cs="Cambria Math"/>
                  <w:sz w:val="18"/>
                </w:rPr>
                <m:t>i,t</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m:t>
          </m:r>
          <m:r>
            <m:rPr>
              <m:sty m:val="p"/>
            </m:rPr>
            <w:rPr>
              <w:rFonts w:ascii="Cambria Math" w:hAnsi="Cambria Math" w:cs="Cambria Math"/>
              <w:sz w:val="18"/>
            </w:rPr>
            <m:t>log</m:t>
          </m:r>
          <m:r>
            <w:rPr>
              <w:rFonts w:ascii="Cambria Math" w:hAnsi="Cambria Math" w:cs="Cambria Math"/>
              <w:sz w:val="18"/>
            </w:rPr>
            <m:t>(1-</m:t>
          </m:r>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i,t</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(20)</m:t>
          </m:r>
        </m:oMath>
      </m:oMathPara>
    </w:p>
    <w:p w14:paraId="77083196" w14:textId="77777777" w:rsidR="00AF716D" w:rsidRDefault="000A6821">
      <w:pPr>
        <w:pStyle w:val="aff"/>
        <w:keepNext/>
        <w:keepLines/>
        <w:widowControl w:val="0"/>
        <w:spacing w:before="156" w:after="156"/>
        <w:jc w:val="left"/>
      </w:pPr>
      <w:r>
        <w:rPr>
          <w:rFonts w:eastAsia="Times New Roman"/>
        </w:rPr>
        <w:t>3.3  Reward and optimization</w:t>
      </w:r>
    </w:p>
    <w:p w14:paraId="10632C46" w14:textId="77777777" w:rsidR="00AF716D" w:rsidRDefault="000A6821">
      <w:pPr>
        <w:pStyle w:val="afe"/>
        <w:ind w:firstLine="420"/>
      </w:pPr>
      <w:r>
        <w:rPr>
          <w:rFonts w:eastAsia="Times New Roman"/>
        </w:rPr>
        <w:t xml:space="preserve">The local reward (21) combines consensus gain, the terminal bonus, cost fairness, time, endpoint distance, boundary violations, and individual cost. The reported weights are wC=50, b=10, wF=1, tau=0.1, </w:t>
      </w:r>
      <w:r>
        <w:rPr>
          <w:rFonts w:eastAsia="Times New Roman"/>
        </w:rPr>
        <w:t>wD=2, and wB=20; clipping to [-20,20] limits outliers. The replay transition stores both current and next histories (22).</w:t>
      </w:r>
    </w:p>
    <w:p w14:paraId="47A638BE"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C</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b</m:t>
          </m:r>
          <m:r>
            <w:rPr>
              <w:rFonts w:ascii="Cambria Math" w:hAnsi="Cambria Math" w:cs="Cambria Math"/>
              <w:sz w:val="18"/>
            </w:rPr>
            <m:t>·</m:t>
          </m:r>
          <m:r>
            <m:rPr>
              <m:scr m:val="double-struck"/>
            </m:rPr>
            <w:rPr>
              <w:rFonts w:ascii="Cambria Math" w:hAnsi="Cambria Math" w:cs="Cambria Math"/>
              <w:sz w:val="18"/>
            </w:rPr>
            <m:t>1</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C</m:t>
              </m:r>
            </m:e>
            <m:sup>
              <m:r>
                <w:rPr>
                  <w:rFonts w:ascii="Cambria Math" w:hAnsi="Cambria Math" w:cs="Cambria Math"/>
                  <w:sz w:val="18"/>
                </w:rPr>
                <m:t>*</m:t>
              </m:r>
            </m:sup>
          </m:s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F</m:t>
              </m:r>
            </m:sub>
          </m:sSub>
          <m:sSub>
            <m:sSubPr>
              <m:ctrlPr>
                <w:rPr>
                  <w:rFonts w:ascii="Cambria Math" w:hAnsi="Cambria Math"/>
                </w:rPr>
              </m:ctrlPr>
            </m:sSubPr>
            <m:e>
              <m:r>
                <w:rPr>
                  <w:rFonts w:ascii="Cambria Math" w:hAnsi="Cambria Math" w:cs="Cambria Math"/>
                  <w:sz w:val="18"/>
                </w:rPr>
                <m:t>g</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τ</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D</m:t>
              </m:r>
            </m:sub>
          </m:sSub>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B</m:t>
              </m:r>
            </m:sub>
          </m:sSub>
          <m:sSub>
            <m:sSubPr>
              <m:ctrlPr>
                <w:rPr>
                  <w:rFonts w:ascii="Cambria Math" w:hAnsi="Cambria Math"/>
                </w:rPr>
              </m:ctrlPr>
            </m:sSubPr>
            <m:e>
              <m:r>
                <w:rPr>
                  <w:rFonts w:ascii="Cambria Math" w:hAnsi="Cambria Math" w:cs="Cambria Math"/>
                  <w:sz w:val="18"/>
                </w:rPr>
                <m:t>v</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R</m:t>
          </m:r>
          <m:r>
            <w:rPr>
              <w:rFonts w:ascii="Cambria Math" w:hAnsi="Cambria Math" w:cs="Cambria Math"/>
              <w:sz w:val="18"/>
            </w:rPr>
            <m:t>,</m:t>
          </m:r>
          <m:r>
            <w:rPr>
              <w:rFonts w:ascii="Cambria Math" w:hAnsi="Cambria Math" w:cs="Cambria Math"/>
              <w:sz w:val="18"/>
            </w:rPr>
            <m:t>R</m:t>
          </m:r>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(21)</m:t>
          </m:r>
        </m:oMath>
      </m:oMathPara>
    </w:p>
    <w:p w14:paraId="4EDBBD85"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m:t>
          </m:r>
          <m:r>
            <m:rPr>
              <m:scr m:val="script"/>
            </m:rPr>
            <w:rPr>
              <w:rFonts w:ascii="Cambria Math" w:hAnsi="Cambria Math" w:cs="Cambria Math"/>
              <w:sz w:val="18"/>
            </w:rPr>
            <m:t>D</m:t>
          </m:r>
          <m:r>
            <w:rPr>
              <w:rFonts w:ascii="Cambria Math" w:hAnsi="Cambria Math" w:cs="Cambria Math"/>
              <w:sz w:val="18"/>
            </w:rPr>
            <m:t>。</m:t>
          </m:r>
          <m:r>
            <w:rPr>
              <w:rFonts w:ascii="Cambria Math" w:hAnsi="Cambria Math" w:cs="Cambria Math"/>
              <w:sz w:val="18"/>
            </w:rPr>
            <m:t xml:space="preserve">   (22)</m:t>
          </m:r>
        </m:oMath>
      </m:oMathPara>
    </w:p>
    <w:p w14:paraId="5F0271C1" w14:textId="77777777" w:rsidR="00AF716D" w:rsidRDefault="000A6821">
      <w:pPr>
        <w:pStyle w:val="afe"/>
        <w:ind w:firstLine="420"/>
      </w:pPr>
      <w:r>
        <w:rPr>
          <w:rFonts w:eastAsia="Times New Roman"/>
        </w:rPr>
        <w:t>Equations (23)-(27) give the SAC target, twin-Critic loss, Actor loss, context-encoder objective, and soft target update. Training uses gamma=0.95, alpha=0.1, tauq=0.01, beta_z=0.05, and learning rate 3e-4. Each episode samples intervals and hidden responses, executes at most H=120 rounds, records transitions, and updates the encoder, Actor, and Critics from replay batches.</w:t>
      </w:r>
    </w:p>
    <w:p w14:paraId="7BD2DC2A"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y</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γ</m:t>
          </m:r>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j</m:t>
              </m:r>
              <m:r>
                <w:rPr>
                  <w:rFonts w:ascii="Cambria Math" w:hAnsi="Cambria Math" w:cs="Cambria Math"/>
                  <w:sz w:val="18"/>
                </w:rPr>
                <m:t>∈{1,2}</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r>
            <w:rPr>
              <w:rFonts w:ascii="Cambria Math" w:hAnsi="Cambria Math" w:cs="Cambria Math"/>
              <w:sz w:val="18"/>
            </w:rPr>
            <m:t>z</m:t>
          </m:r>
          <m:r>
            <w:rPr>
              <w:rFonts w:ascii="Cambria Math" w:hAnsi="Cambria Math" w:cs="Cambria Math"/>
              <w:sz w:val="18"/>
            </w:rPr>
            <m:t>',</m:t>
          </m:r>
          <m:r>
            <w:rPr>
              <w:rFonts w:ascii="Cambria Math" w:hAnsi="Cambria Math" w:cs="Cambria Math"/>
              <w:sz w:val="18"/>
            </w:rPr>
            <m:t>a</m:t>
          </m:r>
          <m:r>
            <w:rPr>
              <w:rFonts w:ascii="Cambria Math" w:hAnsi="Cambria Math" w:cs="Cambria Math"/>
              <w:sz w:val="18"/>
            </w:rPr>
            <m:t>')-</m:t>
          </m:r>
          <m:r>
            <w:rPr>
              <w:rFonts w:ascii="Cambria Math" w:hAnsi="Cambria Math" w:cs="Cambria Math"/>
              <w:sz w:val="18"/>
            </w:rPr>
            <m:t>α</m:t>
          </m:r>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π</m:t>
              </m:r>
            </m:e>
            <m:sub>
              <m:r>
                <w:rPr>
                  <w:rFonts w:ascii="Cambria Math" w:hAnsi="Cambria Math" w:cs="Cambria Math"/>
                  <w:sz w:val="18"/>
                </w:rPr>
                <m:t>θ</m:t>
              </m:r>
            </m:sub>
          </m:sSub>
          <m:r>
            <w:rPr>
              <w:rFonts w:ascii="Cambria Math" w:hAnsi="Cambria Math" w:cs="Cambria Math"/>
              <w:sz w:val="18"/>
            </w:rPr>
            <m:t>(</m:t>
          </m:r>
          <m:r>
            <w:rPr>
              <w:rFonts w:ascii="Cambria Math" w:hAnsi="Cambria Math" w:cs="Cambria Math"/>
              <w:sz w:val="18"/>
            </w:rPr>
            <m:t>a</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r>
                <w:rPr>
                  <w:rFonts w:ascii="Cambria Math" w:hAnsi="Cambria Math" w:cs="Cambria Math"/>
                  <w:sz w:val="18"/>
                </w:rPr>
                <m:t>+1</m:t>
              </m:r>
            </m:sub>
          </m:sSub>
          <m:r>
            <w:rPr>
              <w:rFonts w:ascii="Cambria Math" w:hAnsi="Cambria Math" w:cs="Cambria Math"/>
              <w:sz w:val="18"/>
            </w:rPr>
            <m:t>,</m:t>
          </m:r>
          <m:r>
            <w:rPr>
              <w:rFonts w:ascii="Cambria Math" w:hAnsi="Cambria Math" w:cs="Cambria Math"/>
              <w:sz w:val="18"/>
            </w:rPr>
            <m:t>z</m:t>
          </m:r>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(23)</m:t>
          </m:r>
        </m:oMath>
      </m:oMathPara>
    </w:p>
    <w:p w14:paraId="63553C67"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Q</m:t>
              </m:r>
            </m:sub>
          </m:sSub>
          <m:r>
            <w:rPr>
              <w:rFonts w:ascii="Cambria Math" w:hAnsi="Cambria Math" w:cs="Cambria Math"/>
              <w:sz w:val="18"/>
            </w:rPr>
            <m:t>=</m:t>
          </m:r>
          <m:sSub>
            <m:sSubPr>
              <m:ctrlPr>
                <w:rPr>
                  <w:rFonts w:ascii="Cambria Math" w:hAnsi="Cambria Math"/>
                </w:rPr>
              </m:ctrlPr>
            </m:sSubPr>
            <m:e>
              <m:r>
                <m:rPr>
                  <m:scr m:val="double-struck"/>
                </m:rPr>
                <w:rPr>
                  <w:rFonts w:ascii="Cambria Math" w:hAnsi="Cambria Math" w:cs="Cambria Math"/>
                  <w:sz w:val="18"/>
                </w:rPr>
                <m:t>E</m:t>
              </m:r>
            </m:e>
            <m:sub>
              <m:r>
                <m:rPr>
                  <m:scr m:val="script"/>
                </m:rPr>
                <w:rPr>
                  <w:rFonts w:ascii="Cambria Math" w:hAnsi="Cambria Math" w:cs="Cambria Math"/>
                  <w:sz w:val="18"/>
                </w:rPr>
                <m:t>B</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j</m:t>
              </m:r>
              <m:r>
                <w:rPr>
                  <w:rFonts w:ascii="Cambria Math" w:hAnsi="Cambria Math" w:cs="Cambria Math"/>
                  <w:sz w:val="18"/>
                </w:rPr>
                <m:t>=1</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y</m:t>
              </m:r>
            </m:e>
            <m:sub>
              <m:r>
                <w:rPr>
                  <w:rFonts w:ascii="Cambria Math" w:hAnsi="Cambria Math" w:cs="Cambria Math"/>
                  <w:sz w:val="18"/>
                </w:rPr>
                <m:t>t</m:t>
              </m:r>
            </m:sub>
          </m:sSub>
          <m:sSup>
            <m:sSupPr>
              <m:ctrlPr>
                <w:rPr>
                  <w:rFonts w:ascii="Cambria Math" w:hAnsi="Cambria Math"/>
                </w:rPr>
              </m:ctrlPr>
            </m:sSupPr>
            <m:e>
              <m:r>
                <w:rPr>
                  <w:rFonts w:ascii="Cambria Math" w:hAnsi="Cambria Math" w:cs="Cambria Math"/>
                  <w:sz w:val="18"/>
                </w:rPr>
                <m:t>)</m:t>
              </m:r>
            </m:e>
            <m:sup>
              <m:r>
                <w:rPr>
                  <w:rFonts w:ascii="Cambria Math" w:hAnsi="Cambria Math" w:cs="Cambria Math"/>
                  <w:sz w:val="18"/>
                </w:rPr>
                <m:t>2</m:t>
              </m:r>
            </m:sup>
          </m:sSup>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(24)</m:t>
          </m:r>
        </m:oMath>
      </m:oMathPara>
    </w:p>
    <w:p w14:paraId="57FB3314"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π</m:t>
              </m:r>
            </m:sub>
          </m:sSub>
          <m:r>
            <w:rPr>
              <w:rFonts w:ascii="Cambria Math" w:hAnsi="Cambria Math" w:cs="Cambria Math"/>
              <w:sz w:val="18"/>
            </w:rPr>
            <m:t>=</m:t>
          </m:r>
          <m:sSub>
            <m:sSubPr>
              <m:ctrlPr>
                <w:rPr>
                  <w:rFonts w:ascii="Cambria Math" w:hAnsi="Cambria Math"/>
                </w:rPr>
              </m:ctrlPr>
            </m:sSubPr>
            <m:e>
              <m:r>
                <m:rPr>
                  <m:scr m:val="double-struck"/>
                </m:rPr>
                <w:rPr>
                  <w:rFonts w:ascii="Cambria Math" w:hAnsi="Cambria Math" w:cs="Cambria Math"/>
                  <w:sz w:val="18"/>
                </w:rPr>
                <m:t>E</m:t>
              </m:r>
            </m:e>
            <m:sub>
              <m:r>
                <m:rPr>
                  <m:scr m:val="script"/>
                </m:rPr>
                <w:rPr>
                  <w:rFonts w:ascii="Cambria Math" w:hAnsi="Cambria Math" w:cs="Cambria Math"/>
                  <w:sz w:val="18"/>
                </w:rPr>
                <m:t>B</m:t>
              </m:r>
            </m:sub>
          </m:sSub>
          <m:r>
            <w:rPr>
              <w:rFonts w:ascii="Cambria Math" w:hAnsi="Cambria Math" w:cs="Cambria Math"/>
              <w:sz w:val="18"/>
            </w:rPr>
            <m:t>[</m:t>
          </m:r>
          <m:r>
            <w:rPr>
              <w:rFonts w:ascii="Cambria Math" w:hAnsi="Cambria Math" w:cs="Cambria Math"/>
              <w:sz w:val="18"/>
            </w:rPr>
            <m:t>α</m:t>
          </m:r>
          <m:r>
            <m:rPr>
              <m:sty m:val="p"/>
            </m:rPr>
            <w:rPr>
              <w:rFonts w:ascii="Cambria Math" w:hAnsi="Cambria Math" w:cs="Cambria Math"/>
              <w:sz w:val="18"/>
            </w:rPr>
            <m:t>log</m:t>
          </m:r>
          <m:sSub>
            <m:sSubPr>
              <m:ctrlPr>
                <w:rPr>
                  <w:rFonts w:ascii="Cambria Math" w:hAnsi="Cambria Math"/>
                </w:rPr>
              </m:ctrlPr>
            </m:sSubPr>
            <m:e>
              <m:r>
                <w:rPr>
                  <w:rFonts w:ascii="Cambria Math" w:hAnsi="Cambria Math" w:cs="Cambria Math"/>
                  <w:sz w:val="18"/>
                </w:rPr>
                <m:t>π</m:t>
              </m:r>
            </m:e>
            <m:sub>
              <m:r>
                <w:rPr>
                  <w:rFonts w:ascii="Cambria Math" w:hAnsi="Cambria Math" w:cs="Cambria Math"/>
                  <w:sz w:val="18"/>
                </w:rPr>
                <m:t>θ</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min</m:t>
              </m:r>
            </m:e>
            <m:sub>
              <m:r>
                <w:rPr>
                  <w:rFonts w:ascii="Cambria Math" w:hAnsi="Cambria Math" w:cs="Cambria Math"/>
                  <w:sz w:val="18"/>
                </w:rPr>
                <m:t>j</m:t>
              </m:r>
              <m:r>
                <w:rPr>
                  <w:rFonts w:ascii="Cambria Math" w:hAnsi="Cambria Math" w:cs="Cambria Math"/>
                  <w:sz w:val="18"/>
                </w:rPr>
                <m:t>∈{1,2}</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(25)</m:t>
          </m:r>
        </m:oMath>
      </m:oMathPara>
    </w:p>
    <w:p w14:paraId="5AE3632D"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z</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Q</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β</m:t>
              </m:r>
            </m:e>
            <m:sub>
              <m:r>
                <w:rPr>
                  <w:rFonts w:ascii="Cambria Math" w:hAnsi="Cambria Math" w:cs="Cambria Math"/>
                  <w:sz w:val="18"/>
                </w:rPr>
                <m:t>z</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w:rPr>
              <w:rFonts w:ascii="Cambria Math" w:hAnsi="Cambria Math" w:cs="Cambria Math"/>
              <w:sz w:val="18"/>
            </w:rPr>
            <m:t xml:space="preserve"> </m:t>
          </m:r>
          <m:r>
            <m:rPr>
              <m:sty m:val="p"/>
            </m:rPr>
            <w:rPr>
              <w:rFonts w:ascii="Cambria Math" w:hAnsi="Cambria Math" w:cs="Cambria Math"/>
              <w:sz w:val="18"/>
            </w:rPr>
            <m:t>KL</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φ</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z</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cr m:val="script"/>
            </m:rPr>
            <w:rPr>
              <w:rFonts w:ascii="Cambria Math" w:hAnsi="Cambria Math" w:cs="Cambria Math"/>
              <w:sz w:val="18"/>
            </w:rPr>
            <m:t>N</m:t>
          </m:r>
          <m:r>
            <w:rPr>
              <w:rFonts w:ascii="Cambria Math" w:hAnsi="Cambria Math" w:cs="Cambria Math"/>
              <w:sz w:val="18"/>
            </w:rPr>
            <m:t>(0,</m:t>
          </m:r>
          <m:r>
            <w:rPr>
              <w:rFonts w:ascii="Cambria Math" w:hAnsi="Cambria Math" w:cs="Cambria Math"/>
              <w:sz w:val="18"/>
            </w:rPr>
            <m:t>I</m:t>
          </m:r>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(26)</m:t>
          </m:r>
        </m:oMath>
      </m:oMathPara>
    </w:p>
    <w:p w14:paraId="6060982D"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ψ̄</m:t>
              </m:r>
            </m:e>
            <m:sub>
              <m:r>
                <w:rPr>
                  <w:rFonts w:ascii="Cambria Math" w:hAnsi="Cambria Math" w:cs="Cambria Math"/>
                  <w:sz w:val="18"/>
                </w:rPr>
                <m:t>j</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τ</m:t>
              </m:r>
            </m:e>
            <m:sub>
              <m:r>
                <w:rPr>
                  <w:rFonts w:ascii="Cambria Math" w:hAnsi="Cambria Math" w:cs="Cambria Math"/>
                  <w:sz w:val="18"/>
                </w:rPr>
                <m:t>q</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ψ̄</m:t>
              </m:r>
            </m:e>
            <m:sub>
              <m:r>
                <w:rPr>
                  <w:rFonts w:ascii="Cambria Math" w:hAnsi="Cambria Math" w:cs="Cambria Math"/>
                  <w:sz w:val="18"/>
                </w:rPr>
                <m:t>j</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τ</m:t>
              </m:r>
            </m:e>
            <m:sub>
              <m:r>
                <w:rPr>
                  <w:rFonts w:ascii="Cambria Math" w:hAnsi="Cambria Math" w:cs="Cambria Math"/>
                  <w:sz w:val="18"/>
                </w:rPr>
                <m:t>q</m:t>
              </m:r>
            </m:sub>
          </m:sSub>
          <m:sSub>
            <m:sSubPr>
              <m:ctrlPr>
                <w:rPr>
                  <w:rFonts w:ascii="Cambria Math" w:hAnsi="Cambria Math"/>
                </w:rPr>
              </m:ctrlPr>
            </m:sSubPr>
            <m:e>
              <m:r>
                <w:rPr>
                  <w:rFonts w:ascii="Cambria Math" w:hAnsi="Cambria Math" w:cs="Cambria Math"/>
                  <w:sz w:val="18"/>
                </w:rPr>
                <m:t>ψ</m:t>
              </m:r>
            </m:e>
            <m:sub>
              <m:r>
                <w:rPr>
                  <w:rFonts w:ascii="Cambria Math" w:hAnsi="Cambria Math" w:cs="Cambria Math"/>
                  <w:sz w:val="18"/>
                </w:rPr>
                <m:t>j</m:t>
              </m:r>
            </m:sub>
          </m:sSub>
          <m:r>
            <w:rPr>
              <w:rFonts w:ascii="Cambria Math" w:hAnsi="Cambria Math" w:cs="Cambria Math"/>
              <w:sz w:val="18"/>
            </w:rPr>
            <m:t>，</m:t>
          </m:r>
          <m:r>
            <w:rPr>
              <w:rFonts w:ascii="Cambria Math" w:hAnsi="Cambria Math" w:cs="Cambria Math"/>
              <w:sz w:val="18"/>
            </w:rPr>
            <m:t>j</m:t>
          </m:r>
          <m:r>
            <w:rPr>
              <w:rFonts w:ascii="Cambria Math" w:hAnsi="Cambria Math" w:cs="Cambria Math"/>
              <w:sz w:val="18"/>
            </w:rPr>
            <m:t>∈{1,2}</m:t>
          </m:r>
          <m:r>
            <w:rPr>
              <w:rFonts w:ascii="Cambria Math" w:hAnsi="Cambria Math" w:cs="Cambria Math"/>
              <w:sz w:val="18"/>
            </w:rPr>
            <m:t>。</m:t>
          </m:r>
          <m:r>
            <w:rPr>
              <w:rFonts w:ascii="Cambria Math" w:hAnsi="Cambria Math" w:cs="Cambria Math"/>
              <w:sz w:val="18"/>
            </w:rPr>
            <m:t xml:space="preserve">   (27)</m:t>
          </m:r>
        </m:oMath>
      </m:oMathPara>
    </w:p>
    <w:p w14:paraId="74BAE696" w14:textId="77777777" w:rsidR="00AF716D" w:rsidRDefault="000A6821">
      <w:pPr>
        <w:pStyle w:val="aff"/>
        <w:keepNext/>
        <w:keepLines/>
        <w:widowControl w:val="0"/>
        <w:spacing w:before="156" w:after="156"/>
        <w:jc w:val="left"/>
      </w:pPr>
      <w:r>
        <w:rPr>
          <w:rFonts w:eastAsia="Times New Roman"/>
        </w:rPr>
        <w:t>3.4  Training behavior</w:t>
      </w:r>
    </w:p>
    <w:p w14:paraId="412D0C71" w14:textId="77777777" w:rsidR="00AF716D" w:rsidRDefault="000A6821">
      <w:pPr>
        <w:pStyle w:val="afe"/>
        <w:ind w:firstLine="420"/>
      </w:pPr>
      <w:r>
        <w:rPr>
          <w:rFonts w:eastAsia="Times New Roman"/>
        </w:rPr>
        <w:t>Figure 2 reports the audited 5,000-episode history. Reward and terminal consensus improve after early exploration and stabilize despite curriculum changes. Actor loss becomes negative as high-value actions dominate the entropy term; it is not expected to decrease monotonically. Critic loss is initially large because targets change with the policy, then declines and fluctuates around a bounded level. Taken together, the curves show policy improvement rather than a divergent objective.</w:t>
      </w:r>
    </w:p>
    <w:p w14:paraId="78431FF1"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37"/>
        <w:gridCol w:w="4637"/>
      </w:tblGrid>
      <w:tr w:rsidR="009D1838" w14:paraId="4F374C42" w14:textId="77777777">
        <w:trPr>
          <w:cantSplit/>
          <w:jc w:val="center"/>
        </w:trPr>
        <w:tc>
          <w:tcPr>
            <w:tcW w:w="4637" w:type="dxa"/>
            <w:tcMar>
              <w:top w:w="10" w:type="dxa"/>
              <w:left w:w="10" w:type="dxa"/>
              <w:bottom w:w="10" w:type="dxa"/>
              <w:right w:w="10" w:type="dxa"/>
            </w:tcMar>
            <w:vAlign w:val="center"/>
          </w:tcPr>
          <w:p w14:paraId="422D5909" w14:textId="77777777" w:rsidR="009D1838" w:rsidRDefault="00951CBC">
            <w:pPr>
              <w:jc w:val="center"/>
            </w:pPr>
            <w:r>
              <w:rPr>
                <w:noProof/>
              </w:rPr>
              <w:drawing>
                <wp:inline distT="0" distB="0" distL="0" distR="0" wp14:anchorId="6AD056BD" wp14:editId="559C8433">
                  <wp:extent cx="2788920" cy="15875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pisode_reward.png"/>
                          <pic:cNvPicPr/>
                        </pic:nvPicPr>
                        <pic:blipFill>
                          <a:blip r:embed="rId12"/>
                          <a:stretch>
                            <a:fillRect/>
                          </a:stretch>
                        </pic:blipFill>
                        <pic:spPr>
                          <a:xfrm>
                            <a:off x="0" y="0"/>
                            <a:ext cx="2788920" cy="1587539"/>
                          </a:xfrm>
                          <a:prstGeom prst="rect">
                            <a:avLst/>
                          </a:prstGeom>
                        </pic:spPr>
                      </pic:pic>
                    </a:graphicData>
                  </a:graphic>
                </wp:inline>
              </w:drawing>
            </w:r>
          </w:p>
          <w:p w14:paraId="60BD8B1B" w14:textId="77777777" w:rsidR="009D1838" w:rsidRDefault="00951CBC">
            <w:pPr>
              <w:jc w:val="center"/>
            </w:pPr>
            <w:r>
              <w:rPr>
                <w:rFonts w:eastAsia="Times New Roman"/>
                <w:b/>
                <w:sz w:val="18"/>
              </w:rPr>
              <w:t>(a)</w:t>
            </w:r>
          </w:p>
        </w:tc>
        <w:tc>
          <w:tcPr>
            <w:tcW w:w="4637" w:type="dxa"/>
            <w:tcMar>
              <w:top w:w="10" w:type="dxa"/>
              <w:left w:w="10" w:type="dxa"/>
              <w:bottom w:w="10" w:type="dxa"/>
              <w:right w:w="10" w:type="dxa"/>
            </w:tcMar>
            <w:vAlign w:val="center"/>
          </w:tcPr>
          <w:p w14:paraId="628E66AB" w14:textId="77777777" w:rsidR="009D1838" w:rsidRDefault="00951CBC">
            <w:pPr>
              <w:jc w:val="center"/>
            </w:pPr>
            <w:r>
              <w:rPr>
                <w:noProof/>
              </w:rPr>
              <w:drawing>
                <wp:inline distT="0" distB="0" distL="0" distR="0" wp14:anchorId="708875F6" wp14:editId="3E224B9D">
                  <wp:extent cx="2788920" cy="15866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final_consensus.png"/>
                          <pic:cNvPicPr/>
                        </pic:nvPicPr>
                        <pic:blipFill>
                          <a:blip r:embed="rId13"/>
                          <a:stretch>
                            <a:fillRect/>
                          </a:stretch>
                        </pic:blipFill>
                        <pic:spPr>
                          <a:xfrm>
                            <a:off x="0" y="0"/>
                            <a:ext cx="2788920" cy="1586697"/>
                          </a:xfrm>
                          <a:prstGeom prst="rect">
                            <a:avLst/>
                          </a:prstGeom>
                        </pic:spPr>
                      </pic:pic>
                    </a:graphicData>
                  </a:graphic>
                </wp:inline>
              </w:drawing>
            </w:r>
          </w:p>
          <w:p w14:paraId="0C05A27D" w14:textId="77777777" w:rsidR="009D1838" w:rsidRDefault="00951CBC">
            <w:pPr>
              <w:jc w:val="center"/>
            </w:pPr>
            <w:r>
              <w:rPr>
                <w:rFonts w:eastAsia="Times New Roman"/>
                <w:b/>
                <w:sz w:val="18"/>
              </w:rPr>
              <w:t>(b)</w:t>
            </w:r>
          </w:p>
        </w:tc>
      </w:tr>
      <w:tr w:rsidR="009D1838" w14:paraId="3454E5F3" w14:textId="77777777">
        <w:trPr>
          <w:cantSplit/>
          <w:jc w:val="center"/>
        </w:trPr>
        <w:tc>
          <w:tcPr>
            <w:tcW w:w="4637" w:type="dxa"/>
            <w:tcMar>
              <w:top w:w="10" w:type="dxa"/>
              <w:left w:w="10" w:type="dxa"/>
              <w:bottom w:w="10" w:type="dxa"/>
              <w:right w:w="10" w:type="dxa"/>
            </w:tcMar>
            <w:vAlign w:val="center"/>
          </w:tcPr>
          <w:p w14:paraId="17755852" w14:textId="77777777" w:rsidR="009D1838" w:rsidRDefault="00951CBC">
            <w:pPr>
              <w:jc w:val="center"/>
            </w:pPr>
            <w:r>
              <w:rPr>
                <w:noProof/>
              </w:rPr>
              <w:lastRenderedPageBreak/>
              <w:drawing>
                <wp:inline distT="0" distB="0" distL="0" distR="0" wp14:anchorId="44BB9995" wp14:editId="6BFFB0E8">
                  <wp:extent cx="2788920" cy="15866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ctor_loss.png"/>
                          <pic:cNvPicPr/>
                        </pic:nvPicPr>
                        <pic:blipFill>
                          <a:blip r:embed="rId14"/>
                          <a:stretch>
                            <a:fillRect/>
                          </a:stretch>
                        </pic:blipFill>
                        <pic:spPr>
                          <a:xfrm>
                            <a:off x="0" y="0"/>
                            <a:ext cx="2788920" cy="1586697"/>
                          </a:xfrm>
                          <a:prstGeom prst="rect">
                            <a:avLst/>
                          </a:prstGeom>
                        </pic:spPr>
                      </pic:pic>
                    </a:graphicData>
                  </a:graphic>
                </wp:inline>
              </w:drawing>
            </w:r>
          </w:p>
          <w:p w14:paraId="0BC9FB30" w14:textId="77777777" w:rsidR="009D1838" w:rsidRDefault="00951CBC">
            <w:pPr>
              <w:jc w:val="center"/>
            </w:pPr>
            <w:r>
              <w:rPr>
                <w:rFonts w:eastAsia="Times New Roman"/>
                <w:b/>
                <w:sz w:val="18"/>
              </w:rPr>
              <w:t>(c)</w:t>
            </w:r>
          </w:p>
        </w:tc>
        <w:tc>
          <w:tcPr>
            <w:tcW w:w="4637" w:type="dxa"/>
            <w:tcMar>
              <w:top w:w="10" w:type="dxa"/>
              <w:left w:w="10" w:type="dxa"/>
              <w:bottom w:w="10" w:type="dxa"/>
              <w:right w:w="10" w:type="dxa"/>
            </w:tcMar>
            <w:vAlign w:val="center"/>
          </w:tcPr>
          <w:p w14:paraId="5EB61928" w14:textId="77777777" w:rsidR="009D1838" w:rsidRDefault="00951CBC">
            <w:pPr>
              <w:jc w:val="center"/>
            </w:pPr>
            <w:r>
              <w:rPr>
                <w:noProof/>
              </w:rPr>
              <w:drawing>
                <wp:inline distT="0" distB="0" distL="0" distR="0" wp14:anchorId="4B32B4EF" wp14:editId="73540A04">
                  <wp:extent cx="2788920" cy="15866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ritic_loss.png"/>
                          <pic:cNvPicPr/>
                        </pic:nvPicPr>
                        <pic:blipFill>
                          <a:blip r:embed="rId15"/>
                          <a:stretch>
                            <a:fillRect/>
                          </a:stretch>
                        </pic:blipFill>
                        <pic:spPr>
                          <a:xfrm>
                            <a:off x="0" y="0"/>
                            <a:ext cx="2788920" cy="1586697"/>
                          </a:xfrm>
                          <a:prstGeom prst="rect">
                            <a:avLst/>
                          </a:prstGeom>
                        </pic:spPr>
                      </pic:pic>
                    </a:graphicData>
                  </a:graphic>
                </wp:inline>
              </w:drawing>
            </w:r>
          </w:p>
          <w:p w14:paraId="0AF000A1" w14:textId="77777777" w:rsidR="009D1838" w:rsidRDefault="00951CBC">
            <w:pPr>
              <w:jc w:val="center"/>
            </w:pPr>
            <w:r>
              <w:rPr>
                <w:rFonts w:eastAsia="Times New Roman"/>
                <w:b/>
                <w:sz w:val="18"/>
              </w:rPr>
              <w:t>(d)</w:t>
            </w:r>
          </w:p>
        </w:tc>
      </w:tr>
    </w:tbl>
    <w:p w14:paraId="38065D5D" w14:textId="77777777" w:rsidR="00AF716D" w:rsidRDefault="000A6821">
      <w:pPr>
        <w:pStyle w:val="afffc"/>
      </w:pPr>
      <w:r>
        <w:rPr>
          <w:rFonts w:eastAsia="Times New Roman"/>
        </w:rPr>
        <w:t>Fig. 2  Training Diagnostics: (a) Reward; (b) Terminal Consensus; (c) Actor Loss; (d) Critic Loss</w:t>
      </w:r>
    </w:p>
    <w:p w14:paraId="67389A91"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018E8818" w14:textId="77777777" w:rsidR="00AF716D" w:rsidRDefault="000A6821">
      <w:pPr>
        <w:pStyle w:val="aff"/>
        <w:keepNext/>
        <w:keepLines/>
        <w:widowControl w:val="0"/>
        <w:spacing w:before="156" w:after="156"/>
        <w:jc w:val="left"/>
      </w:pPr>
      <w:r>
        <w:rPr>
          <w:rFonts w:eastAsia="Times New Roman"/>
        </w:rPr>
        <w:t>4  Experiments</w:t>
      </w:r>
    </w:p>
    <w:p w14:paraId="5407A4E9" w14:textId="77777777" w:rsidR="00AF716D" w:rsidRDefault="000A6821">
      <w:pPr>
        <w:pStyle w:val="aff"/>
        <w:keepNext/>
        <w:keepLines/>
        <w:widowControl w:val="0"/>
        <w:spacing w:before="156" w:after="156"/>
        <w:jc w:val="left"/>
      </w:pPr>
      <w:r>
        <w:rPr>
          <w:rFonts w:eastAsia="Times New Roman"/>
        </w:rPr>
        <w:t>4.1  Protocol and metrics</w:t>
      </w:r>
    </w:p>
    <w:p w14:paraId="444E4E38" w14:textId="77777777" w:rsidR="00AF716D" w:rsidRDefault="000A6821">
      <w:pPr>
        <w:pStyle w:val="afe"/>
        <w:ind w:firstLine="420"/>
      </w:pPr>
      <w:r>
        <w:rPr>
          <w:rFonts w:eastAsia="Times New Roman"/>
        </w:rPr>
        <w:t xml:space="preserve">The main model uses seed 20260507 and is trained only at N=10 for 5,000 episodes. Frozen </w:t>
      </w:r>
      <w:r>
        <w:rPr>
          <w:rFonts w:eastAsia="Times New Roman"/>
        </w:rPr>
        <w:t>evaluation uses 50 paired scenarios per cell at N=10, 40, and 100, with identical initial intervals and hidden parameters across methods. PPO, DDPG, and conventional SAC are trained separately for each tested N. No replay, backpropagation, or target update occurs during testing.</w:t>
      </w:r>
    </w:p>
    <w:p w14:paraId="0B1B9BE7"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p w14:paraId="3D38B36D" w14:textId="77777777" w:rsidR="00AF716D" w:rsidRDefault="000A6821">
      <w:pPr>
        <w:pStyle w:val="afffa"/>
      </w:pPr>
      <w:r>
        <w:rPr>
          <w:rFonts w:eastAsia="Times New Roman"/>
        </w:rPr>
        <w:t>Table 1  Key Experimental and Training Settings</w:t>
      </w:r>
    </w:p>
    <w:tbl>
      <w:tblPr>
        <w:tblStyle w:val="ad"/>
        <w:tblW w:w="0" w:type="auto"/>
        <w:tblLayout w:type="fixed"/>
        <w:tblLook w:val="04A0" w:firstRow="1" w:lastRow="0" w:firstColumn="1" w:lastColumn="0" w:noHBand="0" w:noVBand="1"/>
      </w:tblPr>
      <w:tblGrid>
        <w:gridCol w:w="1656"/>
        <w:gridCol w:w="3672"/>
        <w:gridCol w:w="1440"/>
        <w:gridCol w:w="2952"/>
      </w:tblGrid>
      <w:tr w:rsidR="00AF716D" w14:paraId="1FAF00D2" w14:textId="77777777">
        <w:tc>
          <w:tcPr>
            <w:tcW w:w="1656" w:type="dxa"/>
            <w:tcMar>
              <w:top w:w="70" w:type="dxa"/>
              <w:left w:w="70" w:type="dxa"/>
              <w:bottom w:w="70" w:type="dxa"/>
              <w:right w:w="70" w:type="dxa"/>
            </w:tcMar>
            <w:vAlign w:val="center"/>
          </w:tcPr>
          <w:p w14:paraId="43483384" w14:textId="77777777" w:rsidR="00AF716D" w:rsidRDefault="000A6821">
            <w:pPr>
              <w:jc w:val="center"/>
            </w:pPr>
            <w:r>
              <w:rPr>
                <w:rFonts w:eastAsia="Times New Roman"/>
                <w:b/>
                <w:sz w:val="17"/>
              </w:rPr>
              <w:t>Module</w:t>
            </w:r>
          </w:p>
        </w:tc>
        <w:tc>
          <w:tcPr>
            <w:tcW w:w="3672" w:type="dxa"/>
            <w:tcMar>
              <w:top w:w="70" w:type="dxa"/>
              <w:left w:w="70" w:type="dxa"/>
              <w:bottom w:w="70" w:type="dxa"/>
              <w:right w:w="70" w:type="dxa"/>
            </w:tcMar>
            <w:vAlign w:val="center"/>
          </w:tcPr>
          <w:p w14:paraId="43ED1D67" w14:textId="77777777" w:rsidR="00AF716D" w:rsidRDefault="000A6821">
            <w:pPr>
              <w:jc w:val="center"/>
            </w:pPr>
            <w:r>
              <w:rPr>
                <w:rFonts w:eastAsia="Times New Roman"/>
                <w:b/>
                <w:sz w:val="17"/>
              </w:rPr>
              <w:t>Setting</w:t>
            </w:r>
          </w:p>
        </w:tc>
        <w:tc>
          <w:tcPr>
            <w:tcW w:w="1440" w:type="dxa"/>
            <w:tcMar>
              <w:top w:w="70" w:type="dxa"/>
              <w:left w:w="70" w:type="dxa"/>
              <w:bottom w:w="70" w:type="dxa"/>
              <w:right w:w="70" w:type="dxa"/>
            </w:tcMar>
            <w:vAlign w:val="center"/>
          </w:tcPr>
          <w:p w14:paraId="7A8DD912" w14:textId="77777777" w:rsidR="00AF716D" w:rsidRDefault="000A6821">
            <w:pPr>
              <w:jc w:val="center"/>
            </w:pPr>
            <w:r>
              <w:rPr>
                <w:rFonts w:eastAsia="Times New Roman"/>
                <w:b/>
                <w:sz w:val="17"/>
              </w:rPr>
              <w:t>Symbol</w:t>
            </w:r>
          </w:p>
        </w:tc>
        <w:tc>
          <w:tcPr>
            <w:tcW w:w="2952" w:type="dxa"/>
            <w:tcMar>
              <w:top w:w="70" w:type="dxa"/>
              <w:left w:w="70" w:type="dxa"/>
              <w:bottom w:w="70" w:type="dxa"/>
              <w:right w:w="70" w:type="dxa"/>
            </w:tcMar>
            <w:vAlign w:val="center"/>
          </w:tcPr>
          <w:p w14:paraId="2ECD93E2" w14:textId="77777777" w:rsidR="00AF716D" w:rsidRDefault="000A6821">
            <w:pPr>
              <w:jc w:val="center"/>
            </w:pPr>
            <w:r>
              <w:rPr>
                <w:rFonts w:eastAsia="Times New Roman"/>
                <w:b/>
                <w:sz w:val="17"/>
              </w:rPr>
              <w:t>Value</w:t>
            </w:r>
          </w:p>
        </w:tc>
      </w:tr>
      <w:tr w:rsidR="00AF716D" w14:paraId="556D85BA" w14:textId="77777777">
        <w:tc>
          <w:tcPr>
            <w:tcW w:w="1656" w:type="dxa"/>
            <w:tcMar>
              <w:top w:w="70" w:type="dxa"/>
              <w:left w:w="70" w:type="dxa"/>
              <w:bottom w:w="70" w:type="dxa"/>
              <w:right w:w="70" w:type="dxa"/>
            </w:tcMar>
            <w:vAlign w:val="center"/>
          </w:tcPr>
          <w:p w14:paraId="17BF4937" w14:textId="77777777" w:rsidR="00AF716D" w:rsidRDefault="000A6821">
            <w:pPr>
              <w:jc w:val="center"/>
            </w:pPr>
            <w:r>
              <w:rPr>
                <w:rFonts w:eastAsia="Times New Roman"/>
                <w:sz w:val="16"/>
              </w:rPr>
              <w:t>Environment</w:t>
            </w:r>
          </w:p>
        </w:tc>
        <w:tc>
          <w:tcPr>
            <w:tcW w:w="3672" w:type="dxa"/>
            <w:tcMar>
              <w:top w:w="70" w:type="dxa"/>
              <w:left w:w="70" w:type="dxa"/>
              <w:bottom w:w="70" w:type="dxa"/>
              <w:right w:w="70" w:type="dxa"/>
            </w:tcMar>
            <w:vAlign w:val="center"/>
          </w:tcPr>
          <w:p w14:paraId="20687D0D" w14:textId="77777777" w:rsidR="00AF716D" w:rsidRDefault="000A6821">
            <w:pPr>
              <w:jc w:val="center"/>
            </w:pPr>
            <w:r>
              <w:rPr>
                <w:rFonts w:eastAsia="Times New Roman"/>
                <w:sz w:val="16"/>
              </w:rPr>
              <w:t>Training/test scale</w:t>
            </w:r>
          </w:p>
        </w:tc>
        <w:tc>
          <w:tcPr>
            <w:tcW w:w="1440" w:type="dxa"/>
            <w:tcMar>
              <w:top w:w="70" w:type="dxa"/>
              <w:left w:w="70" w:type="dxa"/>
              <w:bottom w:w="70" w:type="dxa"/>
              <w:right w:w="70" w:type="dxa"/>
            </w:tcMar>
            <w:vAlign w:val="center"/>
          </w:tcPr>
          <w:p w14:paraId="63922CCB" w14:textId="77777777" w:rsidR="00AF716D" w:rsidRDefault="000A6821">
            <w:pPr>
              <w:jc w:val="center"/>
            </w:pPr>
            <w:r>
              <w:rPr>
                <w:rFonts w:eastAsia="Times New Roman"/>
                <w:sz w:val="16"/>
              </w:rPr>
              <w:t>N</w:t>
            </w:r>
          </w:p>
        </w:tc>
        <w:tc>
          <w:tcPr>
            <w:tcW w:w="2952" w:type="dxa"/>
            <w:tcMar>
              <w:top w:w="70" w:type="dxa"/>
              <w:left w:w="70" w:type="dxa"/>
              <w:bottom w:w="70" w:type="dxa"/>
              <w:right w:w="70" w:type="dxa"/>
            </w:tcMar>
            <w:vAlign w:val="center"/>
          </w:tcPr>
          <w:p w14:paraId="79CD561D" w14:textId="77777777" w:rsidR="00AF716D" w:rsidRDefault="000A6821">
            <w:pPr>
              <w:jc w:val="center"/>
            </w:pPr>
            <w:r>
              <w:rPr>
                <w:rFonts w:eastAsia="Times New Roman"/>
                <w:sz w:val="16"/>
              </w:rPr>
              <w:t>10 / 10, 40, 100</w:t>
            </w:r>
          </w:p>
        </w:tc>
      </w:tr>
      <w:tr w:rsidR="00AF716D" w14:paraId="2D4BFA37" w14:textId="77777777">
        <w:tc>
          <w:tcPr>
            <w:tcW w:w="1656" w:type="dxa"/>
            <w:tcMar>
              <w:top w:w="70" w:type="dxa"/>
              <w:left w:w="70" w:type="dxa"/>
              <w:bottom w:w="70" w:type="dxa"/>
              <w:right w:w="70" w:type="dxa"/>
            </w:tcMar>
            <w:vAlign w:val="center"/>
          </w:tcPr>
          <w:p w14:paraId="65B01FB0" w14:textId="77777777" w:rsidR="00AF716D" w:rsidRDefault="000A6821">
            <w:pPr>
              <w:jc w:val="center"/>
            </w:pPr>
            <w:r>
              <w:rPr>
                <w:rFonts w:eastAsia="Times New Roman"/>
                <w:sz w:val="16"/>
              </w:rPr>
              <w:t>Environment</w:t>
            </w:r>
          </w:p>
        </w:tc>
        <w:tc>
          <w:tcPr>
            <w:tcW w:w="3672" w:type="dxa"/>
            <w:tcMar>
              <w:top w:w="70" w:type="dxa"/>
              <w:left w:w="70" w:type="dxa"/>
              <w:bottom w:w="70" w:type="dxa"/>
              <w:right w:w="70" w:type="dxa"/>
            </w:tcMar>
            <w:vAlign w:val="center"/>
          </w:tcPr>
          <w:p w14:paraId="30BC8B17" w14:textId="77777777" w:rsidR="00AF716D" w:rsidRDefault="000A6821">
            <w:pPr>
              <w:jc w:val="center"/>
            </w:pPr>
            <w:r>
              <w:rPr>
                <w:rFonts w:eastAsia="Times New Roman"/>
                <w:sz w:val="16"/>
              </w:rPr>
              <w:t>Episodes/scenarios</w:t>
            </w:r>
          </w:p>
        </w:tc>
        <w:tc>
          <w:tcPr>
            <w:tcW w:w="1440" w:type="dxa"/>
            <w:tcMar>
              <w:top w:w="70" w:type="dxa"/>
              <w:left w:w="70" w:type="dxa"/>
              <w:bottom w:w="70" w:type="dxa"/>
              <w:right w:w="70" w:type="dxa"/>
            </w:tcMar>
            <w:vAlign w:val="center"/>
          </w:tcPr>
          <w:p w14:paraId="4C30B743" w14:textId="77777777" w:rsidR="00AF716D" w:rsidRDefault="000A6821">
            <w:pPr>
              <w:jc w:val="center"/>
            </w:pPr>
            <w:r>
              <w:rPr>
                <w:rFonts w:eastAsia="Times New Roman"/>
                <w:sz w:val="16"/>
              </w:rPr>
              <w:t>-</w:t>
            </w:r>
          </w:p>
        </w:tc>
        <w:tc>
          <w:tcPr>
            <w:tcW w:w="2952" w:type="dxa"/>
            <w:tcMar>
              <w:top w:w="70" w:type="dxa"/>
              <w:left w:w="70" w:type="dxa"/>
              <w:bottom w:w="70" w:type="dxa"/>
              <w:right w:w="70" w:type="dxa"/>
            </w:tcMar>
            <w:vAlign w:val="center"/>
          </w:tcPr>
          <w:p w14:paraId="03F3713E" w14:textId="77777777" w:rsidR="00AF716D" w:rsidRDefault="000A6821">
            <w:pPr>
              <w:jc w:val="center"/>
            </w:pPr>
            <w:r>
              <w:rPr>
                <w:rFonts w:eastAsia="Times New Roman"/>
                <w:sz w:val="16"/>
              </w:rPr>
              <w:t>5,000 / 50 per cell</w:t>
            </w:r>
          </w:p>
        </w:tc>
      </w:tr>
      <w:tr w:rsidR="00AF716D" w14:paraId="455B98F6" w14:textId="77777777">
        <w:tc>
          <w:tcPr>
            <w:tcW w:w="1656" w:type="dxa"/>
            <w:tcMar>
              <w:top w:w="70" w:type="dxa"/>
              <w:left w:w="70" w:type="dxa"/>
              <w:bottom w:w="70" w:type="dxa"/>
              <w:right w:w="70" w:type="dxa"/>
            </w:tcMar>
            <w:vAlign w:val="center"/>
          </w:tcPr>
          <w:p w14:paraId="56CAEDA4" w14:textId="77777777" w:rsidR="00AF716D" w:rsidRDefault="000A6821">
            <w:pPr>
              <w:jc w:val="center"/>
            </w:pPr>
            <w:r>
              <w:rPr>
                <w:rFonts w:eastAsia="Times New Roman"/>
                <w:sz w:val="16"/>
              </w:rPr>
              <w:t>Environment</w:t>
            </w:r>
          </w:p>
        </w:tc>
        <w:tc>
          <w:tcPr>
            <w:tcW w:w="3672" w:type="dxa"/>
            <w:tcMar>
              <w:top w:w="70" w:type="dxa"/>
              <w:left w:w="70" w:type="dxa"/>
              <w:bottom w:w="70" w:type="dxa"/>
              <w:right w:w="70" w:type="dxa"/>
            </w:tcMar>
            <w:vAlign w:val="center"/>
          </w:tcPr>
          <w:p w14:paraId="420B885E" w14:textId="77777777" w:rsidR="00AF716D" w:rsidRDefault="000A6821">
            <w:pPr>
              <w:jc w:val="center"/>
            </w:pPr>
            <w:r>
              <w:rPr>
                <w:rFonts w:eastAsia="Times New Roman"/>
                <w:sz w:val="16"/>
              </w:rPr>
              <w:t>Horizon/threshold</w:t>
            </w:r>
          </w:p>
        </w:tc>
        <w:tc>
          <w:tcPr>
            <w:tcW w:w="1440" w:type="dxa"/>
            <w:tcMar>
              <w:top w:w="70" w:type="dxa"/>
              <w:left w:w="70" w:type="dxa"/>
              <w:bottom w:w="70" w:type="dxa"/>
              <w:right w:w="70" w:type="dxa"/>
            </w:tcMar>
            <w:vAlign w:val="center"/>
          </w:tcPr>
          <w:p w14:paraId="4F7B452E" w14:textId="77777777" w:rsidR="00AF716D" w:rsidRDefault="000A6821">
            <w:pPr>
              <w:jc w:val="center"/>
            </w:pPr>
            <w:r>
              <w:rPr>
                <w:rFonts w:eastAsia="Times New Roman"/>
                <w:sz w:val="16"/>
              </w:rPr>
              <w:t>H / C*</w:t>
            </w:r>
          </w:p>
        </w:tc>
        <w:tc>
          <w:tcPr>
            <w:tcW w:w="2952" w:type="dxa"/>
            <w:tcMar>
              <w:top w:w="70" w:type="dxa"/>
              <w:left w:w="70" w:type="dxa"/>
              <w:bottom w:w="70" w:type="dxa"/>
              <w:right w:w="70" w:type="dxa"/>
            </w:tcMar>
            <w:vAlign w:val="center"/>
          </w:tcPr>
          <w:p w14:paraId="4719D70B" w14:textId="77777777" w:rsidR="00AF716D" w:rsidRDefault="000A6821">
            <w:pPr>
              <w:jc w:val="center"/>
            </w:pPr>
            <w:r>
              <w:rPr>
                <w:rFonts w:eastAsia="Times New Roman"/>
                <w:sz w:val="16"/>
              </w:rPr>
              <w:t>120 / 0.90</w:t>
            </w:r>
          </w:p>
        </w:tc>
      </w:tr>
      <w:tr w:rsidR="00AF716D" w14:paraId="5A56EC76" w14:textId="77777777">
        <w:tc>
          <w:tcPr>
            <w:tcW w:w="1656" w:type="dxa"/>
            <w:tcMar>
              <w:top w:w="70" w:type="dxa"/>
              <w:left w:w="70" w:type="dxa"/>
              <w:bottom w:w="70" w:type="dxa"/>
              <w:right w:w="70" w:type="dxa"/>
            </w:tcMar>
            <w:vAlign w:val="center"/>
          </w:tcPr>
          <w:p w14:paraId="6607F8A5" w14:textId="77777777" w:rsidR="00AF716D" w:rsidRDefault="000A6821">
            <w:pPr>
              <w:jc w:val="center"/>
            </w:pPr>
            <w:r>
              <w:rPr>
                <w:rFonts w:eastAsia="Times New Roman"/>
                <w:sz w:val="16"/>
              </w:rPr>
              <w:t>Intervals</w:t>
            </w:r>
          </w:p>
        </w:tc>
        <w:tc>
          <w:tcPr>
            <w:tcW w:w="3672" w:type="dxa"/>
            <w:tcMar>
              <w:top w:w="70" w:type="dxa"/>
              <w:left w:w="70" w:type="dxa"/>
              <w:bottom w:w="70" w:type="dxa"/>
              <w:right w:w="70" w:type="dxa"/>
            </w:tcMar>
            <w:vAlign w:val="center"/>
          </w:tcPr>
          <w:p w14:paraId="5ADAC5A1" w14:textId="77777777" w:rsidR="00AF716D" w:rsidRDefault="000A6821">
            <w:pPr>
              <w:jc w:val="center"/>
            </w:pPr>
            <w:r>
              <w:rPr>
                <w:rFonts w:eastAsia="Times New Roman"/>
                <w:sz w:val="16"/>
              </w:rPr>
              <w:t>Half-width/cutoff</w:t>
            </w:r>
          </w:p>
        </w:tc>
        <w:tc>
          <w:tcPr>
            <w:tcW w:w="1440" w:type="dxa"/>
            <w:tcMar>
              <w:top w:w="70" w:type="dxa"/>
              <w:left w:w="70" w:type="dxa"/>
              <w:bottom w:w="70" w:type="dxa"/>
              <w:right w:w="70" w:type="dxa"/>
            </w:tcMar>
            <w:vAlign w:val="center"/>
          </w:tcPr>
          <w:p w14:paraId="15DC9CB7" w14:textId="77777777" w:rsidR="00AF716D" w:rsidRDefault="000A6821">
            <w:pPr>
              <w:jc w:val="center"/>
            </w:pPr>
            <w:r>
              <w:rPr>
                <w:rFonts w:eastAsia="Times New Roman"/>
                <w:sz w:val="16"/>
              </w:rPr>
              <w:t>h / delta</w:t>
            </w:r>
          </w:p>
        </w:tc>
        <w:tc>
          <w:tcPr>
            <w:tcW w:w="2952" w:type="dxa"/>
            <w:tcMar>
              <w:top w:w="70" w:type="dxa"/>
              <w:left w:w="70" w:type="dxa"/>
              <w:bottom w:w="70" w:type="dxa"/>
              <w:right w:w="70" w:type="dxa"/>
            </w:tcMar>
            <w:vAlign w:val="center"/>
          </w:tcPr>
          <w:p w14:paraId="4B74C92F" w14:textId="77777777" w:rsidR="00AF716D" w:rsidRDefault="000A6821">
            <w:pPr>
              <w:jc w:val="center"/>
            </w:pPr>
            <w:r>
              <w:rPr>
                <w:rFonts w:eastAsia="Times New Roman"/>
                <w:sz w:val="16"/>
              </w:rPr>
              <w:t>[0.02,0.08] / 0.01</w:t>
            </w:r>
          </w:p>
        </w:tc>
      </w:tr>
      <w:tr w:rsidR="00AF716D" w14:paraId="583B3D75" w14:textId="77777777">
        <w:tc>
          <w:tcPr>
            <w:tcW w:w="1656" w:type="dxa"/>
            <w:tcMar>
              <w:top w:w="70" w:type="dxa"/>
              <w:left w:w="70" w:type="dxa"/>
              <w:bottom w:w="70" w:type="dxa"/>
              <w:right w:w="70" w:type="dxa"/>
            </w:tcMar>
            <w:vAlign w:val="center"/>
          </w:tcPr>
          <w:p w14:paraId="53BA4348" w14:textId="77777777" w:rsidR="00AF716D" w:rsidRDefault="000A6821">
            <w:pPr>
              <w:jc w:val="center"/>
            </w:pPr>
            <w:r>
              <w:rPr>
                <w:rFonts w:eastAsia="Times New Roman"/>
                <w:sz w:val="16"/>
              </w:rPr>
              <w:t>Context</w:t>
            </w:r>
          </w:p>
        </w:tc>
        <w:tc>
          <w:tcPr>
            <w:tcW w:w="3672" w:type="dxa"/>
            <w:tcMar>
              <w:top w:w="70" w:type="dxa"/>
              <w:left w:w="70" w:type="dxa"/>
              <w:bottom w:w="70" w:type="dxa"/>
              <w:right w:w="70" w:type="dxa"/>
            </w:tcMar>
            <w:vAlign w:val="center"/>
          </w:tcPr>
          <w:p w14:paraId="2BB407E2" w14:textId="77777777" w:rsidR="00AF716D" w:rsidRDefault="000A6821">
            <w:pPr>
              <w:jc w:val="center"/>
            </w:pPr>
            <w:r>
              <w:rPr>
                <w:rFonts w:eastAsia="Times New Roman"/>
                <w:sz w:val="16"/>
              </w:rPr>
              <w:t>Window/latent size</w:t>
            </w:r>
          </w:p>
        </w:tc>
        <w:tc>
          <w:tcPr>
            <w:tcW w:w="1440" w:type="dxa"/>
            <w:tcMar>
              <w:top w:w="70" w:type="dxa"/>
              <w:left w:w="70" w:type="dxa"/>
              <w:bottom w:w="70" w:type="dxa"/>
              <w:right w:w="70" w:type="dxa"/>
            </w:tcMar>
            <w:vAlign w:val="center"/>
          </w:tcPr>
          <w:p w14:paraId="349F4411" w14:textId="77777777" w:rsidR="00AF716D" w:rsidRDefault="000A6821">
            <w:pPr>
              <w:jc w:val="center"/>
            </w:pPr>
            <w:r>
              <w:rPr>
                <w:rFonts w:eastAsia="Times New Roman"/>
                <w:sz w:val="16"/>
              </w:rPr>
              <w:t>L / dz</w:t>
            </w:r>
          </w:p>
        </w:tc>
        <w:tc>
          <w:tcPr>
            <w:tcW w:w="2952" w:type="dxa"/>
            <w:tcMar>
              <w:top w:w="70" w:type="dxa"/>
              <w:left w:w="70" w:type="dxa"/>
              <w:bottom w:w="70" w:type="dxa"/>
              <w:right w:w="70" w:type="dxa"/>
            </w:tcMar>
            <w:vAlign w:val="center"/>
          </w:tcPr>
          <w:p w14:paraId="5D030748" w14:textId="77777777" w:rsidR="00AF716D" w:rsidRDefault="000A6821">
            <w:pPr>
              <w:jc w:val="center"/>
            </w:pPr>
            <w:r>
              <w:rPr>
                <w:rFonts w:eastAsia="Times New Roman"/>
                <w:sz w:val="16"/>
              </w:rPr>
              <w:t>10 / 8</w:t>
            </w:r>
          </w:p>
        </w:tc>
      </w:tr>
      <w:tr w:rsidR="00AF716D" w14:paraId="24A3DFC0" w14:textId="77777777">
        <w:tc>
          <w:tcPr>
            <w:tcW w:w="1656" w:type="dxa"/>
            <w:tcMar>
              <w:top w:w="70" w:type="dxa"/>
              <w:left w:w="70" w:type="dxa"/>
              <w:bottom w:w="70" w:type="dxa"/>
              <w:right w:w="70" w:type="dxa"/>
            </w:tcMar>
            <w:vAlign w:val="center"/>
          </w:tcPr>
          <w:p w14:paraId="73B18559" w14:textId="77777777" w:rsidR="00AF716D" w:rsidRDefault="000A6821">
            <w:pPr>
              <w:jc w:val="center"/>
            </w:pPr>
            <w:r>
              <w:rPr>
                <w:rFonts w:eastAsia="Times New Roman"/>
                <w:sz w:val="16"/>
              </w:rPr>
              <w:t>Network</w:t>
            </w:r>
          </w:p>
        </w:tc>
        <w:tc>
          <w:tcPr>
            <w:tcW w:w="3672" w:type="dxa"/>
            <w:tcMar>
              <w:top w:w="70" w:type="dxa"/>
              <w:left w:w="70" w:type="dxa"/>
              <w:bottom w:w="70" w:type="dxa"/>
              <w:right w:w="70" w:type="dxa"/>
            </w:tcMar>
            <w:vAlign w:val="center"/>
          </w:tcPr>
          <w:p w14:paraId="7C558AFC" w14:textId="77777777" w:rsidR="00AF716D" w:rsidRDefault="000A6821">
            <w:pPr>
              <w:jc w:val="center"/>
            </w:pPr>
            <w:r>
              <w:rPr>
                <w:rFonts w:eastAsia="Times New Roman"/>
                <w:sz w:val="16"/>
              </w:rPr>
              <w:t>Attention</w:t>
            </w:r>
          </w:p>
        </w:tc>
        <w:tc>
          <w:tcPr>
            <w:tcW w:w="1440" w:type="dxa"/>
            <w:tcMar>
              <w:top w:w="70" w:type="dxa"/>
              <w:left w:w="70" w:type="dxa"/>
              <w:bottom w:w="70" w:type="dxa"/>
              <w:right w:w="70" w:type="dxa"/>
            </w:tcMar>
            <w:vAlign w:val="center"/>
          </w:tcPr>
          <w:p w14:paraId="78C1D5DC" w14:textId="77777777" w:rsidR="00AF716D" w:rsidRDefault="000A6821">
            <w:pPr>
              <w:jc w:val="center"/>
            </w:pPr>
            <w:r>
              <w:rPr>
                <w:rFonts w:eastAsia="Times New Roman"/>
                <w:sz w:val="16"/>
              </w:rPr>
              <w:t>dg / heads</w:t>
            </w:r>
          </w:p>
        </w:tc>
        <w:tc>
          <w:tcPr>
            <w:tcW w:w="2952" w:type="dxa"/>
            <w:tcMar>
              <w:top w:w="70" w:type="dxa"/>
              <w:left w:w="70" w:type="dxa"/>
              <w:bottom w:w="70" w:type="dxa"/>
              <w:right w:w="70" w:type="dxa"/>
            </w:tcMar>
            <w:vAlign w:val="center"/>
          </w:tcPr>
          <w:p w14:paraId="3F3663EA" w14:textId="77777777" w:rsidR="00AF716D" w:rsidRDefault="000A6821">
            <w:pPr>
              <w:jc w:val="center"/>
            </w:pPr>
            <w:r>
              <w:rPr>
                <w:rFonts w:eastAsia="Times New Roman"/>
                <w:sz w:val="16"/>
              </w:rPr>
              <w:t>256 / 4</w:t>
            </w:r>
          </w:p>
        </w:tc>
      </w:tr>
      <w:tr w:rsidR="00AF716D" w14:paraId="523E1585" w14:textId="77777777">
        <w:tc>
          <w:tcPr>
            <w:tcW w:w="1656" w:type="dxa"/>
            <w:tcMar>
              <w:top w:w="70" w:type="dxa"/>
              <w:left w:w="70" w:type="dxa"/>
              <w:bottom w:w="70" w:type="dxa"/>
              <w:right w:w="70" w:type="dxa"/>
            </w:tcMar>
            <w:vAlign w:val="center"/>
          </w:tcPr>
          <w:p w14:paraId="3DCB9720" w14:textId="77777777" w:rsidR="00AF716D" w:rsidRDefault="000A6821">
            <w:pPr>
              <w:jc w:val="center"/>
            </w:pPr>
            <w:r>
              <w:rPr>
                <w:rFonts w:eastAsia="Times New Roman"/>
                <w:sz w:val="16"/>
              </w:rPr>
              <w:t>SAC</w:t>
            </w:r>
          </w:p>
        </w:tc>
        <w:tc>
          <w:tcPr>
            <w:tcW w:w="3672" w:type="dxa"/>
            <w:tcMar>
              <w:top w:w="70" w:type="dxa"/>
              <w:left w:w="70" w:type="dxa"/>
              <w:bottom w:w="70" w:type="dxa"/>
              <w:right w:w="70" w:type="dxa"/>
            </w:tcMar>
            <w:vAlign w:val="center"/>
          </w:tcPr>
          <w:p w14:paraId="46718050" w14:textId="77777777" w:rsidR="00AF716D" w:rsidRDefault="000A6821">
            <w:pPr>
              <w:jc w:val="center"/>
            </w:pPr>
            <w:r>
              <w:rPr>
                <w:rFonts w:eastAsia="Times New Roman"/>
                <w:sz w:val="16"/>
              </w:rPr>
              <w:t>Learning rate/discount</w:t>
            </w:r>
          </w:p>
        </w:tc>
        <w:tc>
          <w:tcPr>
            <w:tcW w:w="1440" w:type="dxa"/>
            <w:tcMar>
              <w:top w:w="70" w:type="dxa"/>
              <w:left w:w="70" w:type="dxa"/>
              <w:bottom w:w="70" w:type="dxa"/>
              <w:right w:w="70" w:type="dxa"/>
            </w:tcMar>
            <w:vAlign w:val="center"/>
          </w:tcPr>
          <w:p w14:paraId="0B54672A" w14:textId="77777777" w:rsidR="00AF716D" w:rsidRDefault="000A6821">
            <w:pPr>
              <w:jc w:val="center"/>
            </w:pPr>
            <w:r>
              <w:rPr>
                <w:rFonts w:eastAsia="Times New Roman"/>
                <w:sz w:val="16"/>
              </w:rPr>
              <w:t>lr / gamma</w:t>
            </w:r>
          </w:p>
        </w:tc>
        <w:tc>
          <w:tcPr>
            <w:tcW w:w="2952" w:type="dxa"/>
            <w:tcMar>
              <w:top w:w="70" w:type="dxa"/>
              <w:left w:w="70" w:type="dxa"/>
              <w:bottom w:w="70" w:type="dxa"/>
              <w:right w:w="70" w:type="dxa"/>
            </w:tcMar>
            <w:vAlign w:val="center"/>
          </w:tcPr>
          <w:p w14:paraId="40067187" w14:textId="77777777" w:rsidR="00AF716D" w:rsidRDefault="000A6821">
            <w:pPr>
              <w:jc w:val="center"/>
            </w:pPr>
            <w:r>
              <w:rPr>
                <w:rFonts w:eastAsia="Times New Roman"/>
                <w:sz w:val="16"/>
              </w:rPr>
              <w:t>3e-4 / 0.95</w:t>
            </w:r>
          </w:p>
        </w:tc>
      </w:tr>
      <w:tr w:rsidR="00AF716D" w14:paraId="61762BAB" w14:textId="77777777">
        <w:tc>
          <w:tcPr>
            <w:tcW w:w="1656" w:type="dxa"/>
            <w:tcMar>
              <w:top w:w="70" w:type="dxa"/>
              <w:left w:w="70" w:type="dxa"/>
              <w:bottom w:w="70" w:type="dxa"/>
              <w:right w:w="70" w:type="dxa"/>
            </w:tcMar>
            <w:vAlign w:val="center"/>
          </w:tcPr>
          <w:p w14:paraId="32CC621D" w14:textId="77777777" w:rsidR="00AF716D" w:rsidRDefault="000A6821">
            <w:pPr>
              <w:jc w:val="center"/>
            </w:pPr>
            <w:r>
              <w:rPr>
                <w:rFonts w:eastAsia="Times New Roman"/>
                <w:sz w:val="16"/>
              </w:rPr>
              <w:t>SAC</w:t>
            </w:r>
          </w:p>
        </w:tc>
        <w:tc>
          <w:tcPr>
            <w:tcW w:w="3672" w:type="dxa"/>
            <w:tcMar>
              <w:top w:w="70" w:type="dxa"/>
              <w:left w:w="70" w:type="dxa"/>
              <w:bottom w:w="70" w:type="dxa"/>
              <w:right w:w="70" w:type="dxa"/>
            </w:tcMar>
            <w:vAlign w:val="center"/>
          </w:tcPr>
          <w:p w14:paraId="65DCC15C" w14:textId="77777777" w:rsidR="00AF716D" w:rsidRDefault="000A6821">
            <w:pPr>
              <w:jc w:val="center"/>
            </w:pPr>
            <w:r>
              <w:rPr>
                <w:rFonts w:eastAsia="Times New Roman"/>
                <w:sz w:val="16"/>
              </w:rPr>
              <w:t>Soft update/entropy</w:t>
            </w:r>
          </w:p>
        </w:tc>
        <w:tc>
          <w:tcPr>
            <w:tcW w:w="1440" w:type="dxa"/>
            <w:tcMar>
              <w:top w:w="70" w:type="dxa"/>
              <w:left w:w="70" w:type="dxa"/>
              <w:bottom w:w="70" w:type="dxa"/>
              <w:right w:w="70" w:type="dxa"/>
            </w:tcMar>
            <w:vAlign w:val="center"/>
          </w:tcPr>
          <w:p w14:paraId="60F2C38E" w14:textId="77777777" w:rsidR="00AF716D" w:rsidRDefault="000A6821">
            <w:pPr>
              <w:jc w:val="center"/>
            </w:pPr>
            <w:r>
              <w:rPr>
                <w:rFonts w:eastAsia="Times New Roman"/>
                <w:sz w:val="16"/>
              </w:rPr>
              <w:t>tauq / alpha</w:t>
            </w:r>
          </w:p>
        </w:tc>
        <w:tc>
          <w:tcPr>
            <w:tcW w:w="2952" w:type="dxa"/>
            <w:tcMar>
              <w:top w:w="70" w:type="dxa"/>
              <w:left w:w="70" w:type="dxa"/>
              <w:bottom w:w="70" w:type="dxa"/>
              <w:right w:w="70" w:type="dxa"/>
            </w:tcMar>
            <w:vAlign w:val="center"/>
          </w:tcPr>
          <w:p w14:paraId="5C451652" w14:textId="77777777" w:rsidR="00AF716D" w:rsidRDefault="000A6821">
            <w:pPr>
              <w:jc w:val="center"/>
            </w:pPr>
            <w:r>
              <w:rPr>
                <w:rFonts w:eastAsia="Times New Roman"/>
                <w:sz w:val="16"/>
              </w:rPr>
              <w:t>0.01 / 0.10</w:t>
            </w:r>
          </w:p>
        </w:tc>
      </w:tr>
      <w:tr w:rsidR="00AF716D" w14:paraId="7A605884" w14:textId="77777777">
        <w:tc>
          <w:tcPr>
            <w:tcW w:w="1656" w:type="dxa"/>
            <w:tcMar>
              <w:top w:w="70" w:type="dxa"/>
              <w:left w:w="70" w:type="dxa"/>
              <w:bottom w:w="70" w:type="dxa"/>
              <w:right w:w="70" w:type="dxa"/>
            </w:tcMar>
            <w:vAlign w:val="center"/>
          </w:tcPr>
          <w:p w14:paraId="0D761DD5" w14:textId="77777777" w:rsidR="00AF716D" w:rsidRDefault="000A6821">
            <w:pPr>
              <w:jc w:val="center"/>
            </w:pPr>
            <w:r>
              <w:rPr>
                <w:rFonts w:eastAsia="Times New Roman"/>
                <w:sz w:val="16"/>
              </w:rPr>
              <w:t>Cost</w:t>
            </w:r>
          </w:p>
        </w:tc>
        <w:tc>
          <w:tcPr>
            <w:tcW w:w="3672" w:type="dxa"/>
            <w:tcMar>
              <w:top w:w="70" w:type="dxa"/>
              <w:left w:w="70" w:type="dxa"/>
              <w:bottom w:w="70" w:type="dxa"/>
              <w:right w:w="70" w:type="dxa"/>
            </w:tcMar>
            <w:vAlign w:val="center"/>
          </w:tcPr>
          <w:p w14:paraId="07633EA3" w14:textId="77777777" w:rsidR="00AF716D" w:rsidRDefault="000A6821">
            <w:pPr>
              <w:jc w:val="center"/>
            </w:pPr>
            <w:r>
              <w:rPr>
                <w:rFonts w:eastAsia="Times New Roman"/>
                <w:sz w:val="16"/>
              </w:rPr>
              <w:t>Scale/exponent</w:t>
            </w:r>
          </w:p>
        </w:tc>
        <w:tc>
          <w:tcPr>
            <w:tcW w:w="1440" w:type="dxa"/>
            <w:tcMar>
              <w:top w:w="70" w:type="dxa"/>
              <w:left w:w="70" w:type="dxa"/>
              <w:bottom w:w="70" w:type="dxa"/>
              <w:right w:w="70" w:type="dxa"/>
            </w:tcMar>
            <w:vAlign w:val="center"/>
          </w:tcPr>
          <w:p w14:paraId="0566A6EB" w14:textId="77777777" w:rsidR="00AF716D" w:rsidRDefault="000A6821">
            <w:pPr>
              <w:jc w:val="center"/>
            </w:pPr>
            <w:r>
              <w:rPr>
                <w:rFonts w:eastAsia="Times New Roman"/>
                <w:sz w:val="16"/>
              </w:rPr>
              <w:t>eta / p</w:t>
            </w:r>
          </w:p>
        </w:tc>
        <w:tc>
          <w:tcPr>
            <w:tcW w:w="2952" w:type="dxa"/>
            <w:tcMar>
              <w:top w:w="70" w:type="dxa"/>
              <w:left w:w="70" w:type="dxa"/>
              <w:bottom w:w="70" w:type="dxa"/>
              <w:right w:w="70" w:type="dxa"/>
            </w:tcMar>
            <w:vAlign w:val="center"/>
          </w:tcPr>
          <w:p w14:paraId="4E1E4596" w14:textId="77777777" w:rsidR="00AF716D" w:rsidRDefault="000A6821">
            <w:pPr>
              <w:jc w:val="center"/>
            </w:pPr>
            <w:r>
              <w:rPr>
                <w:rFonts w:eastAsia="Times New Roman"/>
                <w:sz w:val="16"/>
              </w:rPr>
              <w:t>75 / 2</w:t>
            </w:r>
          </w:p>
        </w:tc>
      </w:tr>
    </w:tbl>
    <w:p w14:paraId="5D30B5AA"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30B62263" w14:textId="42754725" w:rsidR="00AF716D" w:rsidRDefault="000A6821">
      <w:pPr>
        <w:pStyle w:val="afe"/>
        <w:ind w:firstLine="420"/>
      </w:pPr>
      <w:r>
        <w:rPr>
          <w:rFonts w:eastAsia="Times New Roman"/>
        </w:rPr>
        <w:t xml:space="preserve">Equation (28) defines success rate, mean termination time, total cost, mean reward, and violations. Equation (29) combines success and time through success AUC and consensus-trajectory AUC. Paired differences and 95% bootstrap intervals use B=10,000 resamples (30)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BibRef039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39</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BibRef040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40</w:t>
      </w:r>
      <w:r>
        <w:rPr>
          <w:rFonts w:eastAsia="Times New Roman"/>
          <w:vertAlign w:val="superscript"/>
        </w:rPr>
        <w:fldChar w:fldCharType="end"/>
      </w:r>
      <w:r>
        <w:rPr>
          <w:rFonts w:eastAsia="Times New Roman"/>
          <w:vertAlign w:val="superscript"/>
        </w:rPr>
        <w:t>]</w:t>
      </w:r>
      <w:r>
        <w:t>. Cost is interpreted only alongside success because an inactive failed policy can appear inexpensive.</w:t>
      </w:r>
    </w:p>
    <w:p w14:paraId="5651EB75"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p</m:t>
              </m:r>
            </m:e>
            <m:sub>
              <m:r>
                <w:rPr>
                  <w:rFonts w:ascii="Cambria Math" w:hAnsi="Cambria Math" w:cs="Cambria Math"/>
                  <w:sz w:val="18"/>
                </w:rPr>
                <m:t>s</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r>
            <w:rPr>
              <w:rFonts w:ascii="Cambria Math" w:hAnsi="Cambria Math" w:cs="Cambria Math"/>
              <w:sz w:val="18"/>
            </w:rPr>
            <m:t xml:space="preserve"> </m:t>
          </m:r>
          <m:sSub>
            <m:sSubPr>
              <m:ctrlPr>
                <w:rPr>
                  <w:rFonts w:ascii="Cambria Math" w:hAnsi="Cambria Math"/>
                </w:rPr>
              </m:ctrlPr>
            </m:sSubPr>
            <m:e>
              <m:r>
                <m:rPr>
                  <m:scr m:val="double-struck"/>
                </m:rPr>
                <w:rPr>
                  <w:rFonts w:ascii="Cambria Math" w:hAnsi="Cambria Math" w:cs="Cambria Math"/>
                  <w:sz w:val="18"/>
                </w:rPr>
                <m:t>1</m:t>
              </m:r>
            </m:e>
            <m:sub>
              <m:r>
                <w:rPr>
                  <w:rFonts w:ascii="Cambria Math" w:hAnsi="Cambria Math" w:cs="Cambria Math"/>
                  <w:sz w:val="18"/>
                </w:rPr>
                <m:t>e</m:t>
              </m:r>
            </m:sub>
          </m:sSub>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T</m:t>
              </m:r>
            </m:e>
            <m:sub>
              <m:r>
                <w:rPr>
                  <w:rFonts w:ascii="Cambria Math" w:hAnsi="Cambria Math" w:cs="Cambria Math"/>
                  <w:sz w:val="18"/>
                </w:rPr>
                <m:t>e</m:t>
              </m:r>
            </m:sub>
          </m:sSub>
          <m:r>
            <w:rPr>
              <w:rFonts w:ascii="Cambria Math" w:hAnsi="Cambria Math" w:cs="Cambria Math"/>
              <w:sz w:val="18"/>
            </w:rPr>
            <m:t>；</m:t>
          </m:r>
          <m:r>
            <w:rPr>
              <w:rFonts w:ascii="Cambria Math" w:hAnsi="Cambria Math" w:cs="Cambria Math"/>
              <w:sz w:val="18"/>
            </w:rPr>
            <m:t>J̄</m:t>
          </m:r>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t</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J</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e</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R̄</m:t>
          </m:r>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t</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N</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e</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V̄</m:t>
          </m:r>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t</m:t>
              </m:r>
            </m:sub>
          </m:sSub>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r>
            <m:rPr>
              <m:scr m:val="double-struck"/>
            </m:rPr>
            <w:rPr>
              <w:rFonts w:ascii="Cambria Math" w:hAnsi="Cambria Math" w:cs="Cambria Math"/>
              <w:sz w:val="18"/>
            </w:rPr>
            <m:t>1</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e</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&lt;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L</m:t>
              </m:r>
            </m:sub>
          </m:sSub>
          <m:r>
            <w:rPr>
              <w:rFonts w:ascii="Cambria Math" w:hAnsi="Cambria Math" w:cs="Cambria Math"/>
              <w:sz w:val="18"/>
            </w:rPr>
            <m:t xml:space="preserve"> </m:t>
          </m:r>
          <m:r>
            <w:rPr>
              <w:rFonts w:ascii="Cambria Math" w:hAnsi="Cambria Math" w:cs="Cambria Math"/>
              <w:sz w:val="18"/>
            </w:rPr>
            <m:t>or</m:t>
          </m:r>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e</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&gt;</m:t>
          </m:r>
          <m:sSub>
            <m:sSubPr>
              <m:ctrlPr>
                <w:rPr>
                  <w:rFonts w:ascii="Cambria Math" w:hAnsi="Cambria Math"/>
                </w:rPr>
              </m:ctrlPr>
            </m:sSubPr>
            <m:e>
              <m:r>
                <w:rPr>
                  <w:rFonts w:ascii="Cambria Math" w:hAnsi="Cambria Math" w:cs="Cambria Math"/>
                  <w:sz w:val="18"/>
                </w:rPr>
                <m:t>s</m:t>
              </m:r>
            </m:e>
            <m:sub>
              <m:r>
                <w:rPr>
                  <w:rFonts w:ascii="Cambria Math" w:hAnsi="Cambria Math" w:cs="Cambria Math"/>
                  <w:sz w:val="18"/>
                </w:rPr>
                <m:t>U</m:t>
              </m:r>
            </m:sub>
          </m:sSub>
          <m:r>
            <w:rPr>
              <w:rFonts w:ascii="Cambria Math" w:hAnsi="Cambria Math" w:cs="Cambria Math"/>
              <w:sz w:val="18"/>
            </w:rPr>
            <m:t>)</m:t>
          </m:r>
          <m:r>
            <w:rPr>
              <w:rFonts w:ascii="Cambria Math" w:hAnsi="Cambria Math" w:cs="Cambria Math"/>
              <w:sz w:val="18"/>
            </w:rPr>
            <m:t>。</m:t>
          </m:r>
          <m:r>
            <w:rPr>
              <w:rFonts w:ascii="Cambria Math" w:hAnsi="Cambria Math" w:cs="Cambria Math"/>
              <w:sz w:val="18"/>
            </w:rPr>
            <m:t xml:space="preserve">   (28)</m:t>
          </m:r>
        </m:oMath>
      </m:oMathPara>
    </w:p>
    <w:p w14:paraId="1FC2C9E3"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s</m:t>
              </m:r>
              <m:r>
                <w:rPr>
                  <w:rFonts w:ascii="Cambria Math" w:hAnsi="Cambria Math" w:cs="Cambria Math"/>
                  <w:sz w:val="18"/>
                </w:rPr>
                <m:t>,</m:t>
              </m:r>
              <m:r>
                <w:rPr>
                  <w:rFonts w:ascii="Cambria Math" w:hAnsi="Cambria Math" w:cs="Cambria Math"/>
                  <w:sz w:val="18"/>
                </w:rPr>
                <m:t>e</m:t>
              </m:r>
            </m:sub>
          </m:sSub>
          <m:r>
            <w:rPr>
              <w:rFonts w:ascii="Cambria Math" w:hAnsi="Cambria Math" w:cs="Cambria Math"/>
              <w:sz w:val="18"/>
            </w:rPr>
            <m:t>=</m:t>
          </m:r>
          <m:sSub>
            <m:sSubPr>
              <m:ctrlPr>
                <w:rPr>
                  <w:rFonts w:ascii="Cambria Math" w:hAnsi="Cambria Math"/>
                </w:rPr>
              </m:ctrlPr>
            </m:sSubPr>
            <m:e>
              <m:r>
                <m:rPr>
                  <m:scr m:val="double-struck"/>
                </m:rPr>
                <w:rPr>
                  <w:rFonts w:ascii="Cambria Math" w:hAnsi="Cambria Math" w:cs="Cambria Math"/>
                  <w:sz w:val="18"/>
                </w:rPr>
                <m:t>1</m:t>
              </m:r>
            </m:e>
            <m:sub>
              <m:r>
                <w:rPr>
                  <w:rFonts w:ascii="Cambria Math" w:hAnsi="Cambria Math" w:cs="Cambria Math"/>
                  <w:sz w:val="18"/>
                </w:rPr>
                <m:t>e</m:t>
              </m:r>
            </m:sub>
          </m:sSub>
          <m:r>
            <w:rPr>
              <w:rFonts w:ascii="Cambria Math" w:hAnsi="Cambria Math" w:cs="Cambria Math"/>
              <w:sz w:val="18"/>
            </w:rPr>
            <m:t>(</m:t>
          </m:r>
          <m:r>
            <w:rPr>
              <w:rFonts w:ascii="Cambria Math" w:hAnsi="Cambria Math" w:cs="Cambria Math"/>
              <w:sz w:val="18"/>
            </w:rPr>
            <m:t>H</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T</m:t>
              </m:r>
            </m:e>
            <m:sub>
              <m:r>
                <w:rPr>
                  <w:rFonts w:ascii="Cambria Math" w:hAnsi="Cambria Math" w:cs="Cambria Math"/>
                  <w:sz w:val="18"/>
                </w:rPr>
                <m:t>e</m:t>
              </m:r>
            </m:sub>
          </m:sSub>
          <m:r>
            <w:rPr>
              <w:rFonts w:ascii="Cambria Math" w:hAnsi="Cambria Math" w:cs="Cambria Math"/>
              <w:sz w:val="18"/>
            </w:rPr>
            <m:t>+1)/(</m:t>
          </m:r>
          <m:r>
            <w:rPr>
              <w:rFonts w:ascii="Cambria Math" w:hAnsi="Cambria Math" w:cs="Cambria Math"/>
              <w:sz w:val="18"/>
            </w:rPr>
            <m:t>H</m:t>
          </m:r>
          <m:r>
            <w:rPr>
              <w:rFonts w:ascii="Cambria Math" w:hAnsi="Cambria Math" w:cs="Cambria Math"/>
              <w:sz w:val="18"/>
            </w:rPr>
            <m:t>+1)</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A</m:t>
              </m:r>
            </m:e>
            <m:sub>
              <m:r>
                <w:rPr>
                  <w:rFonts w:ascii="Cambria Math" w:hAnsi="Cambria Math" w:cs="Cambria Math"/>
                  <w:sz w:val="18"/>
                </w:rPr>
                <m:t>c</m:t>
              </m:r>
              <m:r>
                <w:rPr>
                  <w:rFonts w:ascii="Cambria Math" w:hAnsi="Cambria Math" w:cs="Cambria Math"/>
                  <w:sz w:val="18"/>
                </w:rPr>
                <m:t>,</m:t>
              </m:r>
              <m:r>
                <w:rPr>
                  <w:rFonts w:ascii="Cambria Math" w:hAnsi="Cambria Math" w:cs="Cambria Math"/>
                  <w:sz w:val="18"/>
                </w:rPr>
                <m:t>e</m:t>
              </m:r>
            </m:sub>
          </m:sSub>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H</m:t>
              </m:r>
            </m:e>
            <m:sup>
              <m:r>
                <w:rPr>
                  <w:rFonts w:ascii="Cambria Math" w:hAnsi="Cambria Math" w:cs="Cambria Math"/>
                  <w:sz w:val="18"/>
                </w:rPr>
                <m:t>-</m:t>
              </m:r>
              <m:r>
                <w:rPr>
                  <w:rFonts w:ascii="Cambria Math" w:hAnsi="Cambria Math" w:cs="Cambria Math"/>
                  <w:sz w:val="18"/>
                </w:rPr>
                <m:t>1</m:t>
              </m:r>
            </m:sup>
          </m:sSup>
          <m:sSubSup>
            <m:sSubSupPr>
              <m:ctrlPr>
                <w:rPr>
                  <w:rFonts w:ascii="Cambria Math" w:hAnsi="Cambria Math"/>
                </w:rPr>
              </m:ctrlPr>
            </m:sSubSupPr>
            <m:e>
              <m:r>
                <w:rPr>
                  <w:rFonts w:ascii="Cambria Math" w:hAnsi="Cambria Math" w:cs="Cambria Math"/>
                  <w:sz w:val="18"/>
                </w:rPr>
                <m:t>Σ</m:t>
              </m:r>
            </m:e>
            <m:sub>
              <m:r>
                <w:rPr>
                  <w:rFonts w:ascii="Cambria Math" w:hAnsi="Cambria Math" w:cs="Cambria Math"/>
                  <w:sz w:val="18"/>
                </w:rPr>
                <m:t>t</m:t>
              </m:r>
              <m:r>
                <w:rPr>
                  <w:rFonts w:ascii="Cambria Math" w:hAnsi="Cambria Math" w:cs="Cambria Math"/>
                  <w:sz w:val="18"/>
                </w:rPr>
                <m:t>=1</m:t>
              </m:r>
            </m:sub>
            <m:sup>
              <m:r>
                <w:rPr>
                  <w:rFonts w:ascii="Cambria Math" w:hAnsi="Cambria Math" w:cs="Cambria Math"/>
                  <w:sz w:val="18"/>
                </w:rPr>
                <m:t>H</m:t>
              </m:r>
            </m:sup>
          </m:sSubSup>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e</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 xml:space="preserve">   (29)</m:t>
          </m:r>
        </m:oMath>
      </m:oMathPara>
    </w:p>
    <w:p w14:paraId="0EC7CFE7"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δ</m:t>
              </m:r>
            </m:e>
            <m:sub>
              <m:r>
                <w:rPr>
                  <w:rFonts w:ascii="Cambria Math" w:hAnsi="Cambria Math" w:cs="Cambria Math"/>
                  <w:sz w:val="18"/>
                </w:rPr>
                <m:t>e</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1,</m:t>
              </m:r>
              <m:r>
                <w:rPr>
                  <w:rFonts w:ascii="Cambria Math" w:hAnsi="Cambria Math" w:cs="Cambria Math"/>
                  <w:sz w:val="18"/>
                </w:rPr>
                <m:t>e</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0,</m:t>
              </m:r>
              <m:r>
                <w:rPr>
                  <w:rFonts w:ascii="Cambria Math" w:hAnsi="Cambria Math" w:cs="Cambria Math"/>
                  <w:sz w:val="18"/>
                </w:rPr>
                <m:t>e</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m:t>
          </m:r>
          <m:sSup>
            <m:sSupPr>
              <m:ctrlPr>
                <w:rPr>
                  <w:rFonts w:ascii="Cambria Math" w:hAnsi="Cambria Math"/>
                </w:rPr>
              </m:ctrlPr>
            </m:sSupPr>
            <m:e>
              <m:r>
                <w:rPr>
                  <w:rFonts w:ascii="Cambria Math" w:hAnsi="Cambria Math" w:cs="Cambria Math"/>
                  <w:sz w:val="18"/>
                </w:rPr>
                <m:t>M</m:t>
              </m:r>
            </m:e>
            <m:sup>
              <m:r>
                <w:rPr>
                  <w:rFonts w:ascii="Cambria Math" w:hAnsi="Cambria Math" w:cs="Cambria Math"/>
                  <w:sz w:val="18"/>
                </w:rPr>
                <m:t>-</m:t>
              </m:r>
              <m:r>
                <w:rPr>
                  <w:rFonts w:ascii="Cambria Math" w:hAnsi="Cambria Math" w:cs="Cambria Math"/>
                  <w:sz w:val="18"/>
                </w:rPr>
                <m:t>1</m:t>
              </m:r>
            </m:sup>
          </m:sSup>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e</m:t>
              </m:r>
            </m:sub>
          </m:sSub>
          <m:sSub>
            <m:sSubPr>
              <m:ctrlPr>
                <w:rPr>
                  <w:rFonts w:ascii="Cambria Math" w:hAnsi="Cambria Math"/>
                </w:rPr>
              </m:ctrlPr>
            </m:sSubPr>
            <m:e>
              <m:r>
                <w:rPr>
                  <w:rFonts w:ascii="Cambria Math" w:hAnsi="Cambria Math" w:cs="Cambria Math"/>
                  <w:sz w:val="18"/>
                </w:rPr>
                <m:t>δ</m:t>
              </m:r>
            </m:e>
            <m:sub>
              <m:r>
                <w:rPr>
                  <w:rFonts w:ascii="Cambria Math" w:hAnsi="Cambria Math" w:cs="Cambria Math"/>
                  <w:sz w:val="18"/>
                </w:rPr>
                <m:t>e</m:t>
              </m:r>
            </m:sub>
          </m:sSub>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I</m:t>
              </m:r>
            </m:e>
            <m:sub>
              <m:r>
                <w:rPr>
                  <w:rFonts w:ascii="Cambria Math" w:hAnsi="Cambria Math" w:cs="Cambria Math"/>
                  <w:sz w:val="18"/>
                </w:rPr>
                <m:t>1-</m:t>
              </m:r>
              <m:r>
                <w:rPr>
                  <w:rFonts w:ascii="Cambria Math" w:hAnsi="Cambria Math" w:cs="Cambria Math"/>
                  <w:sz w:val="18"/>
                </w:rPr>
                <m:t>ϑ</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ϑ</m:t>
              </m:r>
              <m:r>
                <w:rPr>
                  <w:rFonts w:ascii="Cambria Math" w:hAnsi="Cambria Math" w:cs="Cambria Math"/>
                  <w:sz w:val="18"/>
                </w:rPr>
                <m:t>/2</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δ̄</m:t>
              </m:r>
            </m:e>
            <m:sub>
              <m:r>
                <w:rPr>
                  <w:rFonts w:ascii="Cambria Math" w:hAnsi="Cambria Math" w:cs="Cambria Math"/>
                  <w:sz w:val="18"/>
                </w:rPr>
                <m:t>b</m:t>
              </m:r>
            </m:sub>
            <m:sup>
              <m:r>
                <w:rPr>
                  <w:rFonts w:ascii="Cambria Math" w:hAnsi="Cambria Math" w:cs="Cambria Math"/>
                  <w:sz w:val="18"/>
                </w:rPr>
                <m:t>*</m:t>
              </m:r>
            </m:sup>
          </m:sSub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1-</m:t>
              </m:r>
              <m:r>
                <w:rPr>
                  <w:rFonts w:ascii="Cambria Math" w:hAnsi="Cambria Math" w:cs="Cambria Math"/>
                  <w:sz w:val="18"/>
                </w:rPr>
                <m:t>ϑ</m:t>
              </m:r>
              <m:r>
                <w:rPr>
                  <w:rFonts w:ascii="Cambria Math" w:hAnsi="Cambria Math" w:cs="Cambria Math"/>
                  <w:sz w:val="18"/>
                </w:rPr>
                <m:t>/2</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δ̄</m:t>
              </m:r>
            </m:e>
            <m:sub>
              <m:r>
                <w:rPr>
                  <w:rFonts w:ascii="Cambria Math" w:hAnsi="Cambria Math" w:cs="Cambria Math"/>
                  <w:sz w:val="18"/>
                </w:rPr>
                <m:t>b</m:t>
              </m:r>
            </m:sub>
            <m:sup>
              <m:r>
                <w:rPr>
                  <w:rFonts w:ascii="Cambria Math" w:hAnsi="Cambria Math" w:cs="Cambria Math"/>
                  <w:sz w:val="18"/>
                </w:rPr>
                <m:t>*</m:t>
              </m:r>
            </m:sup>
          </m:sSubSup>
          <m:r>
            <w:rPr>
              <w:rFonts w:ascii="Cambria Math" w:hAnsi="Cambria Math" w:cs="Cambria Math"/>
              <w:sz w:val="18"/>
            </w:rPr>
            <m:t>})]</m:t>
          </m:r>
          <m:r>
            <w:rPr>
              <w:rFonts w:ascii="Cambria Math" w:hAnsi="Cambria Math" w:cs="Cambria Math"/>
              <w:sz w:val="18"/>
            </w:rPr>
            <m:t>，</m:t>
          </m:r>
          <m:r>
            <w:rPr>
              <w:rFonts w:ascii="Cambria Math" w:hAnsi="Cambria Math" w:cs="Cambria Math"/>
              <w:sz w:val="18"/>
            </w:rPr>
            <m:t>b</m:t>
          </m:r>
          <m:r>
            <w:rPr>
              <w:rFonts w:ascii="Cambria Math" w:hAnsi="Cambria Math" w:cs="Cambria Math"/>
              <w:sz w:val="18"/>
            </w:rPr>
            <m:t>=1,…,</m:t>
          </m:r>
          <m:r>
            <w:rPr>
              <w:rFonts w:ascii="Cambria Math" w:hAnsi="Cambria Math" w:cs="Cambria Math"/>
              <w:sz w:val="18"/>
            </w:rPr>
            <m:t>B</m:t>
          </m:r>
          <m:r>
            <w:rPr>
              <w:rFonts w:ascii="Cambria Math" w:hAnsi="Cambria Math" w:cs="Cambria Math"/>
              <w:sz w:val="18"/>
            </w:rPr>
            <m:t>。</m:t>
          </m:r>
          <m:r>
            <w:rPr>
              <w:rFonts w:ascii="Cambria Math" w:hAnsi="Cambria Math" w:cs="Cambria Math"/>
              <w:sz w:val="18"/>
            </w:rPr>
            <m:t xml:space="preserve">   (30)</m:t>
          </m:r>
        </m:oMath>
      </m:oMathPara>
    </w:p>
    <w:p w14:paraId="227F7A81" w14:textId="684F8B4F" w:rsidR="00AF716D" w:rsidRDefault="000A6821">
      <w:pPr>
        <w:pStyle w:val="afe"/>
        <w:ind w:firstLine="420"/>
      </w:pPr>
      <w:r>
        <w:rPr>
          <w:rFonts w:eastAsia="Times New Roman"/>
        </w:rPr>
        <w:lastRenderedPageBreak/>
        <w:t xml:space="preserve">Code, checkpoints, scenario-level data, and sensitivity analyses are available at </w:t>
      </w:r>
      <w:hyperlink r:id="rId16">
        <w:r>
          <w:rPr>
            <w:rFonts w:eastAsia="Times New Roman"/>
            <w:color w:val="0563C1"/>
            <w:u w:val="single"/>
          </w:rPr>
          <w:t>github.com/songyang531/IntervalFuzzy-MetaGDM</w:t>
        </w:r>
      </w:hyperlink>
      <w:r>
        <w:rPr>
          <w:rFonts w:eastAsia="Times New Roman"/>
        </w:rPr>
        <w:t xml:space="preserve"> (commit 9029bd51; see PAPER_EXPERIMENT_MAP.md).</w:t>
      </w:r>
    </w:p>
    <w:p w14:paraId="0F8B7970" w14:textId="77777777" w:rsidR="00AF716D" w:rsidRDefault="000A6821">
      <w:pPr>
        <w:pStyle w:val="aff"/>
        <w:keepNext/>
        <w:keepLines/>
        <w:widowControl w:val="0"/>
        <w:spacing w:before="156" w:after="156"/>
        <w:jc w:val="left"/>
      </w:pPr>
      <w:r>
        <w:rPr>
          <w:rFonts w:eastAsia="Times New Roman"/>
        </w:rPr>
        <w:t>4.2  Static rules and reinforcement-learning baselines</w:t>
      </w:r>
    </w:p>
    <w:p w14:paraId="74BE779B" w14:textId="77777777" w:rsidR="00AF716D" w:rsidRDefault="000A6821">
      <w:pPr>
        <w:pStyle w:val="afe"/>
        <w:ind w:firstLine="420"/>
      </w:pPr>
      <w:r>
        <w:rPr>
          <w:rFonts w:eastAsia="Times New Roman"/>
        </w:rPr>
        <w:t xml:space="preserve">The deterministic controls are mean convergence, bounded confidence, and observable cost awareness, defined by Eqs. (31)-(33); a random policy is included as a failure control. In the static identically distributed setting, all deterministic rules and Interval Meta-GDM reach 1.00 success at every N. Rules are faster and cheaper at N=10. At N=40 and 100, however, the model obtains mean rewards of 20.41 and 19.65 and cost Gini values of 0.5292 and 0.5326, the best composite reward and burden balance among deterministic methods. Thus, static tests establish </w:t>
      </w:r>
      <w:r>
        <w:rPr>
          <w:rFonts w:eastAsia="Times New Roman"/>
        </w:rPr>
        <w:t>competence, not a universal advantage over rules.</w:t>
      </w:r>
    </w:p>
    <w:p w14:paraId="49FF5ECF" w14:textId="77777777" w:rsidR="0063156C" w:rsidRDefault="009A0C0A">
      <w:pPr>
        <w:pStyle w:val="afe"/>
        <w:keepLines/>
        <w:ind w:firstLine="420"/>
        <w:jc w:val="center"/>
      </w:pPr>
      <m:oMathPara>
        <m:oMath>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up>
              <m:r>
                <w:rPr>
                  <w:rFonts w:ascii="Cambria Math" w:hAnsi="Cambria Math" w:cs="Cambria Math"/>
                  <w:sz w:val="18"/>
                </w:rPr>
                <m:t>(1)</m:t>
              </m:r>
            </m:sup>
          </m:sSubSup>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,-1,1]</m:t>
          </m:r>
          <m:r>
            <w:rPr>
              <w:rFonts w:ascii="Cambria Math" w:hAnsi="Cambria Math" w:cs="Cambria Math"/>
              <w:sz w:val="18"/>
            </w:rPr>
            <m:t>。</m:t>
          </m:r>
          <m:r>
            <w:rPr>
              <w:rFonts w:ascii="Cambria Math" w:hAnsi="Cambria Math" w:cs="Cambria Math"/>
              <w:sz w:val="18"/>
            </w:rPr>
            <m:t xml:space="preserve">   (31)</m:t>
          </m:r>
        </m:oMath>
      </m:oMathPara>
    </w:p>
    <w:p w14:paraId="64E4FB72" w14:textId="77777777" w:rsidR="0063156C" w:rsidRDefault="009A0C0A">
      <w:pPr>
        <w:pStyle w:val="afe"/>
        <w:keepLines/>
        <w:ind w:firstLine="420"/>
        <w:jc w:val="center"/>
      </w:pPr>
      <m:oMathPara>
        <m:oMath>
          <m:sSub>
            <m:sSubPr>
              <m:ctrlPr>
                <w:rPr>
                  <w:rFonts w:ascii="Cambria Math" w:hAnsi="Cambria Math"/>
                </w:rPr>
              </m:ctrlPr>
            </m:sSubPr>
            <m:e>
              <m:r>
                <m:rPr>
                  <m:scr m:val="script"/>
                </m:rPr>
                <w:rPr>
                  <w:rFonts w:ascii="Cambria Math" w:hAnsi="Cambria Math" w:cs="Cambria Math"/>
                  <w:sz w:val="18"/>
                </w:rPr>
                <m:t>N</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j</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j</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ε</m:t>
          </m:r>
          <m:r>
            <w:rPr>
              <w:rFonts w:ascii="Cambria Math" w:hAnsi="Cambria Math" w:cs="Cambria Math"/>
              <w:sz w:val="18"/>
            </w:rPr>
            <m:t>}</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up>
              <m:r>
                <w:rPr>
                  <w:rFonts w:ascii="Cambria Math" w:hAnsi="Cambria Math" w:cs="Cambria Math"/>
                  <w:sz w:val="18"/>
                </w:rPr>
                <m:t>(2)*</m:t>
              </m:r>
            </m:sup>
          </m:sSubSup>
          <m:r>
            <w:rPr>
              <w:rFonts w:ascii="Cambria Math" w:hAnsi="Cambria Math" w:cs="Cambria Math"/>
              <w:sz w:val="18"/>
            </w:rPr>
            <m:t>=</m:t>
          </m:r>
          <m:r>
            <w:rPr>
              <w:rFonts w:ascii="Cambria Math" w:hAnsi="Cambria Math" w:cs="Cambria Math"/>
              <w:sz w:val="18"/>
            </w:rPr>
            <m:t>β</m:t>
          </m:r>
          <m:r>
            <w:rPr>
              <w:rFonts w:ascii="Cambria Math" w:hAnsi="Cambria Math" w:cs="Cambria Math"/>
              <w:sz w:val="18"/>
            </w:rPr>
            <m:t>/|</m:t>
          </m:r>
          <m:sSub>
            <m:sSubPr>
              <m:ctrlPr>
                <w:rPr>
                  <w:rFonts w:ascii="Cambria Math" w:hAnsi="Cambria Math"/>
                </w:rPr>
              </m:ctrlPr>
            </m:sSubPr>
            <m:e>
              <m:r>
                <m:rPr>
                  <m:scr m:val="script"/>
                </m:rPr>
                <w:rPr>
                  <w:rFonts w:ascii="Cambria Math" w:hAnsi="Cambria Math" w:cs="Cambria Math"/>
                  <w:sz w:val="18"/>
                </w:rPr>
                <m:t>N</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j</m:t>
              </m:r>
              <m:r>
                <w:rPr>
                  <w:rFonts w:ascii="Cambria Math" w:hAnsi="Cambria Math" w:cs="Cambria Math"/>
                  <w:sz w:val="18"/>
                </w:rPr>
                <m:t>∈</m:t>
              </m:r>
              <m:r>
                <m:rPr>
                  <m:scr m:val="script"/>
                </m:rPr>
                <w:rPr>
                  <w:rFonts w:ascii="Cambria Math" w:hAnsi="Cambria Math" w:cs="Cambria Math"/>
                  <w:sz w:val="18"/>
                </w:rPr>
                <m:t>N</m:t>
              </m:r>
              <m:r>
                <w:rPr>
                  <w:rFonts w:ascii="Cambria Math" w:hAnsi="Cambria Math" w:cs="Cambria Math"/>
                  <w:sz w:val="18"/>
                </w:rPr>
                <m:t>(</m:t>
              </m:r>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r>
                <w:rPr>
                  <w:rFonts w:ascii="Cambria Math" w:hAnsi="Cambria Math" w:cs="Cambria Math"/>
                  <w:sz w:val="18"/>
                </w:rPr>
                <m:t>)</m:t>
              </m:r>
            </m:sub>
          </m:sSub>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j</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r>
            <w:rPr>
              <w:rFonts w:ascii="Cambria Math" w:hAnsi="Cambria Math" w:cs="Cambria Math"/>
              <w:sz w:val="18"/>
            </w:rPr>
            <m:t>β</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t</m:t>
              </m:r>
            </m:sub>
          </m:sSub>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up>
              <m:r>
                <w:rPr>
                  <w:rFonts w:ascii="Cambria Math" w:hAnsi="Cambria Math" w:cs="Cambria Math"/>
                  <w:sz w:val="18"/>
                </w:rPr>
                <m:t>(2)</m:t>
              </m:r>
            </m:sup>
          </m:sSubSup>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up>
              <m:r>
                <w:rPr>
                  <w:rFonts w:ascii="Cambria Math" w:hAnsi="Cambria Math" w:cs="Cambria Math"/>
                  <w:sz w:val="18"/>
                </w:rPr>
                <m:t>(2)*</m:t>
              </m:r>
            </m:sup>
          </m:sSubSup>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,-1,1]</m:t>
          </m:r>
          <m:r>
            <w:rPr>
              <w:rFonts w:ascii="Cambria Math" w:hAnsi="Cambria Math" w:cs="Cambria Math"/>
              <w:sz w:val="18"/>
            </w:rPr>
            <m:t>。</m:t>
          </m:r>
          <m:r>
            <w:rPr>
              <w:rFonts w:ascii="Cambria Math" w:hAnsi="Cambria Math" w:cs="Cambria Math"/>
              <w:sz w:val="18"/>
            </w:rPr>
            <m:t xml:space="preserve">   (32)</m:t>
          </m:r>
        </m:oMath>
      </m:oMathPara>
    </w:p>
    <w:p w14:paraId="3F8F32DC"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mean</m:t>
              </m:r>
            </m:e>
            <m:sub>
              <m:r>
                <w:rPr>
                  <w:rFonts w:ascii="Cambria Math" w:hAnsi="Cambria Math" w:cs="Cambria Math"/>
                  <w:sz w:val="18"/>
                </w:rPr>
                <m:t>k</m:t>
              </m:r>
            </m:sub>
          </m:sSub>
          <m:r>
            <w:rPr>
              <w:rFonts w:ascii="Cambria Math" w:hAnsi="Cambria Math" w:cs="Cambria Math"/>
              <w:sz w:val="18"/>
            </w:rPr>
            <m:t xml:space="preserve"> </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r</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k</m:t>
              </m:r>
            </m:sub>
          </m:sSub>
          <m:r>
            <w:rPr>
              <w:rFonts w:ascii="Cambria Math" w:hAnsi="Cambria Math" w:cs="Cambria Math"/>
              <w:sz w:val="18"/>
            </w:rPr>
            <m:t>,0)</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ρ̂</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m:rPr>
                  <m:sty m:val="p"/>
                </m:rPr>
                <w:rPr>
                  <w:rFonts w:ascii="Cambria Math" w:hAnsi="Cambria Math" w:cs="Cambria Math"/>
                  <w:sz w:val="18"/>
                </w:rPr>
                <m:t>mean</m:t>
              </m:r>
            </m:e>
            <m:sub>
              <m:r>
                <w:rPr>
                  <w:rFonts w:ascii="Cambria Math" w:hAnsi="Cambria Math" w:cs="Cambria Math"/>
                  <w:sz w:val="18"/>
                </w:rPr>
                <m:t>k</m:t>
              </m:r>
            </m:sub>
          </m:sSub>
          <m:r>
            <w:rPr>
              <w:rFonts w:ascii="Cambria Math" w:hAnsi="Cambria Math" w:cs="Cambria Math"/>
              <w:sz w:val="18"/>
            </w:rPr>
            <m:t xml:space="preserve"> |</m:t>
          </m:r>
          <m:sSub>
            <m:sSubPr>
              <m:ctrlPr>
                <w:rPr>
                  <w:rFonts w:ascii="Cambria Math" w:hAnsi="Cambria Math"/>
                </w:rPr>
              </m:ctrlPr>
            </m:sSubPr>
            <m:e>
              <m:r>
                <w:rPr>
                  <w:rFonts w:ascii="Cambria Math" w:hAnsi="Cambria Math" w:cs="Cambria Math"/>
                  <w:sz w:val="18"/>
                </w:rPr>
                <m:t>m</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k</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b̂</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s</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=1/</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w</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Σ</m:t>
              </m:r>
            </m:e>
            <m:sub>
              <m:r>
                <w:rPr>
                  <w:rFonts w:ascii="Cambria Math" w:hAnsi="Cambria Math" w:cs="Cambria Math"/>
                  <w:sz w:val="18"/>
                </w:rPr>
                <m:t>i</m:t>
              </m:r>
            </m:sub>
          </m:sSub>
          <m:sSub>
            <m:sSubPr>
              <m:ctrlPr>
                <w:rPr>
                  <w:rFonts w:ascii="Cambria Math" w:hAnsi="Cambria Math"/>
                </w:rPr>
              </m:ctrlPr>
            </m:sSubPr>
            <m:e>
              <m:r>
                <w:rPr>
                  <w:rFonts w:ascii="Cambria Math" w:hAnsi="Cambria Math" w:cs="Cambria Math"/>
                  <w:sz w:val="18"/>
                </w:rPr>
                <m:t>w</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λ</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m:rPr>
              <m:sty m:val="p"/>
            </m:rPr>
            <w:rPr>
              <w:rFonts w:ascii="Cambria Math" w:hAnsi="Cambria Math" w:cs="Cambria Math"/>
              <w:sz w:val="18"/>
            </w:rPr>
            <m:t>clip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cs="Cambria Math"/>
                  <w:sz w:val="18"/>
                </w:rPr>
                <m:t>ρ̂</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q̂</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r>
            <w:rPr>
              <w:rFonts w:ascii="Cambria Math" w:hAnsi="Cambria Math"/>
            </w:rPr>
            <m:t>,1]</m:t>
          </m:r>
          <m:r>
            <w:rPr>
              <w:rFonts w:ascii="Cambria Math" w:hAnsi="Cambria Math" w:cs="Cambria Math"/>
              <w:sz w:val="18"/>
            </w:rPr>
            <m:t>；</m:t>
          </m:r>
          <m:sSubSup>
            <m:sSubSupPr>
              <m:ctrlPr>
                <w:rPr>
                  <w:rFonts w:ascii="Cambria Math" w:hAnsi="Cambria Math"/>
                </w:rPr>
              </m:ctrlPr>
            </m:sSubSupPr>
            <m:e>
              <m:r>
                <w:rPr>
                  <w:rFonts w:ascii="Cambria Math" w:hAnsi="Cambria Math" w:cs="Cambria Math"/>
                  <w:sz w:val="18"/>
                </w:rPr>
                <m:t>a</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up>
              <m:r>
                <w:rPr>
                  <w:rFonts w:ascii="Cambria Math" w:hAnsi="Cambria Math" w:cs="Cambria Math"/>
                  <w:sz w:val="18"/>
                </w:rPr>
                <m:t>(3)</m:t>
              </m:r>
            </m:sup>
          </m:sSubSup>
          <m:r>
            <w:rPr>
              <w:rFonts w:ascii="Cambria Math" w:hAnsi="Cambria Math" w:cs="Cambria Math"/>
              <w:sz w:val="18"/>
            </w:rPr>
            <m:t>=</m:t>
          </m:r>
          <m:r>
            <m:rPr>
              <m:sty m:val="p"/>
            </m:rPr>
            <w:rPr>
              <w:rFonts w:ascii="Cambria Math" w:hAnsi="Cambria Math" w:cs="Cambria Math"/>
              <w:sz w:val="18"/>
            </w:rPr>
            <m:t>clip</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λ</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w</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r>
            <w:rPr>
              <w:rFonts w:ascii="Cambria Math" w:hAnsi="Cambria Math" w:cs="Cambria Math"/>
              <w:sz w:val="18"/>
            </w:rPr>
            <m:t>Δ</m:t>
          </m:r>
          <m:r>
            <w:rPr>
              <w:rFonts w:ascii="Cambria Math" w:hAnsi="Cambria Math" w:cs="Cambria Math"/>
              <w:sz w:val="18"/>
            </w:rPr>
            <m:t>,-1,1]</m:t>
          </m:r>
          <m:r>
            <w:rPr>
              <w:rFonts w:ascii="Cambria Math" w:hAnsi="Cambria Math" w:cs="Cambria Math"/>
              <w:sz w:val="18"/>
            </w:rPr>
            <m:t>。</m:t>
          </m:r>
          <m:r>
            <w:rPr>
              <w:rFonts w:ascii="Cambria Math" w:hAnsi="Cambria Math" w:cs="Cambria Math"/>
              <w:sz w:val="18"/>
            </w:rPr>
            <m:t xml:space="preserve">   (33)</m:t>
          </m:r>
        </m:oMath>
      </m:oMathPara>
    </w:p>
    <w:p w14:paraId="739EF1B8" w14:textId="7CE3B119" w:rsidR="00AF716D" w:rsidRDefault="000A6821">
      <w:pPr>
        <w:pStyle w:val="afe"/>
        <w:ind w:firstLine="420"/>
      </w:pPr>
      <w:r>
        <w:rPr>
          <w:rFonts w:eastAsia="Times New Roman"/>
        </w:rPr>
        <w:t xml:space="preserve">Figure 3 compares fixed-dimensional PPO, DDPG, and SAC baselines. At N=10, the proposed model reaches 0.96 success in 15.12 rounds, versus 0.94/20.40 for PPO and 0.82/32.60 and 0.82/34.04 for DDPG and SAC. At N=40, all three baselines fail within 120 rounds, whereas Interval Meta-GDM reaches 1.00 success in 16.72 rounds with no boundary violations. Low cost from a failed baseline is not treated as an advantage. </w:t>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BibRef031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31</w:t>
      </w:r>
      <w:r>
        <w:rPr>
          <w:rFonts w:eastAsia="Times New Roman"/>
          <w:vertAlign w:val="superscript"/>
        </w:rPr>
        <w:fldChar w:fldCharType="end"/>
      </w:r>
      <w:r>
        <w:rPr>
          <w:rFonts w:eastAsia="Times New Roman"/>
          <w:vertAlign w:val="superscript"/>
        </w:rPr>
        <w:t>,</w:t>
      </w:r>
      <w:r>
        <w:rPr>
          <w:rFonts w:eastAsia="Times New Roman"/>
          <w:vertAlign w:val="superscript"/>
        </w:rPr>
        <w:fldChar w:fldCharType="begin"/>
      </w:r>
      <w:r>
        <w:rPr>
          <w:rFonts w:eastAsia="Times New Roman"/>
          <w:vertAlign w:val="superscript"/>
        </w:rPr>
        <w:instrText xml:space="preserve"> REF BibRef032 \h \* MERGEFORMAT </w:instrText>
      </w:r>
      <w:r>
        <w:rPr>
          <w:rFonts w:eastAsia="Times New Roman"/>
          <w:vertAlign w:val="superscript"/>
        </w:rPr>
      </w:r>
      <w:r>
        <w:rPr>
          <w:rFonts w:eastAsia="Times New Roman"/>
          <w:vertAlign w:val="superscript"/>
        </w:rPr>
        <w:fldChar w:fldCharType="separate"/>
      </w:r>
      <w:r w:rsidR="0015361B" w:rsidRPr="0015361B">
        <w:rPr>
          <w:rFonts w:eastAsia="Times New Roman"/>
          <w:vertAlign w:val="superscript"/>
        </w:rPr>
        <w:t>32</w:t>
      </w:r>
      <w:r>
        <w:rPr>
          <w:rFonts w:eastAsia="Times New Roman"/>
          <w:vertAlign w:val="superscript"/>
        </w:rPr>
        <w:fldChar w:fldCharType="end"/>
      </w:r>
      <w:r>
        <w:rPr>
          <w:rFonts w:eastAsia="Times New Roman"/>
          <w:vertAlign w:val="superscript"/>
        </w:rPr>
        <w:t>]</w:t>
      </w:r>
    </w:p>
    <w:p w14:paraId="33AC0AD8"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37"/>
        <w:gridCol w:w="4637"/>
      </w:tblGrid>
      <w:tr w:rsidR="009D1838" w14:paraId="665A7997" w14:textId="77777777">
        <w:trPr>
          <w:cantSplit/>
          <w:jc w:val="center"/>
        </w:trPr>
        <w:tc>
          <w:tcPr>
            <w:tcW w:w="4637" w:type="dxa"/>
            <w:tcMar>
              <w:top w:w="10" w:type="dxa"/>
              <w:left w:w="10" w:type="dxa"/>
              <w:bottom w:w="10" w:type="dxa"/>
              <w:right w:w="10" w:type="dxa"/>
            </w:tcMar>
            <w:vAlign w:val="center"/>
          </w:tcPr>
          <w:p w14:paraId="6A28C2A1" w14:textId="77777777" w:rsidR="009D1838" w:rsidRDefault="00951CBC">
            <w:pPr>
              <w:jc w:val="center"/>
            </w:pPr>
            <w:r>
              <w:rPr>
                <w:noProof/>
              </w:rPr>
              <w:drawing>
                <wp:inline distT="0" distB="0" distL="0" distR="0" wp14:anchorId="7A112972" wp14:editId="7F6FED20">
                  <wp:extent cx="2788920" cy="20249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_legend_outside.png"/>
                          <pic:cNvPicPr/>
                        </pic:nvPicPr>
                        <pic:blipFill>
                          <a:blip r:embed="rId17"/>
                          <a:stretch>
                            <a:fillRect/>
                          </a:stretch>
                        </pic:blipFill>
                        <pic:spPr>
                          <a:xfrm>
                            <a:off x="0" y="0"/>
                            <a:ext cx="2788920" cy="2024972"/>
                          </a:xfrm>
                          <a:prstGeom prst="rect">
                            <a:avLst/>
                          </a:prstGeom>
                        </pic:spPr>
                      </pic:pic>
                    </a:graphicData>
                  </a:graphic>
                </wp:inline>
              </w:drawing>
            </w:r>
          </w:p>
          <w:p w14:paraId="38BF833D" w14:textId="77777777" w:rsidR="009D1838" w:rsidRDefault="00951CBC">
            <w:pPr>
              <w:jc w:val="center"/>
            </w:pPr>
            <w:r>
              <w:rPr>
                <w:rFonts w:eastAsia="Times New Roman"/>
                <w:b/>
                <w:sz w:val="18"/>
              </w:rPr>
              <w:t>(a)</w:t>
            </w:r>
          </w:p>
        </w:tc>
        <w:tc>
          <w:tcPr>
            <w:tcW w:w="4637" w:type="dxa"/>
            <w:tcMar>
              <w:top w:w="10" w:type="dxa"/>
              <w:left w:w="10" w:type="dxa"/>
              <w:bottom w:w="10" w:type="dxa"/>
              <w:right w:w="10" w:type="dxa"/>
            </w:tcMar>
            <w:vAlign w:val="center"/>
          </w:tcPr>
          <w:p w14:paraId="261A9274" w14:textId="77777777" w:rsidR="009D1838" w:rsidRDefault="00951CBC">
            <w:pPr>
              <w:jc w:val="center"/>
            </w:pPr>
            <w:r>
              <w:rPr>
                <w:noProof/>
              </w:rPr>
              <w:drawing>
                <wp:inline distT="0" distB="0" distL="0" distR="0" wp14:anchorId="03E8E86E" wp14:editId="1929648F">
                  <wp:extent cx="2788920" cy="20249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b_legend_outside.png"/>
                          <pic:cNvPicPr/>
                        </pic:nvPicPr>
                        <pic:blipFill>
                          <a:blip r:embed="rId18"/>
                          <a:stretch>
                            <a:fillRect/>
                          </a:stretch>
                        </pic:blipFill>
                        <pic:spPr>
                          <a:xfrm>
                            <a:off x="0" y="0"/>
                            <a:ext cx="2788920" cy="2024972"/>
                          </a:xfrm>
                          <a:prstGeom prst="rect">
                            <a:avLst/>
                          </a:prstGeom>
                        </pic:spPr>
                      </pic:pic>
                    </a:graphicData>
                  </a:graphic>
                </wp:inline>
              </w:drawing>
            </w:r>
          </w:p>
          <w:p w14:paraId="64713711" w14:textId="77777777" w:rsidR="009D1838" w:rsidRDefault="00951CBC">
            <w:pPr>
              <w:jc w:val="center"/>
            </w:pPr>
            <w:r>
              <w:rPr>
                <w:rFonts w:eastAsia="Times New Roman"/>
                <w:b/>
                <w:sz w:val="18"/>
              </w:rPr>
              <w:t>(b)</w:t>
            </w:r>
          </w:p>
        </w:tc>
      </w:tr>
      <w:tr w:rsidR="009D1838" w14:paraId="36046F05" w14:textId="77777777">
        <w:trPr>
          <w:cantSplit/>
          <w:jc w:val="center"/>
        </w:trPr>
        <w:tc>
          <w:tcPr>
            <w:tcW w:w="4637" w:type="dxa"/>
            <w:tcMar>
              <w:top w:w="10" w:type="dxa"/>
              <w:left w:w="10" w:type="dxa"/>
              <w:bottom w:w="10" w:type="dxa"/>
              <w:right w:w="10" w:type="dxa"/>
            </w:tcMar>
            <w:vAlign w:val="center"/>
          </w:tcPr>
          <w:p w14:paraId="37F77DB5" w14:textId="77777777" w:rsidR="009D1838" w:rsidRDefault="00951CBC">
            <w:pPr>
              <w:jc w:val="center"/>
            </w:pPr>
            <w:r>
              <w:rPr>
                <w:noProof/>
              </w:rPr>
              <w:lastRenderedPageBreak/>
              <w:drawing>
                <wp:inline distT="0" distB="0" distL="0" distR="0" wp14:anchorId="640375F3" wp14:editId="73D0C75D">
                  <wp:extent cx="2788920" cy="20249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_legend_outside.png"/>
                          <pic:cNvPicPr/>
                        </pic:nvPicPr>
                        <pic:blipFill>
                          <a:blip r:embed="rId19"/>
                          <a:stretch>
                            <a:fillRect/>
                          </a:stretch>
                        </pic:blipFill>
                        <pic:spPr>
                          <a:xfrm>
                            <a:off x="0" y="0"/>
                            <a:ext cx="2788920" cy="2024972"/>
                          </a:xfrm>
                          <a:prstGeom prst="rect">
                            <a:avLst/>
                          </a:prstGeom>
                        </pic:spPr>
                      </pic:pic>
                    </a:graphicData>
                  </a:graphic>
                </wp:inline>
              </w:drawing>
            </w:r>
          </w:p>
          <w:p w14:paraId="2C9E5927" w14:textId="77777777" w:rsidR="009D1838" w:rsidRDefault="00951CBC">
            <w:pPr>
              <w:jc w:val="center"/>
            </w:pPr>
            <w:r>
              <w:rPr>
                <w:rFonts w:eastAsia="Times New Roman"/>
                <w:b/>
                <w:sz w:val="18"/>
              </w:rPr>
              <w:t>(c)</w:t>
            </w:r>
          </w:p>
        </w:tc>
        <w:tc>
          <w:tcPr>
            <w:tcW w:w="4637" w:type="dxa"/>
            <w:tcMar>
              <w:top w:w="10" w:type="dxa"/>
              <w:left w:w="10" w:type="dxa"/>
              <w:bottom w:w="10" w:type="dxa"/>
              <w:right w:w="10" w:type="dxa"/>
            </w:tcMar>
            <w:vAlign w:val="center"/>
          </w:tcPr>
          <w:p w14:paraId="51CF032F" w14:textId="77777777" w:rsidR="009D1838" w:rsidRDefault="00951CBC">
            <w:pPr>
              <w:jc w:val="center"/>
            </w:pPr>
            <w:r>
              <w:rPr>
                <w:noProof/>
              </w:rPr>
              <w:drawing>
                <wp:inline distT="0" distB="0" distL="0" distR="0" wp14:anchorId="2B7D1DB1" wp14:editId="79E8E025">
                  <wp:extent cx="2788920" cy="2024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d_legend_outside.png"/>
                          <pic:cNvPicPr/>
                        </pic:nvPicPr>
                        <pic:blipFill>
                          <a:blip r:embed="rId20"/>
                          <a:stretch>
                            <a:fillRect/>
                          </a:stretch>
                        </pic:blipFill>
                        <pic:spPr>
                          <a:xfrm>
                            <a:off x="0" y="0"/>
                            <a:ext cx="2788920" cy="2024972"/>
                          </a:xfrm>
                          <a:prstGeom prst="rect">
                            <a:avLst/>
                          </a:prstGeom>
                        </pic:spPr>
                      </pic:pic>
                    </a:graphicData>
                  </a:graphic>
                </wp:inline>
              </w:drawing>
            </w:r>
          </w:p>
          <w:p w14:paraId="0DBA0FFF" w14:textId="77777777" w:rsidR="009D1838" w:rsidRDefault="00951CBC">
            <w:pPr>
              <w:jc w:val="center"/>
            </w:pPr>
            <w:r>
              <w:rPr>
                <w:rFonts w:eastAsia="Times New Roman"/>
                <w:b/>
                <w:sz w:val="18"/>
              </w:rPr>
              <w:t>(d)</w:t>
            </w:r>
          </w:p>
        </w:tc>
      </w:tr>
    </w:tbl>
    <w:p w14:paraId="6323F44C" w14:textId="77777777" w:rsidR="00AF716D" w:rsidRDefault="000A6821">
      <w:pPr>
        <w:pStyle w:val="afffc"/>
      </w:pPr>
      <w:r>
        <w:rPr>
          <w:rFonts w:eastAsia="Times New Roman"/>
        </w:rPr>
        <w:t>Fig. 3  Reinforcement-Learning Baselines: (a) Success; (b) Rounds; (c) Cost; (d) Reward</w:t>
      </w:r>
    </w:p>
    <w:p w14:paraId="755FED82"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7C2795A0" w14:textId="77777777" w:rsidR="00AF716D" w:rsidRDefault="000A6821">
      <w:pPr>
        <w:pStyle w:val="aff"/>
        <w:keepNext/>
        <w:keepLines/>
        <w:widowControl w:val="0"/>
        <w:spacing w:before="156" w:after="156"/>
        <w:jc w:val="left"/>
      </w:pPr>
      <w:r>
        <w:rPr>
          <w:rFonts w:eastAsia="Times New Roman"/>
        </w:rPr>
        <w:t>4.3  Interval fuzziness, scale transfer, and hidden heterogeneity</w:t>
      </w:r>
    </w:p>
    <w:p w14:paraId="15A40FA4" w14:textId="77777777" w:rsidR="00AF716D" w:rsidRDefault="000A6821">
      <w:pPr>
        <w:pStyle w:val="afe"/>
        <w:ind w:firstLine="420"/>
      </w:pPr>
      <w:r>
        <w:rPr>
          <w:rFonts w:eastAsia="Times New Roman"/>
        </w:rPr>
        <w:t xml:space="preserve">Point-valued [0,0] and narrow-interval [0.01,0.04] tests reach 1.00 success at N=10, 40, and 100, showing compatibility with precise and mildly uncertain preferences. Under the training interval [0.02,0.08], success is 0.96, 1.00, and 1.00; AUC is 0.8698, 0.8392, and 0.8417. The checkpoint trained at N=10 is reused unchanged at N=40 and 100, where it requires 19.46 and 19.16 rounds. The small efficiency loss without retraining supports cross-scale reuse </w:t>
      </w:r>
      <w:r>
        <w:rPr>
          <w:rFonts w:eastAsia="Times New Roman"/>
        </w:rPr>
        <w:t>within the tested distributions.</w:t>
      </w:r>
    </w:p>
    <w:p w14:paraId="51F8CB70" w14:textId="77777777" w:rsidR="00AF716D" w:rsidRDefault="000A6821">
      <w:pPr>
        <w:pStyle w:val="afe"/>
        <w:ind w:firstLine="420"/>
      </w:pPr>
      <w:r>
        <w:rPr>
          <w:rFonts w:eastAsia="Times New Roman"/>
        </w:rPr>
        <w:t>Hidden-heterogeneity tests vary stubbornness, cost sensitivity, and response type while withholding those parameters from every method. Figure 4 shows that Interval Meta-GDM reaches 0.98, 1.00, and 1.00 success, compared with 0.80, 0.64, and 0.36 for the strongest mean rule. It saves 21.92, 45.28, and 72.84 rounds and gains 21.22, 49.00, and 81.41 reward units; paired success intervals lie above zero. Total costs are higher (28.05, 121.14, and 303.62 versus 24.10, 106.71, and 271.00), so the advantage is higher success, speed, reward, and fairness rather than minimum cost.</w:t>
      </w:r>
    </w:p>
    <w:p w14:paraId="50A15EC1"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37"/>
        <w:gridCol w:w="4637"/>
      </w:tblGrid>
      <w:tr w:rsidR="009D1838" w14:paraId="205CB773" w14:textId="77777777">
        <w:trPr>
          <w:cantSplit/>
          <w:jc w:val="center"/>
        </w:trPr>
        <w:tc>
          <w:tcPr>
            <w:tcW w:w="4637" w:type="dxa"/>
            <w:tcMar>
              <w:top w:w="10" w:type="dxa"/>
              <w:left w:w="10" w:type="dxa"/>
              <w:bottom w:w="10" w:type="dxa"/>
              <w:right w:w="10" w:type="dxa"/>
            </w:tcMar>
            <w:vAlign w:val="center"/>
          </w:tcPr>
          <w:p w14:paraId="59BCEE80" w14:textId="77777777" w:rsidR="009D1838" w:rsidRDefault="00951CBC">
            <w:pPr>
              <w:jc w:val="center"/>
            </w:pPr>
            <w:r>
              <w:rPr>
                <w:noProof/>
              </w:rPr>
              <w:drawing>
                <wp:inline distT="0" distB="0" distL="0" distR="0" wp14:anchorId="75EBEB44" wp14:editId="76AD8B68">
                  <wp:extent cx="2788920" cy="20413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a.png"/>
                          <pic:cNvPicPr/>
                        </pic:nvPicPr>
                        <pic:blipFill>
                          <a:blip r:embed="rId21"/>
                          <a:stretch>
                            <a:fillRect/>
                          </a:stretch>
                        </pic:blipFill>
                        <pic:spPr>
                          <a:xfrm>
                            <a:off x="0" y="0"/>
                            <a:ext cx="2788920" cy="2041354"/>
                          </a:xfrm>
                          <a:prstGeom prst="rect">
                            <a:avLst/>
                          </a:prstGeom>
                        </pic:spPr>
                      </pic:pic>
                    </a:graphicData>
                  </a:graphic>
                </wp:inline>
              </w:drawing>
            </w:r>
          </w:p>
          <w:p w14:paraId="40167CEA" w14:textId="77777777" w:rsidR="009D1838" w:rsidRDefault="00951CBC">
            <w:pPr>
              <w:jc w:val="center"/>
            </w:pPr>
            <w:r>
              <w:rPr>
                <w:rFonts w:eastAsia="Times New Roman"/>
                <w:b/>
                <w:sz w:val="18"/>
              </w:rPr>
              <w:t>(a)</w:t>
            </w:r>
          </w:p>
        </w:tc>
        <w:tc>
          <w:tcPr>
            <w:tcW w:w="4637" w:type="dxa"/>
            <w:tcMar>
              <w:top w:w="10" w:type="dxa"/>
              <w:left w:w="10" w:type="dxa"/>
              <w:bottom w:w="10" w:type="dxa"/>
              <w:right w:w="10" w:type="dxa"/>
            </w:tcMar>
            <w:vAlign w:val="center"/>
          </w:tcPr>
          <w:p w14:paraId="39C303BC" w14:textId="77777777" w:rsidR="009D1838" w:rsidRDefault="00951CBC">
            <w:pPr>
              <w:jc w:val="center"/>
            </w:pPr>
            <w:r>
              <w:rPr>
                <w:noProof/>
              </w:rPr>
              <w:drawing>
                <wp:inline distT="0" distB="0" distL="0" distR="0" wp14:anchorId="7ACA10C9" wp14:editId="34F2E089">
                  <wp:extent cx="2788920" cy="20413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png"/>
                          <pic:cNvPicPr/>
                        </pic:nvPicPr>
                        <pic:blipFill>
                          <a:blip r:embed="rId22"/>
                          <a:stretch>
                            <a:fillRect/>
                          </a:stretch>
                        </pic:blipFill>
                        <pic:spPr>
                          <a:xfrm>
                            <a:off x="0" y="0"/>
                            <a:ext cx="2788920" cy="2041354"/>
                          </a:xfrm>
                          <a:prstGeom prst="rect">
                            <a:avLst/>
                          </a:prstGeom>
                        </pic:spPr>
                      </pic:pic>
                    </a:graphicData>
                  </a:graphic>
                </wp:inline>
              </w:drawing>
            </w:r>
          </w:p>
          <w:p w14:paraId="09731E43" w14:textId="77777777" w:rsidR="009D1838" w:rsidRDefault="00951CBC">
            <w:pPr>
              <w:jc w:val="center"/>
            </w:pPr>
            <w:r>
              <w:rPr>
                <w:rFonts w:eastAsia="Times New Roman"/>
                <w:b/>
                <w:sz w:val="18"/>
              </w:rPr>
              <w:t>(b)</w:t>
            </w:r>
          </w:p>
        </w:tc>
      </w:tr>
      <w:tr w:rsidR="009D1838" w14:paraId="5D2392FB" w14:textId="77777777">
        <w:trPr>
          <w:cantSplit/>
          <w:jc w:val="center"/>
        </w:trPr>
        <w:tc>
          <w:tcPr>
            <w:tcW w:w="4637" w:type="dxa"/>
            <w:tcMar>
              <w:top w:w="10" w:type="dxa"/>
              <w:left w:w="10" w:type="dxa"/>
              <w:bottom w:w="10" w:type="dxa"/>
              <w:right w:w="10" w:type="dxa"/>
            </w:tcMar>
            <w:vAlign w:val="center"/>
          </w:tcPr>
          <w:p w14:paraId="1FF678B7" w14:textId="77777777" w:rsidR="009D1838" w:rsidRDefault="00951CBC">
            <w:pPr>
              <w:jc w:val="center"/>
            </w:pPr>
            <w:r>
              <w:rPr>
                <w:noProof/>
              </w:rPr>
              <w:lastRenderedPageBreak/>
              <w:drawing>
                <wp:inline distT="0" distB="0" distL="0" distR="0" wp14:anchorId="649CC8CD" wp14:editId="6DD042ED">
                  <wp:extent cx="2788920" cy="20413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c.png"/>
                          <pic:cNvPicPr/>
                        </pic:nvPicPr>
                        <pic:blipFill>
                          <a:blip r:embed="rId23"/>
                          <a:stretch>
                            <a:fillRect/>
                          </a:stretch>
                        </pic:blipFill>
                        <pic:spPr>
                          <a:xfrm>
                            <a:off x="0" y="0"/>
                            <a:ext cx="2788920" cy="2041354"/>
                          </a:xfrm>
                          <a:prstGeom prst="rect">
                            <a:avLst/>
                          </a:prstGeom>
                        </pic:spPr>
                      </pic:pic>
                    </a:graphicData>
                  </a:graphic>
                </wp:inline>
              </w:drawing>
            </w:r>
          </w:p>
          <w:p w14:paraId="4D81D853" w14:textId="77777777" w:rsidR="009D1838" w:rsidRDefault="00951CBC">
            <w:pPr>
              <w:jc w:val="center"/>
            </w:pPr>
            <w:r>
              <w:rPr>
                <w:rFonts w:eastAsia="Times New Roman"/>
                <w:b/>
                <w:sz w:val="18"/>
              </w:rPr>
              <w:t>(c)</w:t>
            </w:r>
          </w:p>
        </w:tc>
        <w:tc>
          <w:tcPr>
            <w:tcW w:w="4637" w:type="dxa"/>
            <w:tcMar>
              <w:top w:w="10" w:type="dxa"/>
              <w:left w:w="10" w:type="dxa"/>
              <w:bottom w:w="10" w:type="dxa"/>
              <w:right w:w="10" w:type="dxa"/>
            </w:tcMar>
            <w:vAlign w:val="center"/>
          </w:tcPr>
          <w:p w14:paraId="0954CBD0" w14:textId="77777777" w:rsidR="009D1838" w:rsidRDefault="00951CBC">
            <w:pPr>
              <w:jc w:val="center"/>
            </w:pPr>
            <w:r>
              <w:rPr>
                <w:noProof/>
              </w:rPr>
              <w:drawing>
                <wp:inline distT="0" distB="0" distL="0" distR="0" wp14:anchorId="69A471DC" wp14:editId="64B0F730">
                  <wp:extent cx="2788920" cy="20413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d.png"/>
                          <pic:cNvPicPr/>
                        </pic:nvPicPr>
                        <pic:blipFill>
                          <a:blip r:embed="rId24"/>
                          <a:stretch>
                            <a:fillRect/>
                          </a:stretch>
                        </pic:blipFill>
                        <pic:spPr>
                          <a:xfrm>
                            <a:off x="0" y="0"/>
                            <a:ext cx="2788920" cy="2041354"/>
                          </a:xfrm>
                          <a:prstGeom prst="rect">
                            <a:avLst/>
                          </a:prstGeom>
                        </pic:spPr>
                      </pic:pic>
                    </a:graphicData>
                  </a:graphic>
                </wp:inline>
              </w:drawing>
            </w:r>
          </w:p>
          <w:p w14:paraId="151B8E02" w14:textId="77777777" w:rsidR="009D1838" w:rsidRDefault="00951CBC">
            <w:pPr>
              <w:jc w:val="center"/>
            </w:pPr>
            <w:r>
              <w:rPr>
                <w:rFonts w:eastAsia="Times New Roman"/>
                <w:b/>
                <w:sz w:val="18"/>
              </w:rPr>
              <w:t>(d)</w:t>
            </w:r>
          </w:p>
        </w:tc>
      </w:tr>
    </w:tbl>
    <w:p w14:paraId="38CA8020" w14:textId="77777777" w:rsidR="00AF716D" w:rsidRDefault="000A6821">
      <w:pPr>
        <w:pStyle w:val="afffc"/>
      </w:pPr>
      <w:r>
        <w:rPr>
          <w:rFonts w:eastAsia="Times New Roman"/>
        </w:rPr>
        <w:t>Fig. 4  Hidden Heterogeneity: (a) Success; (b) Rounds; (c) Reward; (d) Cost</w:t>
      </w:r>
    </w:p>
    <w:p w14:paraId="4BA21667"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244251E6" w14:textId="77777777" w:rsidR="00AF716D" w:rsidRDefault="000A6821">
      <w:pPr>
        <w:pStyle w:val="aff"/>
        <w:keepNext/>
        <w:keepLines/>
        <w:widowControl w:val="0"/>
        <w:spacing w:before="156" w:after="156"/>
        <w:jc w:val="left"/>
      </w:pPr>
      <w:r>
        <w:rPr>
          <w:rFonts w:eastAsia="Times New Roman"/>
        </w:rPr>
        <w:t>4.4  Context ablation</w:t>
      </w:r>
    </w:p>
    <w:p w14:paraId="1F4CAE49" w14:textId="77777777" w:rsidR="00AF716D" w:rsidRDefault="000A6821">
      <w:pPr>
        <w:pStyle w:val="afe"/>
        <w:ind w:firstLine="420"/>
      </w:pPr>
      <w:r>
        <w:rPr>
          <w:rFonts w:eastAsia="Times New Roman"/>
        </w:rPr>
        <w:t xml:space="preserve">The zero-history condition masks only the ten-round encoder input while keeping the frozen Actor, attention module, environment, and paired seeds unchanged. Real history raises success by 14, 22, and 44 percentage points at N=10, 40, and 100, with 95% </w:t>
      </w:r>
      <w:r>
        <w:rPr>
          <w:rFonts w:eastAsia="Times New Roman"/>
        </w:rPr>
        <w:t>intervals [6,24], [12,34], and [30,58]. AUC gains are 0.0747, 0.0704, and 0.1338. Mean rounds fall from 35.74 to 17.40, 53.06 to 17.90, and 74.74 to 20.32; total cost falls by 7.45, 56.33, and 171.13. The paired design therefore attributes the difference to usable historical information, while a separately retrained context-free network remains a future structural ablation.</w:t>
      </w:r>
    </w:p>
    <w:p w14:paraId="5BC6F62B"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37"/>
        <w:gridCol w:w="4637"/>
      </w:tblGrid>
      <w:tr w:rsidR="009D1838" w14:paraId="0B55B8CB" w14:textId="77777777">
        <w:trPr>
          <w:cantSplit/>
          <w:jc w:val="center"/>
        </w:trPr>
        <w:tc>
          <w:tcPr>
            <w:tcW w:w="4637" w:type="dxa"/>
            <w:tcMar>
              <w:top w:w="10" w:type="dxa"/>
              <w:left w:w="10" w:type="dxa"/>
              <w:bottom w:w="10" w:type="dxa"/>
              <w:right w:w="10" w:type="dxa"/>
            </w:tcMar>
            <w:vAlign w:val="center"/>
          </w:tcPr>
          <w:p w14:paraId="7ADEACAE" w14:textId="77777777" w:rsidR="009D1838" w:rsidRDefault="00951CBC">
            <w:pPr>
              <w:jc w:val="center"/>
            </w:pPr>
            <w:r>
              <w:rPr>
                <w:noProof/>
              </w:rPr>
              <w:drawing>
                <wp:inline distT="0" distB="0" distL="0" distR="0" wp14:anchorId="7407C659" wp14:editId="69514355">
                  <wp:extent cx="2788920" cy="20249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a.png"/>
                          <pic:cNvPicPr/>
                        </pic:nvPicPr>
                        <pic:blipFill>
                          <a:blip r:embed="rId25"/>
                          <a:stretch>
                            <a:fillRect/>
                          </a:stretch>
                        </pic:blipFill>
                        <pic:spPr>
                          <a:xfrm>
                            <a:off x="0" y="0"/>
                            <a:ext cx="2788920" cy="2024972"/>
                          </a:xfrm>
                          <a:prstGeom prst="rect">
                            <a:avLst/>
                          </a:prstGeom>
                        </pic:spPr>
                      </pic:pic>
                    </a:graphicData>
                  </a:graphic>
                </wp:inline>
              </w:drawing>
            </w:r>
          </w:p>
          <w:p w14:paraId="4B937FFA" w14:textId="77777777" w:rsidR="009D1838" w:rsidRDefault="00951CBC">
            <w:pPr>
              <w:jc w:val="center"/>
            </w:pPr>
            <w:r>
              <w:rPr>
                <w:rFonts w:eastAsia="Times New Roman"/>
                <w:b/>
                <w:sz w:val="18"/>
              </w:rPr>
              <w:t>(a)</w:t>
            </w:r>
          </w:p>
        </w:tc>
        <w:tc>
          <w:tcPr>
            <w:tcW w:w="4637" w:type="dxa"/>
            <w:tcMar>
              <w:top w:w="10" w:type="dxa"/>
              <w:left w:w="10" w:type="dxa"/>
              <w:bottom w:w="10" w:type="dxa"/>
              <w:right w:w="10" w:type="dxa"/>
            </w:tcMar>
            <w:vAlign w:val="center"/>
          </w:tcPr>
          <w:p w14:paraId="74A181E5" w14:textId="77777777" w:rsidR="009D1838" w:rsidRDefault="00951CBC">
            <w:pPr>
              <w:jc w:val="center"/>
            </w:pPr>
            <w:r>
              <w:rPr>
                <w:noProof/>
              </w:rPr>
              <w:drawing>
                <wp:inline distT="0" distB="0" distL="0" distR="0" wp14:anchorId="6D910F95" wp14:editId="710FC30F">
                  <wp:extent cx="2788920" cy="20249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b.png"/>
                          <pic:cNvPicPr/>
                        </pic:nvPicPr>
                        <pic:blipFill>
                          <a:blip r:embed="rId26"/>
                          <a:stretch>
                            <a:fillRect/>
                          </a:stretch>
                        </pic:blipFill>
                        <pic:spPr>
                          <a:xfrm>
                            <a:off x="0" y="0"/>
                            <a:ext cx="2788920" cy="2024972"/>
                          </a:xfrm>
                          <a:prstGeom prst="rect">
                            <a:avLst/>
                          </a:prstGeom>
                        </pic:spPr>
                      </pic:pic>
                    </a:graphicData>
                  </a:graphic>
                </wp:inline>
              </w:drawing>
            </w:r>
          </w:p>
          <w:p w14:paraId="7301137E" w14:textId="77777777" w:rsidR="009D1838" w:rsidRDefault="00951CBC">
            <w:pPr>
              <w:jc w:val="center"/>
            </w:pPr>
            <w:r>
              <w:rPr>
                <w:rFonts w:eastAsia="Times New Roman"/>
                <w:b/>
                <w:sz w:val="18"/>
              </w:rPr>
              <w:t>(b)</w:t>
            </w:r>
          </w:p>
        </w:tc>
      </w:tr>
      <w:tr w:rsidR="009D1838" w14:paraId="3C2FD3CF" w14:textId="77777777">
        <w:trPr>
          <w:cantSplit/>
          <w:jc w:val="center"/>
        </w:trPr>
        <w:tc>
          <w:tcPr>
            <w:tcW w:w="4637" w:type="dxa"/>
            <w:tcMar>
              <w:top w:w="10" w:type="dxa"/>
              <w:left w:w="10" w:type="dxa"/>
              <w:bottom w:w="10" w:type="dxa"/>
              <w:right w:w="10" w:type="dxa"/>
            </w:tcMar>
            <w:vAlign w:val="center"/>
          </w:tcPr>
          <w:p w14:paraId="729F0C80" w14:textId="77777777" w:rsidR="009D1838" w:rsidRDefault="00951CBC">
            <w:pPr>
              <w:jc w:val="center"/>
            </w:pPr>
            <w:r>
              <w:rPr>
                <w:noProof/>
              </w:rPr>
              <w:lastRenderedPageBreak/>
              <w:drawing>
                <wp:inline distT="0" distB="0" distL="0" distR="0" wp14:anchorId="04BB0113" wp14:editId="1524FBAA">
                  <wp:extent cx="2788920" cy="20249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c.png"/>
                          <pic:cNvPicPr/>
                        </pic:nvPicPr>
                        <pic:blipFill>
                          <a:blip r:embed="rId27"/>
                          <a:stretch>
                            <a:fillRect/>
                          </a:stretch>
                        </pic:blipFill>
                        <pic:spPr>
                          <a:xfrm>
                            <a:off x="0" y="0"/>
                            <a:ext cx="2788920" cy="2024972"/>
                          </a:xfrm>
                          <a:prstGeom prst="rect">
                            <a:avLst/>
                          </a:prstGeom>
                        </pic:spPr>
                      </pic:pic>
                    </a:graphicData>
                  </a:graphic>
                </wp:inline>
              </w:drawing>
            </w:r>
          </w:p>
          <w:p w14:paraId="5AAF72A6" w14:textId="77777777" w:rsidR="009D1838" w:rsidRDefault="00951CBC">
            <w:pPr>
              <w:jc w:val="center"/>
            </w:pPr>
            <w:r>
              <w:rPr>
                <w:rFonts w:eastAsia="Times New Roman"/>
                <w:b/>
                <w:sz w:val="18"/>
              </w:rPr>
              <w:t>(c)</w:t>
            </w:r>
          </w:p>
        </w:tc>
        <w:tc>
          <w:tcPr>
            <w:tcW w:w="4637" w:type="dxa"/>
            <w:tcMar>
              <w:top w:w="10" w:type="dxa"/>
              <w:left w:w="10" w:type="dxa"/>
              <w:bottom w:w="10" w:type="dxa"/>
              <w:right w:w="10" w:type="dxa"/>
            </w:tcMar>
            <w:vAlign w:val="center"/>
          </w:tcPr>
          <w:p w14:paraId="17CE36BB" w14:textId="77777777" w:rsidR="009D1838" w:rsidRDefault="00951CBC">
            <w:pPr>
              <w:jc w:val="center"/>
            </w:pPr>
            <w:r>
              <w:rPr>
                <w:noProof/>
              </w:rPr>
              <w:drawing>
                <wp:inline distT="0" distB="0" distL="0" distR="0" wp14:anchorId="46D7605B" wp14:editId="4F98545B">
                  <wp:extent cx="2788920" cy="20249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d.png"/>
                          <pic:cNvPicPr/>
                        </pic:nvPicPr>
                        <pic:blipFill>
                          <a:blip r:embed="rId28"/>
                          <a:stretch>
                            <a:fillRect/>
                          </a:stretch>
                        </pic:blipFill>
                        <pic:spPr>
                          <a:xfrm>
                            <a:off x="0" y="0"/>
                            <a:ext cx="2788920" cy="2024972"/>
                          </a:xfrm>
                          <a:prstGeom prst="rect">
                            <a:avLst/>
                          </a:prstGeom>
                        </pic:spPr>
                      </pic:pic>
                    </a:graphicData>
                  </a:graphic>
                </wp:inline>
              </w:drawing>
            </w:r>
          </w:p>
          <w:p w14:paraId="5D16510A" w14:textId="77777777" w:rsidR="009D1838" w:rsidRDefault="00951CBC">
            <w:pPr>
              <w:jc w:val="center"/>
            </w:pPr>
            <w:r>
              <w:rPr>
                <w:rFonts w:eastAsia="Times New Roman"/>
                <w:b/>
                <w:sz w:val="18"/>
              </w:rPr>
              <w:t>(d)</w:t>
            </w:r>
          </w:p>
        </w:tc>
      </w:tr>
    </w:tbl>
    <w:p w14:paraId="11DD8A9D" w14:textId="77777777" w:rsidR="00AF716D" w:rsidRDefault="000A6821">
      <w:pPr>
        <w:pStyle w:val="afffc"/>
      </w:pPr>
      <w:r>
        <w:rPr>
          <w:rFonts w:eastAsia="Times New Roman"/>
        </w:rPr>
        <w:t>Fig. 5  Context-History Ablation: (a) Success; (b) Rounds; (c) Cost; (d) Reward</w:t>
      </w:r>
    </w:p>
    <w:p w14:paraId="7B1B576A"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62F5680E" w14:textId="77777777" w:rsidR="00AF716D" w:rsidRDefault="000A6821">
      <w:pPr>
        <w:pStyle w:val="aff"/>
        <w:keepNext/>
        <w:keepLines/>
        <w:widowControl w:val="0"/>
        <w:spacing w:before="156" w:after="156"/>
        <w:jc w:val="left"/>
      </w:pPr>
      <w:r>
        <w:rPr>
          <w:rFonts w:eastAsia="Times New Roman"/>
        </w:rPr>
        <w:t>4.5  Interval preservation and scope</w:t>
      </w:r>
    </w:p>
    <w:p w14:paraId="7BA5C650" w14:textId="77777777" w:rsidR="00AF716D" w:rsidRDefault="000A6821">
      <w:pPr>
        <w:pStyle w:val="afe"/>
        <w:ind w:firstLine="420"/>
      </w:pPr>
      <w:r>
        <w:rPr>
          <w:rFonts w:eastAsia="Times New Roman"/>
        </w:rPr>
        <w:t xml:space="preserve">Because Eq. (9) translates both endpoints equally, Hausdorff distortion equals center displacement when hi,T=hi,0 (34). Final center consensus is 0.9652, </w:t>
      </w:r>
      <w:r>
        <w:rPr>
          <w:rFonts w:eastAsia="Times New Roman"/>
        </w:rPr>
        <w:t>0.9542, and 0.9482; mean half-width change is zero, and the maximum Hausdorff-center discrepancy is 1.11e-16. Figure 6 confirms that consensus is not obtained by narrowing members' uncertainty ranges.</w:t>
      </w:r>
    </w:p>
    <w:p w14:paraId="21B5D41D" w14:textId="77777777" w:rsidR="0063156C" w:rsidRDefault="009A0C0A">
      <w:pPr>
        <w:pStyle w:val="afe"/>
        <w:keepLines/>
        <w:ind w:firstLine="420"/>
        <w:jc w:val="center"/>
      </w:pPr>
      <m:oMathPara>
        <m:oMath>
          <m:sSub>
            <m:sSubPr>
              <m:ctrlPr>
                <w:rPr>
                  <w:rFonts w:ascii="Cambria Math" w:hAnsi="Cambria Math"/>
                </w:rPr>
              </m:ctrlPr>
            </m:sSubPr>
            <m:e>
              <m:r>
                <w:rPr>
                  <w:rFonts w:ascii="Cambria Math" w:hAnsi="Cambria Math" w:cs="Cambria Math"/>
                  <w:sz w:val="18"/>
                </w:rPr>
                <m:t>d</m:t>
              </m:r>
            </m:e>
            <m:sub>
              <m:r>
                <w:rPr>
                  <w:rFonts w:ascii="Cambria Math" w:hAnsi="Cambria Math" w:cs="Cambria Math"/>
                  <w:sz w:val="18"/>
                </w:rPr>
                <m:t>H</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I</m:t>
              </m:r>
            </m:e>
            <m:sub>
              <m:r>
                <w:rPr>
                  <w:rFonts w:ascii="Cambria Math" w:hAnsi="Cambria Math" w:cs="Cambria Math"/>
                  <w:sz w:val="18"/>
                </w:rPr>
                <m:t>i</m:t>
              </m:r>
              <m:r>
                <w:rPr>
                  <w:rFonts w:ascii="Cambria Math" w:hAnsi="Cambria Math" w:cs="Cambria Math"/>
                  <w:sz w:val="18"/>
                </w:rPr>
                <m:t>,0</m:t>
              </m:r>
            </m:sub>
          </m:sSub>
          <m:r>
            <w:rPr>
              <w:rFonts w:ascii="Cambria Math" w:hAnsi="Cambria Math" w:cs="Cambria Math"/>
              <w:sz w:val="18"/>
            </w:rPr>
            <m:t>)=</m:t>
          </m:r>
          <m:r>
            <m:rPr>
              <m:sty m:val="p"/>
            </m:rPr>
            <w:rPr>
              <w:rFonts w:ascii="Cambria Math" w:hAnsi="Cambria Math" w:cs="Cambria Math"/>
              <w:sz w:val="18"/>
            </w:rPr>
            <m:t>max</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l</m:t>
              </m:r>
            </m:e>
            <m:sub>
              <m:r>
                <w:rPr>
                  <w:rFonts w:ascii="Cambria Math" w:hAnsi="Cambria Math" w:cs="Cambria Math"/>
                  <w:sz w:val="18"/>
                </w:rPr>
                <m:t>i</m:t>
              </m:r>
              <m:r>
                <w:rPr>
                  <w:rFonts w:ascii="Cambria Math" w:hAnsi="Cambria Math" w:cs="Cambria Math"/>
                  <w:sz w:val="18"/>
                </w:rPr>
                <m:t>,0</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u</m:t>
              </m:r>
            </m:e>
            <m:sub>
              <m:r>
                <w:rPr>
                  <w:rFonts w:ascii="Cambria Math" w:hAnsi="Cambria Math" w:cs="Cambria Math"/>
                  <w:sz w:val="18"/>
                </w:rPr>
                <m:t>i</m:t>
              </m:r>
              <m:r>
                <w:rPr>
                  <w:rFonts w:ascii="Cambria Math" w:hAnsi="Cambria Math" w:cs="Cambria Math"/>
                  <w:sz w:val="18"/>
                </w:rPr>
                <m:t>,0</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c</m:t>
              </m:r>
            </m:e>
            <m:sub>
              <m:r>
                <w:rPr>
                  <w:rFonts w:ascii="Cambria Math" w:hAnsi="Cambria Math" w:cs="Cambria Math"/>
                  <w:sz w:val="18"/>
                </w:rPr>
                <m:t>i</m:t>
              </m:r>
              <m:r>
                <w:rPr>
                  <w:rFonts w:ascii="Cambria Math" w:hAnsi="Cambria Math" w:cs="Cambria Math"/>
                  <w:sz w:val="18"/>
                </w:rPr>
                <m:t>,0</m:t>
              </m:r>
            </m:sub>
          </m:sSub>
          <m:r>
            <w:rPr>
              <w:rFonts w:ascii="Cambria Math" w:hAnsi="Cambria Math" w:cs="Cambria Math"/>
              <w:sz w:val="18"/>
            </w:rPr>
            <m:t>|</m:t>
          </m:r>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m:t>
              </m:r>
              <m:r>
                <w:rPr>
                  <w:rFonts w:ascii="Cambria Math" w:hAnsi="Cambria Math" w:cs="Cambria Math"/>
                  <w:sz w:val="18"/>
                </w:rPr>
                <m:t>T</m:t>
              </m:r>
            </m:sub>
          </m:sSub>
          <m:r>
            <w:rPr>
              <w:rFonts w:ascii="Cambria Math" w:hAnsi="Cambria Math" w:cs="Cambria Math"/>
              <w:sz w:val="18"/>
            </w:rPr>
            <m:t>=</m:t>
          </m:r>
          <m:sSub>
            <m:sSubPr>
              <m:ctrlPr>
                <w:rPr>
                  <w:rFonts w:ascii="Cambria Math" w:hAnsi="Cambria Math"/>
                </w:rPr>
              </m:ctrlPr>
            </m:sSubPr>
            <m:e>
              <m:r>
                <w:rPr>
                  <w:rFonts w:ascii="Cambria Math" w:hAnsi="Cambria Math" w:cs="Cambria Math"/>
                  <w:sz w:val="18"/>
                </w:rPr>
                <m:t>h</m:t>
              </m:r>
            </m:e>
            <m:sub>
              <m:r>
                <w:rPr>
                  <w:rFonts w:ascii="Cambria Math" w:hAnsi="Cambria Math" w:cs="Cambria Math"/>
                  <w:sz w:val="18"/>
                </w:rPr>
                <m:t>i</m:t>
              </m:r>
              <m:r>
                <w:rPr>
                  <w:rFonts w:ascii="Cambria Math" w:hAnsi="Cambria Math" w:cs="Cambria Math"/>
                  <w:sz w:val="18"/>
                </w:rPr>
                <m:t>,0</m:t>
              </m:r>
            </m:sub>
          </m:sSub>
          <m:r>
            <w:rPr>
              <w:rFonts w:ascii="Cambria Math" w:hAnsi="Cambria Math" w:cs="Cambria Math"/>
              <w:sz w:val="18"/>
            </w:rPr>
            <m:t>）。</m:t>
          </m:r>
          <m:r>
            <w:rPr>
              <w:rFonts w:ascii="Cambria Math" w:hAnsi="Cambria Math" w:cs="Cambria Math"/>
              <w:sz w:val="18"/>
            </w:rPr>
            <m:t xml:space="preserve">   (34)</m:t>
          </m:r>
        </m:oMath>
      </m:oMathPara>
    </w:p>
    <w:p w14:paraId="5797297C" w14:textId="77777777" w:rsidR="00AF716D" w:rsidRDefault="00AF716D">
      <w:pPr>
        <w:sectPr w:rsidR="00AF716D">
          <w:endnotePr>
            <w:numFmt w:val="decimal"/>
          </w:endnotePr>
          <w:type w:val="continuous"/>
          <w:pgSz w:w="11906" w:h="16838"/>
          <w:pgMar w:top="1701" w:right="1134" w:bottom="1134" w:left="1134" w:header="567" w:footer="567" w:gutter="0"/>
          <w:cols w:num="2" w:space="425"/>
          <w:docGrid w:type="lines" w:linePitch="312"/>
        </w:sect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37"/>
        <w:gridCol w:w="4637"/>
      </w:tblGrid>
      <w:tr w:rsidR="009D1838" w14:paraId="30D2D7F9" w14:textId="77777777">
        <w:trPr>
          <w:cantSplit/>
          <w:jc w:val="center"/>
        </w:trPr>
        <w:tc>
          <w:tcPr>
            <w:tcW w:w="4637" w:type="dxa"/>
            <w:tcMar>
              <w:top w:w="10" w:type="dxa"/>
              <w:left w:w="10" w:type="dxa"/>
              <w:bottom w:w="10" w:type="dxa"/>
              <w:right w:w="10" w:type="dxa"/>
            </w:tcMar>
            <w:vAlign w:val="center"/>
          </w:tcPr>
          <w:p w14:paraId="5D1F68CA" w14:textId="77777777" w:rsidR="009D1838" w:rsidRDefault="00951CBC">
            <w:pPr>
              <w:jc w:val="center"/>
            </w:pPr>
            <w:r>
              <w:rPr>
                <w:noProof/>
              </w:rPr>
              <w:drawing>
                <wp:inline distT="0" distB="0" distL="0" distR="0" wp14:anchorId="21E903F9" wp14:editId="034A23EE">
                  <wp:extent cx="2788920" cy="20783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a.png"/>
                          <pic:cNvPicPr/>
                        </pic:nvPicPr>
                        <pic:blipFill>
                          <a:blip r:embed="rId29"/>
                          <a:stretch>
                            <a:fillRect/>
                          </a:stretch>
                        </pic:blipFill>
                        <pic:spPr>
                          <a:xfrm>
                            <a:off x="0" y="0"/>
                            <a:ext cx="2788920" cy="2078302"/>
                          </a:xfrm>
                          <a:prstGeom prst="rect">
                            <a:avLst/>
                          </a:prstGeom>
                        </pic:spPr>
                      </pic:pic>
                    </a:graphicData>
                  </a:graphic>
                </wp:inline>
              </w:drawing>
            </w:r>
          </w:p>
          <w:p w14:paraId="1903F90F" w14:textId="77777777" w:rsidR="009D1838" w:rsidRDefault="00951CBC">
            <w:pPr>
              <w:jc w:val="center"/>
            </w:pPr>
            <w:r>
              <w:rPr>
                <w:rFonts w:eastAsia="Times New Roman"/>
                <w:b/>
                <w:sz w:val="18"/>
              </w:rPr>
              <w:t>(a)</w:t>
            </w:r>
          </w:p>
        </w:tc>
        <w:tc>
          <w:tcPr>
            <w:tcW w:w="4637" w:type="dxa"/>
            <w:tcMar>
              <w:top w:w="10" w:type="dxa"/>
              <w:left w:w="10" w:type="dxa"/>
              <w:bottom w:w="10" w:type="dxa"/>
              <w:right w:w="10" w:type="dxa"/>
            </w:tcMar>
            <w:vAlign w:val="center"/>
          </w:tcPr>
          <w:p w14:paraId="48766899" w14:textId="77777777" w:rsidR="009D1838" w:rsidRDefault="00951CBC">
            <w:pPr>
              <w:jc w:val="center"/>
            </w:pPr>
            <w:r>
              <w:rPr>
                <w:noProof/>
              </w:rPr>
              <w:drawing>
                <wp:inline distT="0" distB="0" distL="0" distR="0" wp14:anchorId="4E5104FA" wp14:editId="1538C869">
                  <wp:extent cx="2788920" cy="26905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b.png"/>
                          <pic:cNvPicPr/>
                        </pic:nvPicPr>
                        <pic:blipFill>
                          <a:blip r:embed="rId30"/>
                          <a:stretch>
                            <a:fillRect/>
                          </a:stretch>
                        </pic:blipFill>
                        <pic:spPr>
                          <a:xfrm>
                            <a:off x="0" y="0"/>
                            <a:ext cx="2788920" cy="2690518"/>
                          </a:xfrm>
                          <a:prstGeom prst="rect">
                            <a:avLst/>
                          </a:prstGeom>
                        </pic:spPr>
                      </pic:pic>
                    </a:graphicData>
                  </a:graphic>
                </wp:inline>
              </w:drawing>
            </w:r>
          </w:p>
          <w:p w14:paraId="01979F9C" w14:textId="77777777" w:rsidR="009D1838" w:rsidRDefault="00951CBC">
            <w:pPr>
              <w:jc w:val="center"/>
            </w:pPr>
            <w:r>
              <w:rPr>
                <w:rFonts w:eastAsia="Times New Roman"/>
                <w:b/>
                <w:sz w:val="18"/>
              </w:rPr>
              <w:t>(b)</w:t>
            </w:r>
          </w:p>
        </w:tc>
      </w:tr>
    </w:tbl>
    <w:p w14:paraId="23B43D0F" w14:textId="77777777" w:rsidR="00AF716D" w:rsidRDefault="000A6821">
      <w:pPr>
        <w:pStyle w:val="afffc"/>
      </w:pPr>
      <w:r>
        <w:rPr>
          <w:rFonts w:eastAsia="Times New Roman"/>
        </w:rPr>
        <w:t>Fig. 6  Interval Preservation: (a) Final Center Consensus; (b) Hausdorff-Center Consistency</w:t>
      </w:r>
    </w:p>
    <w:p w14:paraId="54972002" w14:textId="77777777" w:rsidR="00AF716D" w:rsidRDefault="000A6821">
      <w:pPr>
        <w:pStyle w:val="afe"/>
        <w:ind w:firstLine="420"/>
      </w:pPr>
      <w:r>
        <w:rPr>
          <w:rFonts w:eastAsia="Times New Roman"/>
        </w:rPr>
        <w:t>The evidence is limited to one training seed, 50 frozen scenarios per cell, and half-widths up to 0.08. The architecture is context-conditioned meta-RL rather than MAML. Sensitivity tables, noise and missing-feedback stress tests, and negotiation trajectories are retained as repository supplements because they delimit robustness but are not needed to establish the main causal chain. Multiple training seeds and a matched retrained context-free model are the next validation steps.</w:t>
      </w:r>
    </w:p>
    <w:p w14:paraId="44B3CDB9" w14:textId="77777777" w:rsidR="00AF716D" w:rsidRDefault="000A6821">
      <w:pPr>
        <w:pStyle w:val="aff"/>
        <w:keepNext/>
        <w:keepLines/>
        <w:widowControl w:val="0"/>
        <w:spacing w:before="156" w:after="156"/>
        <w:jc w:val="left"/>
      </w:pPr>
      <w:r>
        <w:rPr>
          <w:rFonts w:eastAsia="Times New Roman"/>
        </w:rPr>
        <w:t>5  Conclusion</w:t>
      </w:r>
    </w:p>
    <w:p w14:paraId="40E7FE09" w14:textId="77777777" w:rsidR="00AF716D" w:rsidRDefault="000A6821">
      <w:pPr>
        <w:pStyle w:val="afe"/>
        <w:ind w:firstLine="420"/>
      </w:pPr>
      <w:r>
        <w:rPr>
          <w:rFonts w:eastAsia="Times New Roman"/>
        </w:rPr>
        <w:t xml:space="preserve">Interval Meta-GDM couples endpoint-consistent consensus control with history-conditioned response </w:t>
      </w:r>
      <w:r>
        <w:rPr>
          <w:rFonts w:eastAsia="Times New Roman"/>
        </w:rPr>
        <w:lastRenderedPageBreak/>
        <w:t>inference and set-based action generation. The model does not dominate simple rules in static homogeneous tasks, but it retains their success while offering better composite reward and burden balance at larger scales. Its clearest advantage appears when hidden response differences accumulate: the frozen policy uses observed interaction history to sustain success, reduce repeated probing, and transfer from N=10 to N=40 and N=100 without architectural changes.</w:t>
      </w:r>
    </w:p>
    <w:p w14:paraId="1F097238" w14:textId="77777777" w:rsidR="00AF716D" w:rsidRDefault="000A6821">
      <w:pPr>
        <w:pStyle w:val="afe"/>
        <w:ind w:firstLine="420"/>
      </w:pPr>
      <w:r>
        <w:rPr>
          <w:rFonts w:eastAsia="Times New Roman"/>
        </w:rPr>
        <w:t>The interval extension is structural rather than cosmetic: actions preserve half-widths, boundary checks use both endpoints, and the reward uses endpoint consensus, cost, fairness, and violations. The main remaining issues are higher total cost under heterogeneity, single-seed training, and incomplete structural ablation. Future work should optimize this trade-off, repeat training across seeds, and test task-level adaptation and real negotiation data.</w:t>
      </w:r>
    </w:p>
    <w:p w14:paraId="486F84BE" w14:textId="77777777" w:rsidR="00AF716D" w:rsidRDefault="00AF716D">
      <w:pPr>
        <w:sectPr w:rsidR="00AF716D">
          <w:endnotePr>
            <w:numFmt w:val="decimal"/>
          </w:endnotePr>
          <w:type w:val="continuous"/>
          <w:pgSz w:w="11906" w:h="16838"/>
          <w:pgMar w:top="1701" w:right="1134" w:bottom="1134" w:left="1134" w:header="567" w:footer="567" w:gutter="0"/>
          <w:cols w:space="425"/>
          <w:docGrid w:type="lines" w:linePitch="312"/>
        </w:sectPr>
      </w:pPr>
    </w:p>
    <w:p w14:paraId="794441EA" w14:textId="77777777" w:rsidR="0063156C" w:rsidRDefault="004E2A51">
      <w:pPr>
        <w:pStyle w:val="aff"/>
        <w:keepNext/>
        <w:keepLines/>
        <w:widowControl w:val="0"/>
        <w:spacing w:before="156" w:after="156"/>
        <w:jc w:val="left"/>
      </w:pPr>
      <w:r>
        <w:rPr>
          <w:rFonts w:eastAsia="Times New Roman"/>
          <w:color w:val="000000"/>
          <w:lang w:eastAsia="en-US"/>
        </w:rPr>
        <w:lastRenderedPageBreak/>
        <w:t>References</w:t>
      </w:r>
    </w:p>
    <w:p w14:paraId="4AA1A67E" w14:textId="77777777" w:rsidR="0063156C" w:rsidRDefault="004E2A51">
      <w:pPr>
        <w:pStyle w:val="a"/>
        <w:numPr>
          <w:ilvl w:val="0"/>
          <w:numId w:val="0"/>
        </w:numPr>
        <w:tabs>
          <w:tab w:val="clear" w:pos="473"/>
        </w:tabs>
        <w:ind w:left="200" w:hanging="200"/>
        <w:jc w:val="left"/>
      </w:pPr>
      <w:r>
        <w:rPr>
          <w:color w:val="000000"/>
        </w:rPr>
        <w:t>[</w:t>
      </w:r>
      <w:bookmarkStart w:id="5" w:name="BibRef001"/>
      <w:r>
        <w:rPr>
          <w:color w:val="000000"/>
        </w:rPr>
        <w:t>1</w:t>
      </w:r>
      <w:bookmarkEnd w:id="5"/>
      <w:r>
        <w:rPr>
          <w:color w:val="000000"/>
        </w:rPr>
        <w:t>] Zadeh L A. Fuzzy sets. Information and Control, 1965, 8(3): 338-353.</w:t>
      </w:r>
    </w:p>
    <w:p w14:paraId="367D0C9C" w14:textId="77777777" w:rsidR="0063156C" w:rsidRDefault="004E2A51">
      <w:pPr>
        <w:pStyle w:val="a"/>
        <w:numPr>
          <w:ilvl w:val="0"/>
          <w:numId w:val="0"/>
        </w:numPr>
        <w:tabs>
          <w:tab w:val="clear" w:pos="473"/>
        </w:tabs>
        <w:ind w:left="200" w:hanging="200"/>
        <w:jc w:val="left"/>
      </w:pPr>
      <w:r>
        <w:rPr>
          <w:color w:val="000000"/>
        </w:rPr>
        <w:t>[</w:t>
      </w:r>
      <w:bookmarkStart w:id="6" w:name="BibRef002"/>
      <w:r>
        <w:rPr>
          <w:color w:val="000000"/>
        </w:rPr>
        <w:t>2</w:t>
      </w:r>
      <w:bookmarkEnd w:id="6"/>
      <w:r>
        <w:rPr>
          <w:color w:val="000000"/>
        </w:rPr>
        <w:t>] Atanassov K T. Intuitionistic fuzzy sets. Fuzzy Sets and Systems, 1986, 20(1): 87-96.</w:t>
      </w:r>
    </w:p>
    <w:p w14:paraId="76599888" w14:textId="77777777" w:rsidR="0063156C" w:rsidRDefault="004E2A51">
      <w:pPr>
        <w:pStyle w:val="a"/>
        <w:numPr>
          <w:ilvl w:val="0"/>
          <w:numId w:val="0"/>
        </w:numPr>
        <w:tabs>
          <w:tab w:val="clear" w:pos="473"/>
        </w:tabs>
        <w:ind w:left="200" w:hanging="200"/>
        <w:jc w:val="left"/>
      </w:pPr>
      <w:r>
        <w:rPr>
          <w:color w:val="000000"/>
        </w:rPr>
        <w:t>[</w:t>
      </w:r>
      <w:bookmarkStart w:id="7" w:name="BibRef003"/>
      <w:r>
        <w:rPr>
          <w:color w:val="000000"/>
        </w:rPr>
        <w:t>3</w:t>
      </w:r>
      <w:bookmarkEnd w:id="7"/>
      <w:r>
        <w:rPr>
          <w:color w:val="000000"/>
        </w:rPr>
        <w:t>] Xu Z S. A survey of preference relations. International Journal of General Systems, 2007, 36(2): 179-203.</w:t>
      </w:r>
    </w:p>
    <w:p w14:paraId="663D8DC5" w14:textId="77777777" w:rsidR="0063156C" w:rsidRDefault="004E2A51">
      <w:pPr>
        <w:pStyle w:val="a"/>
        <w:numPr>
          <w:ilvl w:val="0"/>
          <w:numId w:val="0"/>
        </w:numPr>
        <w:tabs>
          <w:tab w:val="clear" w:pos="473"/>
        </w:tabs>
        <w:ind w:left="200" w:hanging="200"/>
        <w:jc w:val="left"/>
      </w:pPr>
      <w:r>
        <w:rPr>
          <w:color w:val="000000"/>
        </w:rPr>
        <w:t>[</w:t>
      </w:r>
      <w:bookmarkStart w:id="8" w:name="BibRef004"/>
      <w:r>
        <w:rPr>
          <w:color w:val="000000"/>
        </w:rPr>
        <w:t>4</w:t>
      </w:r>
      <w:bookmarkEnd w:id="8"/>
      <w:r>
        <w:rPr>
          <w:color w:val="000000"/>
        </w:rPr>
        <w:t>] Torra V. Hesitant fuzzy sets. International Journal of Intelligent Systems, 2010, 25(6): 529-539.</w:t>
      </w:r>
    </w:p>
    <w:p w14:paraId="62749BDA" w14:textId="77777777" w:rsidR="0063156C" w:rsidRDefault="004E2A51">
      <w:pPr>
        <w:pStyle w:val="a"/>
        <w:numPr>
          <w:ilvl w:val="0"/>
          <w:numId w:val="0"/>
        </w:numPr>
        <w:tabs>
          <w:tab w:val="clear" w:pos="473"/>
        </w:tabs>
        <w:ind w:left="200" w:hanging="200"/>
        <w:jc w:val="left"/>
      </w:pPr>
      <w:r>
        <w:rPr>
          <w:color w:val="000000"/>
        </w:rPr>
        <w:t>[</w:t>
      </w:r>
      <w:bookmarkStart w:id="9" w:name="BibRef005"/>
      <w:r>
        <w:rPr>
          <w:color w:val="000000"/>
        </w:rPr>
        <w:t>5</w:t>
      </w:r>
      <w:bookmarkEnd w:id="9"/>
      <w:r>
        <w:rPr>
          <w:color w:val="000000"/>
        </w:rPr>
        <w:t>] Rodríguez R M, Martínez L, Torra V, et al. Hesitant fuzzy sets: State of the art and future directions. International Journal of Intelligent Systems, 2014, 29(6): 495-524.</w:t>
      </w:r>
    </w:p>
    <w:p w14:paraId="2E8BD981" w14:textId="77777777" w:rsidR="0063156C" w:rsidRDefault="004E2A51">
      <w:pPr>
        <w:pStyle w:val="a"/>
        <w:numPr>
          <w:ilvl w:val="0"/>
          <w:numId w:val="0"/>
        </w:numPr>
        <w:tabs>
          <w:tab w:val="clear" w:pos="473"/>
        </w:tabs>
        <w:ind w:left="200" w:hanging="200"/>
        <w:jc w:val="left"/>
      </w:pPr>
      <w:r>
        <w:rPr>
          <w:color w:val="000000"/>
        </w:rPr>
        <w:t>[</w:t>
      </w:r>
      <w:bookmarkStart w:id="10" w:name="BibRef006"/>
      <w:r>
        <w:rPr>
          <w:color w:val="000000"/>
        </w:rPr>
        <w:t>6</w:t>
      </w:r>
      <w:bookmarkEnd w:id="10"/>
      <w:r>
        <w:rPr>
          <w:color w:val="000000"/>
        </w:rPr>
        <w:t>] Herrera-Viedma E, Cabrerizo F J, Kacprzyk J, Pedrycz W. A review of soft consensus models in a fuzzy environment. Information Fusion, 2014, 17: 4-13.</w:t>
      </w:r>
    </w:p>
    <w:p w14:paraId="46240580" w14:textId="77777777" w:rsidR="0063156C" w:rsidRDefault="004E2A51">
      <w:pPr>
        <w:pStyle w:val="a"/>
        <w:numPr>
          <w:ilvl w:val="0"/>
          <w:numId w:val="0"/>
        </w:numPr>
        <w:tabs>
          <w:tab w:val="clear" w:pos="473"/>
        </w:tabs>
        <w:ind w:left="200" w:hanging="200"/>
        <w:jc w:val="left"/>
      </w:pPr>
      <w:r>
        <w:rPr>
          <w:color w:val="000000"/>
        </w:rPr>
        <w:t>[</w:t>
      </w:r>
      <w:bookmarkStart w:id="11" w:name="BibRef007"/>
      <w:r>
        <w:rPr>
          <w:color w:val="000000"/>
        </w:rPr>
        <w:t>7</w:t>
      </w:r>
      <w:bookmarkEnd w:id="11"/>
      <w:r>
        <w:rPr>
          <w:color w:val="000000"/>
        </w:rPr>
        <w:t>] Mendel J M, John R I, Liu F. Interval type-2 fuzzy logic systems made simple. IEEE Transactions on Fuzzy Systems, 2006, 14(6): 808-821.</w:t>
      </w:r>
    </w:p>
    <w:p w14:paraId="6EF3DEF5" w14:textId="77777777" w:rsidR="0063156C" w:rsidRDefault="004E2A51">
      <w:pPr>
        <w:pStyle w:val="a"/>
        <w:numPr>
          <w:ilvl w:val="0"/>
          <w:numId w:val="0"/>
        </w:numPr>
        <w:tabs>
          <w:tab w:val="clear" w:pos="473"/>
        </w:tabs>
        <w:ind w:left="200" w:hanging="200"/>
        <w:jc w:val="left"/>
      </w:pPr>
      <w:r>
        <w:rPr>
          <w:color w:val="000000"/>
        </w:rPr>
        <w:t>[</w:t>
      </w:r>
      <w:bookmarkStart w:id="12" w:name="BibRef008"/>
      <w:r>
        <w:rPr>
          <w:color w:val="000000"/>
        </w:rPr>
        <w:t>8</w:t>
      </w:r>
      <w:bookmarkEnd w:id="12"/>
      <w:r>
        <w:rPr>
          <w:color w:val="000000"/>
        </w:rPr>
        <w:t>] Bellman R E, Zadeh L A. Decision-making in a fuzzy environment. Management Science, 1970, 17(4): B141-B164.</w:t>
      </w:r>
    </w:p>
    <w:p w14:paraId="1CBD4695" w14:textId="77777777" w:rsidR="0063156C" w:rsidRDefault="004E2A51">
      <w:pPr>
        <w:pStyle w:val="a"/>
        <w:numPr>
          <w:ilvl w:val="0"/>
          <w:numId w:val="0"/>
        </w:numPr>
        <w:tabs>
          <w:tab w:val="clear" w:pos="473"/>
        </w:tabs>
        <w:ind w:left="200" w:hanging="200"/>
        <w:jc w:val="left"/>
      </w:pPr>
      <w:r>
        <w:rPr>
          <w:color w:val="000000"/>
        </w:rPr>
        <w:t>[</w:t>
      </w:r>
      <w:bookmarkStart w:id="13" w:name="BibRef009"/>
      <w:r>
        <w:rPr>
          <w:color w:val="000000"/>
        </w:rPr>
        <w:t>9</w:t>
      </w:r>
      <w:bookmarkEnd w:id="13"/>
      <w:r>
        <w:rPr>
          <w:color w:val="000000"/>
        </w:rPr>
        <w:t>] DeGroot M H. Reaching a consensus. Journal of the American Statistical Association, 1974, 69(345): 118-121.</w:t>
      </w:r>
    </w:p>
    <w:p w14:paraId="2449730F" w14:textId="77777777" w:rsidR="0063156C" w:rsidRDefault="004E2A51">
      <w:pPr>
        <w:pStyle w:val="a"/>
        <w:numPr>
          <w:ilvl w:val="0"/>
          <w:numId w:val="0"/>
        </w:numPr>
        <w:tabs>
          <w:tab w:val="clear" w:pos="473"/>
        </w:tabs>
        <w:ind w:left="200" w:hanging="200"/>
        <w:jc w:val="left"/>
      </w:pPr>
      <w:r>
        <w:rPr>
          <w:color w:val="000000"/>
        </w:rPr>
        <w:t>[</w:t>
      </w:r>
      <w:bookmarkStart w:id="14" w:name="BibRef010"/>
      <w:r>
        <w:rPr>
          <w:color w:val="000000"/>
        </w:rPr>
        <w:t>10</w:t>
      </w:r>
      <w:bookmarkEnd w:id="14"/>
      <w:r>
        <w:rPr>
          <w:color w:val="000000"/>
        </w:rPr>
        <w:t>] Hegselmann R, Krause U. Opinion dynamics and bounded confidence: Models, analysis and simulation. Journal of Artificial Societies and Social Simulation, 2002, 5(3): 2.</w:t>
      </w:r>
    </w:p>
    <w:p w14:paraId="30CFD161" w14:textId="77777777" w:rsidR="0063156C" w:rsidRDefault="004E2A51">
      <w:pPr>
        <w:pStyle w:val="a"/>
        <w:numPr>
          <w:ilvl w:val="0"/>
          <w:numId w:val="0"/>
        </w:numPr>
        <w:tabs>
          <w:tab w:val="clear" w:pos="473"/>
        </w:tabs>
        <w:ind w:left="200" w:hanging="200"/>
        <w:jc w:val="left"/>
      </w:pPr>
      <w:r>
        <w:rPr>
          <w:color w:val="000000"/>
        </w:rPr>
        <w:t>[</w:t>
      </w:r>
      <w:bookmarkStart w:id="15" w:name="BibRef011"/>
      <w:r>
        <w:rPr>
          <w:color w:val="000000"/>
        </w:rPr>
        <w:t>11</w:t>
      </w:r>
      <w:bookmarkEnd w:id="15"/>
      <w:r>
        <w:rPr>
          <w:color w:val="000000"/>
        </w:rPr>
        <w:t>] Friedkin N E, Johnsen E C. Social influence and opinions. Journal of Mathematical Sociology, 1990, 15(3-4): 193-206.</w:t>
      </w:r>
    </w:p>
    <w:p w14:paraId="2FA0424B" w14:textId="77777777" w:rsidR="0063156C" w:rsidRDefault="004E2A51">
      <w:pPr>
        <w:pStyle w:val="a"/>
        <w:numPr>
          <w:ilvl w:val="0"/>
          <w:numId w:val="0"/>
        </w:numPr>
        <w:tabs>
          <w:tab w:val="clear" w:pos="473"/>
        </w:tabs>
        <w:ind w:left="200" w:hanging="200"/>
        <w:jc w:val="left"/>
      </w:pPr>
      <w:r>
        <w:rPr>
          <w:color w:val="000000"/>
        </w:rPr>
        <w:t>[</w:t>
      </w:r>
      <w:bookmarkStart w:id="16" w:name="BibRef012"/>
      <w:r>
        <w:rPr>
          <w:color w:val="000000"/>
        </w:rPr>
        <w:t>12</w:t>
      </w:r>
      <w:bookmarkEnd w:id="16"/>
      <w:r>
        <w:rPr>
          <w:color w:val="000000"/>
        </w:rPr>
        <w:t>] Kacprzyk J, Fedrizzi M. A soft measure of consensus in the setting of partial (fuzzy) preferences. European Journal of Operational Research, 1988, 34(3): 316-325.</w:t>
      </w:r>
    </w:p>
    <w:p w14:paraId="321BF8BC" w14:textId="77777777" w:rsidR="0063156C" w:rsidRDefault="004E2A51">
      <w:pPr>
        <w:pStyle w:val="a"/>
        <w:numPr>
          <w:ilvl w:val="0"/>
          <w:numId w:val="0"/>
        </w:numPr>
        <w:tabs>
          <w:tab w:val="clear" w:pos="473"/>
        </w:tabs>
        <w:ind w:left="200" w:hanging="200"/>
        <w:jc w:val="left"/>
      </w:pPr>
      <w:r>
        <w:rPr>
          <w:color w:val="000000"/>
        </w:rPr>
        <w:t>[</w:t>
      </w:r>
      <w:bookmarkStart w:id="17" w:name="BibRef013"/>
      <w:r>
        <w:rPr>
          <w:color w:val="000000"/>
        </w:rPr>
        <w:t>13</w:t>
      </w:r>
      <w:bookmarkEnd w:id="17"/>
      <w:r>
        <w:rPr>
          <w:color w:val="000000"/>
        </w:rPr>
        <w:t>] Cao M S, Wu J, Chiclana F, et al. A personalized consensus feedback mechanism based on maximum harmony degree. IEEE Transactions on Systems, Man, and Cybernetics: Systems, 2021, 51(10): 6134-6146.</w:t>
      </w:r>
    </w:p>
    <w:p w14:paraId="762214B1" w14:textId="77777777" w:rsidR="0063156C" w:rsidRDefault="004E2A51">
      <w:pPr>
        <w:pStyle w:val="a"/>
        <w:numPr>
          <w:ilvl w:val="0"/>
          <w:numId w:val="0"/>
        </w:numPr>
        <w:tabs>
          <w:tab w:val="clear" w:pos="473"/>
        </w:tabs>
        <w:ind w:left="200" w:hanging="200"/>
        <w:jc w:val="left"/>
      </w:pPr>
      <w:r>
        <w:rPr>
          <w:color w:val="000000"/>
        </w:rPr>
        <w:t>[</w:t>
      </w:r>
      <w:bookmarkStart w:id="18" w:name="BibRef014"/>
      <w:r>
        <w:rPr>
          <w:color w:val="000000"/>
        </w:rPr>
        <w:t>14</w:t>
      </w:r>
      <w:bookmarkEnd w:id="18"/>
      <w:r>
        <w:rPr>
          <w:color w:val="000000"/>
        </w:rPr>
        <w:t>] Ben-Arieh D, Easton T, Evans B. Minimum cost consensus with quadratic cost functions. IEEE Transactions on Systems, Man, and Cybernetics—Part A: Systems and Humans, 2009, 39(1): 210-217.</w:t>
      </w:r>
    </w:p>
    <w:p w14:paraId="1480C6AF" w14:textId="77777777" w:rsidR="0063156C" w:rsidRDefault="004E2A51">
      <w:pPr>
        <w:pStyle w:val="a"/>
        <w:numPr>
          <w:ilvl w:val="0"/>
          <w:numId w:val="0"/>
        </w:numPr>
        <w:tabs>
          <w:tab w:val="clear" w:pos="473"/>
        </w:tabs>
        <w:ind w:left="200" w:hanging="200"/>
        <w:jc w:val="left"/>
      </w:pPr>
      <w:r>
        <w:rPr>
          <w:color w:val="000000"/>
        </w:rPr>
        <w:t>[</w:t>
      </w:r>
      <w:bookmarkStart w:id="19" w:name="BibRef015"/>
      <w:r>
        <w:rPr>
          <w:color w:val="000000"/>
        </w:rPr>
        <w:t>15</w:t>
      </w:r>
      <w:bookmarkEnd w:id="19"/>
      <w:r>
        <w:rPr>
          <w:color w:val="000000"/>
        </w:rPr>
        <w:t>] Du J L, Liu S F, Liu Y. A limited cost consensus approach with fairness concern and its application. European Journal of Operational Research, 2022, 298(1): 261-275.</w:t>
      </w:r>
    </w:p>
    <w:p w14:paraId="2B52EF22" w14:textId="77777777" w:rsidR="0063156C" w:rsidRDefault="004E2A51">
      <w:pPr>
        <w:pStyle w:val="a"/>
        <w:numPr>
          <w:ilvl w:val="0"/>
          <w:numId w:val="0"/>
        </w:numPr>
        <w:tabs>
          <w:tab w:val="clear" w:pos="473"/>
        </w:tabs>
        <w:ind w:left="200" w:hanging="200"/>
        <w:jc w:val="left"/>
      </w:pPr>
      <w:r>
        <w:rPr>
          <w:color w:val="000000"/>
        </w:rPr>
        <w:t>[</w:t>
      </w:r>
      <w:bookmarkStart w:id="20" w:name="BibRef016"/>
      <w:r>
        <w:rPr>
          <w:color w:val="000000"/>
        </w:rPr>
        <w:t>16</w:t>
      </w:r>
      <w:bookmarkEnd w:id="20"/>
      <w:r>
        <w:rPr>
          <w:color w:val="000000"/>
        </w:rPr>
        <w:t xml:space="preserve">] Gong G C, Li K, Zha Q B. A maximum fairness consensus </w:t>
      </w:r>
      <w:r>
        <w:rPr>
          <w:color w:val="000000"/>
        </w:rPr>
        <w:t>model with limited cost in group decision making. Computers &amp; Industrial Engineering, 2023, 175: 108891.</w:t>
      </w:r>
    </w:p>
    <w:p w14:paraId="27ACB0BD" w14:textId="77777777" w:rsidR="0063156C" w:rsidRDefault="004E2A51">
      <w:pPr>
        <w:pStyle w:val="a"/>
        <w:numPr>
          <w:ilvl w:val="0"/>
          <w:numId w:val="0"/>
        </w:numPr>
        <w:tabs>
          <w:tab w:val="clear" w:pos="473"/>
        </w:tabs>
        <w:ind w:left="200" w:hanging="200"/>
        <w:jc w:val="left"/>
      </w:pPr>
      <w:r>
        <w:rPr>
          <w:color w:val="000000"/>
        </w:rPr>
        <w:t>[</w:t>
      </w:r>
      <w:bookmarkStart w:id="21" w:name="BibRef017"/>
      <w:r>
        <w:rPr>
          <w:color w:val="000000"/>
        </w:rPr>
        <w:t>17</w:t>
      </w:r>
      <w:bookmarkEnd w:id="21"/>
      <w:r>
        <w:rPr>
          <w:color w:val="000000"/>
        </w:rPr>
        <w:t>] Zhang R N, Huang J, Xu Y J, et al. Consensus models with aggregation operators for minimum quadratic cost in group decision making. Applied Intelligence, 2023, 53(2): 1370-1390.</w:t>
      </w:r>
    </w:p>
    <w:p w14:paraId="2704FDC8" w14:textId="77777777" w:rsidR="0063156C" w:rsidRDefault="004E2A51">
      <w:pPr>
        <w:pStyle w:val="a"/>
        <w:numPr>
          <w:ilvl w:val="0"/>
          <w:numId w:val="0"/>
        </w:numPr>
        <w:tabs>
          <w:tab w:val="clear" w:pos="473"/>
        </w:tabs>
        <w:ind w:left="200" w:hanging="200"/>
        <w:jc w:val="left"/>
      </w:pPr>
      <w:r>
        <w:rPr>
          <w:color w:val="000000"/>
        </w:rPr>
        <w:t>[</w:t>
      </w:r>
      <w:bookmarkStart w:id="22" w:name="BibRef018"/>
      <w:r>
        <w:rPr>
          <w:color w:val="000000"/>
        </w:rPr>
        <w:t>18</w:t>
      </w:r>
      <w:bookmarkEnd w:id="22"/>
      <w:r>
        <w:rPr>
          <w:color w:val="000000"/>
        </w:rPr>
        <w:t>] Shen Y F, Ma X L, Xu Z S, et al. A minimum cost and maximum fairness-driven multi-objective optimization consensus model for large-scale group decision-making. Fuzzy Sets and Systems, 2025, 500: 109198.</w:t>
      </w:r>
    </w:p>
    <w:p w14:paraId="0588A133" w14:textId="77777777" w:rsidR="0063156C" w:rsidRDefault="004E2A51">
      <w:pPr>
        <w:pStyle w:val="a"/>
        <w:numPr>
          <w:ilvl w:val="0"/>
          <w:numId w:val="0"/>
        </w:numPr>
        <w:tabs>
          <w:tab w:val="clear" w:pos="473"/>
        </w:tabs>
        <w:ind w:left="200" w:hanging="200"/>
        <w:jc w:val="left"/>
      </w:pPr>
      <w:r>
        <w:rPr>
          <w:color w:val="000000"/>
        </w:rPr>
        <w:t>[</w:t>
      </w:r>
      <w:bookmarkStart w:id="23" w:name="BibRef019"/>
      <w:r>
        <w:rPr>
          <w:color w:val="000000"/>
        </w:rPr>
        <w:t>19</w:t>
      </w:r>
      <w:bookmarkEnd w:id="23"/>
      <w:r>
        <w:rPr>
          <w:color w:val="000000"/>
        </w:rPr>
        <w:t>] Liang Y Y, Qin J D, Pedrycz W. Minimum cost consensus model considering dual behavior preference. Computers &amp; Operations Research, 2025, 176: 106961.</w:t>
      </w:r>
    </w:p>
    <w:p w14:paraId="659CD633" w14:textId="77777777" w:rsidR="0063156C" w:rsidRDefault="004E2A51">
      <w:pPr>
        <w:pStyle w:val="a"/>
        <w:numPr>
          <w:ilvl w:val="0"/>
          <w:numId w:val="0"/>
        </w:numPr>
        <w:tabs>
          <w:tab w:val="clear" w:pos="473"/>
        </w:tabs>
        <w:ind w:left="200" w:hanging="200"/>
        <w:jc w:val="left"/>
      </w:pPr>
      <w:r>
        <w:rPr>
          <w:color w:val="000000"/>
        </w:rPr>
        <w:t>[</w:t>
      </w:r>
      <w:bookmarkStart w:id="24" w:name="BibRef020"/>
      <w:r>
        <w:rPr>
          <w:color w:val="000000"/>
        </w:rPr>
        <w:t>20</w:t>
      </w:r>
      <w:bookmarkEnd w:id="24"/>
      <w:r>
        <w:rPr>
          <w:color w:val="000000"/>
        </w:rPr>
        <w:t>] Liu X, Shan Y J, Xu Y J, et al. Minimum cost consensus modeling considering opinion-based variable cost and trust-based tolerance constraints. IEEE Transactions on Computational Social Systems, 2025, 12(5): 3023-3036.</w:t>
      </w:r>
    </w:p>
    <w:p w14:paraId="4CD256F7" w14:textId="77777777" w:rsidR="0063156C" w:rsidRDefault="004E2A51">
      <w:pPr>
        <w:pStyle w:val="a"/>
        <w:numPr>
          <w:ilvl w:val="0"/>
          <w:numId w:val="0"/>
        </w:numPr>
        <w:tabs>
          <w:tab w:val="clear" w:pos="473"/>
        </w:tabs>
        <w:ind w:left="200" w:hanging="200"/>
        <w:jc w:val="left"/>
      </w:pPr>
      <w:r>
        <w:rPr>
          <w:color w:val="000000"/>
        </w:rPr>
        <w:t>[</w:t>
      </w:r>
      <w:bookmarkStart w:id="25" w:name="BibRef021"/>
      <w:r>
        <w:rPr>
          <w:color w:val="000000"/>
        </w:rPr>
        <w:t>21</w:t>
      </w:r>
      <w:bookmarkEnd w:id="25"/>
      <w:r>
        <w:rPr>
          <w:color w:val="000000"/>
        </w:rPr>
        <w:t>] Zhang B W, Huang W J, Dong Y C, et al. Utility-driven minimum cost consensus model with preference learning and fairness concerns. IEEE Transactions on Systems, Man, and Cybernetics: Systems, 2025, 55(7): 4641-4655.</w:t>
      </w:r>
    </w:p>
    <w:p w14:paraId="3C5F25E9" w14:textId="77777777" w:rsidR="0063156C" w:rsidRDefault="004E2A51">
      <w:pPr>
        <w:pStyle w:val="a"/>
        <w:numPr>
          <w:ilvl w:val="0"/>
          <w:numId w:val="0"/>
        </w:numPr>
        <w:tabs>
          <w:tab w:val="clear" w:pos="473"/>
        </w:tabs>
        <w:ind w:left="200" w:hanging="200"/>
        <w:jc w:val="left"/>
      </w:pPr>
      <w:r>
        <w:rPr>
          <w:color w:val="000000"/>
        </w:rPr>
        <w:t>[</w:t>
      </w:r>
      <w:bookmarkStart w:id="26" w:name="BibRef022"/>
      <w:r>
        <w:rPr>
          <w:color w:val="000000"/>
        </w:rPr>
        <w:t>22</w:t>
      </w:r>
      <w:bookmarkEnd w:id="26"/>
      <w:r>
        <w:rPr>
          <w:color w:val="000000"/>
        </w:rPr>
        <w:t>] Shen Y F, Ma X L, Bao Y K, et al. A consensus method based on reinforcement learning for group decision-making. European Journal of Operational Research, 2026, 330(3): 941-955.</w:t>
      </w:r>
    </w:p>
    <w:p w14:paraId="293E2FDE" w14:textId="77777777" w:rsidR="0063156C" w:rsidRDefault="004E2A51">
      <w:pPr>
        <w:pStyle w:val="a"/>
        <w:numPr>
          <w:ilvl w:val="0"/>
          <w:numId w:val="0"/>
        </w:numPr>
        <w:tabs>
          <w:tab w:val="clear" w:pos="473"/>
        </w:tabs>
        <w:ind w:left="200" w:hanging="200"/>
        <w:jc w:val="left"/>
      </w:pPr>
      <w:r>
        <w:rPr>
          <w:color w:val="000000"/>
        </w:rPr>
        <w:t>[</w:t>
      </w:r>
      <w:bookmarkStart w:id="27" w:name="BibRef023"/>
      <w:r>
        <w:rPr>
          <w:color w:val="000000"/>
        </w:rPr>
        <w:t>23</w:t>
      </w:r>
      <w:bookmarkEnd w:id="27"/>
      <w:r>
        <w:rPr>
          <w:color w:val="000000"/>
        </w:rPr>
        <w:t>] Tu Y, Wang W S, Ma Z, et al. Multi-agent reinforcement learning-based consensus building for large-scale group decision making. Information Fusion, 2026, 126: 103629.</w:t>
      </w:r>
    </w:p>
    <w:p w14:paraId="51BF116B" w14:textId="77777777" w:rsidR="0063156C" w:rsidRDefault="004E2A51">
      <w:pPr>
        <w:pStyle w:val="a"/>
        <w:numPr>
          <w:ilvl w:val="0"/>
          <w:numId w:val="0"/>
        </w:numPr>
        <w:tabs>
          <w:tab w:val="clear" w:pos="473"/>
        </w:tabs>
        <w:ind w:left="200" w:hanging="200"/>
        <w:jc w:val="left"/>
      </w:pPr>
      <w:r>
        <w:rPr>
          <w:color w:val="000000"/>
        </w:rPr>
        <w:t>[</w:t>
      </w:r>
      <w:bookmarkStart w:id="28" w:name="BibRef024"/>
      <w:r>
        <w:rPr>
          <w:color w:val="000000"/>
        </w:rPr>
        <w:t>24</w:t>
      </w:r>
      <w:bookmarkEnd w:id="28"/>
      <w:r>
        <w:rPr>
          <w:color w:val="000000"/>
        </w:rPr>
        <w:t>] Vaswani A, Shazeer N, Parmar N, et al. Attention is all you need. Advances in Neural Information Processing Systems, 2017, 30: 5998-6008.</w:t>
      </w:r>
    </w:p>
    <w:p w14:paraId="2A0C116F" w14:textId="77777777" w:rsidR="0063156C" w:rsidRDefault="004E2A51">
      <w:pPr>
        <w:pStyle w:val="a"/>
        <w:numPr>
          <w:ilvl w:val="0"/>
          <w:numId w:val="0"/>
        </w:numPr>
        <w:tabs>
          <w:tab w:val="clear" w:pos="473"/>
        </w:tabs>
        <w:ind w:left="200" w:hanging="200"/>
        <w:jc w:val="left"/>
      </w:pPr>
      <w:r>
        <w:rPr>
          <w:color w:val="000000"/>
        </w:rPr>
        <w:t>[</w:t>
      </w:r>
      <w:bookmarkStart w:id="29" w:name="BibRef025"/>
      <w:r>
        <w:rPr>
          <w:color w:val="000000"/>
        </w:rPr>
        <w:t>25</w:t>
      </w:r>
      <w:bookmarkEnd w:id="29"/>
      <w:r>
        <w:rPr>
          <w:color w:val="000000"/>
        </w:rPr>
        <w:t>] Bahdanau D, Cho K, Bengio Y. Neural machine translation by jointly learning to align and translate. International Conference on Learning Representations, 2015.</w:t>
      </w:r>
    </w:p>
    <w:p w14:paraId="2C05A7D1" w14:textId="77777777" w:rsidR="0063156C" w:rsidRDefault="004E2A51">
      <w:pPr>
        <w:pStyle w:val="a"/>
        <w:numPr>
          <w:ilvl w:val="0"/>
          <w:numId w:val="0"/>
        </w:numPr>
        <w:tabs>
          <w:tab w:val="clear" w:pos="473"/>
        </w:tabs>
        <w:ind w:left="200" w:hanging="200"/>
        <w:jc w:val="left"/>
      </w:pPr>
      <w:r>
        <w:rPr>
          <w:color w:val="000000"/>
        </w:rPr>
        <w:t>[</w:t>
      </w:r>
      <w:bookmarkStart w:id="30" w:name="BibRef026"/>
      <w:r>
        <w:rPr>
          <w:color w:val="000000"/>
        </w:rPr>
        <w:t>26</w:t>
      </w:r>
      <w:bookmarkEnd w:id="30"/>
      <w:r>
        <w:rPr>
          <w:color w:val="000000"/>
        </w:rPr>
        <w:t>] Zaheer M, Kottur S, Ravanbakhsh S, et al. Deep sets. Advances in Neural Information Processing Systems, 2017, 30: 3391-3401.</w:t>
      </w:r>
    </w:p>
    <w:p w14:paraId="7003C441" w14:textId="77777777" w:rsidR="0063156C" w:rsidRDefault="004E2A51">
      <w:pPr>
        <w:pStyle w:val="a"/>
        <w:numPr>
          <w:ilvl w:val="0"/>
          <w:numId w:val="0"/>
        </w:numPr>
        <w:tabs>
          <w:tab w:val="clear" w:pos="473"/>
        </w:tabs>
        <w:ind w:left="200" w:hanging="200"/>
        <w:jc w:val="left"/>
      </w:pPr>
      <w:r>
        <w:rPr>
          <w:color w:val="000000"/>
        </w:rPr>
        <w:t>[</w:t>
      </w:r>
      <w:bookmarkStart w:id="31" w:name="BibRef027"/>
      <w:r>
        <w:rPr>
          <w:color w:val="000000"/>
        </w:rPr>
        <w:t>27</w:t>
      </w:r>
      <w:bookmarkEnd w:id="31"/>
      <w:r>
        <w:rPr>
          <w:color w:val="000000"/>
        </w:rPr>
        <w:t>] Lee J, Lee Y, Kim J, et al. Set Transformer: A framework for attention-based permutation-invariant neural networks. Proceedings of Machine Learning Research, 2019, 97: 3744-3753.</w:t>
      </w:r>
    </w:p>
    <w:p w14:paraId="5B8CEED1" w14:textId="77777777" w:rsidR="0063156C" w:rsidRDefault="004E2A51">
      <w:pPr>
        <w:pStyle w:val="a"/>
        <w:numPr>
          <w:ilvl w:val="0"/>
          <w:numId w:val="0"/>
        </w:numPr>
        <w:tabs>
          <w:tab w:val="clear" w:pos="473"/>
        </w:tabs>
        <w:ind w:left="200" w:hanging="200"/>
        <w:jc w:val="left"/>
      </w:pPr>
      <w:r>
        <w:rPr>
          <w:color w:val="000000"/>
        </w:rPr>
        <w:t>[</w:t>
      </w:r>
      <w:bookmarkStart w:id="32" w:name="BibRef028"/>
      <w:r>
        <w:rPr>
          <w:color w:val="000000"/>
        </w:rPr>
        <w:t>28</w:t>
      </w:r>
      <w:bookmarkEnd w:id="32"/>
      <w:r>
        <w:rPr>
          <w:color w:val="000000"/>
        </w:rPr>
        <w:t>] Kingma D P, Welling M. Auto-encoding variational Bayes. International Conference on Learning Representations, 2014.</w:t>
      </w:r>
    </w:p>
    <w:p w14:paraId="48B2B5D8" w14:textId="77777777" w:rsidR="0063156C" w:rsidRDefault="004E2A51">
      <w:pPr>
        <w:pStyle w:val="a"/>
        <w:numPr>
          <w:ilvl w:val="0"/>
          <w:numId w:val="0"/>
        </w:numPr>
        <w:tabs>
          <w:tab w:val="clear" w:pos="473"/>
        </w:tabs>
        <w:ind w:left="200" w:hanging="200"/>
        <w:jc w:val="left"/>
      </w:pPr>
      <w:r>
        <w:rPr>
          <w:color w:val="000000"/>
        </w:rPr>
        <w:t>[</w:t>
      </w:r>
      <w:bookmarkStart w:id="33" w:name="BibRef029"/>
      <w:r>
        <w:rPr>
          <w:color w:val="000000"/>
        </w:rPr>
        <w:t>29</w:t>
      </w:r>
      <w:bookmarkEnd w:id="33"/>
      <w:r>
        <w:rPr>
          <w:color w:val="000000"/>
        </w:rPr>
        <w:t>] Sutton R S, Barto A G. Reinforcement Learning: An Introduction. 2nd ed. Cambridge, MA: MIT Press, 2018.</w:t>
      </w:r>
    </w:p>
    <w:p w14:paraId="0AF70B38" w14:textId="77777777" w:rsidR="0063156C" w:rsidRDefault="004E2A51">
      <w:pPr>
        <w:pStyle w:val="a"/>
        <w:numPr>
          <w:ilvl w:val="0"/>
          <w:numId w:val="0"/>
        </w:numPr>
        <w:tabs>
          <w:tab w:val="clear" w:pos="473"/>
        </w:tabs>
        <w:ind w:left="200" w:hanging="200"/>
        <w:jc w:val="left"/>
      </w:pPr>
      <w:r>
        <w:rPr>
          <w:color w:val="000000"/>
        </w:rPr>
        <w:lastRenderedPageBreak/>
        <w:t>[</w:t>
      </w:r>
      <w:bookmarkStart w:id="34" w:name="BibRef030"/>
      <w:r>
        <w:rPr>
          <w:color w:val="000000"/>
        </w:rPr>
        <w:t>30</w:t>
      </w:r>
      <w:bookmarkEnd w:id="34"/>
      <w:r>
        <w:rPr>
          <w:color w:val="000000"/>
        </w:rPr>
        <w:t>] Haarnoja T, Zhou A, Abbeel P, Levine S. Soft actor-critic: Off-policy maximum entropy deep reinforcement learning with a stochastic actor. Proceedings of Machine Learning Research, 2018, 80: 1861-1870.</w:t>
      </w:r>
    </w:p>
    <w:p w14:paraId="42761E76" w14:textId="77777777" w:rsidR="0063156C" w:rsidRDefault="004E2A51">
      <w:pPr>
        <w:pStyle w:val="a"/>
        <w:numPr>
          <w:ilvl w:val="0"/>
          <w:numId w:val="0"/>
        </w:numPr>
        <w:tabs>
          <w:tab w:val="clear" w:pos="473"/>
        </w:tabs>
        <w:ind w:left="200" w:hanging="200"/>
        <w:jc w:val="left"/>
      </w:pPr>
      <w:r>
        <w:rPr>
          <w:color w:val="000000"/>
        </w:rPr>
        <w:t>[</w:t>
      </w:r>
      <w:bookmarkStart w:id="35" w:name="BibRef031"/>
      <w:r>
        <w:rPr>
          <w:color w:val="000000"/>
        </w:rPr>
        <w:t>31</w:t>
      </w:r>
      <w:bookmarkEnd w:id="35"/>
      <w:r>
        <w:rPr>
          <w:color w:val="000000"/>
        </w:rPr>
        <w:t>] Lillicrap T P, Hunt J J, Pritzel A, et al. Continuous control with deep reinforcement learning. International Conference on Learning Representations, 2016.</w:t>
      </w:r>
    </w:p>
    <w:p w14:paraId="487B7AC5" w14:textId="77777777" w:rsidR="0063156C" w:rsidRDefault="004E2A51">
      <w:pPr>
        <w:pStyle w:val="a"/>
        <w:numPr>
          <w:ilvl w:val="0"/>
          <w:numId w:val="0"/>
        </w:numPr>
        <w:tabs>
          <w:tab w:val="clear" w:pos="473"/>
        </w:tabs>
        <w:ind w:left="200" w:hanging="200"/>
        <w:jc w:val="left"/>
      </w:pPr>
      <w:r>
        <w:rPr>
          <w:color w:val="000000"/>
        </w:rPr>
        <w:t>[</w:t>
      </w:r>
      <w:bookmarkStart w:id="36" w:name="BibRef032"/>
      <w:r>
        <w:rPr>
          <w:color w:val="000000"/>
        </w:rPr>
        <w:t>32</w:t>
      </w:r>
      <w:bookmarkEnd w:id="36"/>
      <w:r>
        <w:rPr>
          <w:color w:val="000000"/>
        </w:rPr>
        <w:t>] Schulman J, Wolski F, Dhariwal P, et al. Proximal policy optimization algorithms. arXiv:1707.06347, 2017.</w:t>
      </w:r>
    </w:p>
    <w:p w14:paraId="4421B29B" w14:textId="77777777" w:rsidR="0063156C" w:rsidRDefault="004E2A51">
      <w:pPr>
        <w:pStyle w:val="a"/>
        <w:numPr>
          <w:ilvl w:val="0"/>
          <w:numId w:val="0"/>
        </w:numPr>
        <w:tabs>
          <w:tab w:val="clear" w:pos="473"/>
        </w:tabs>
        <w:ind w:left="200" w:hanging="200"/>
        <w:jc w:val="left"/>
      </w:pPr>
      <w:r>
        <w:rPr>
          <w:color w:val="000000"/>
        </w:rPr>
        <w:t>[</w:t>
      </w:r>
      <w:bookmarkStart w:id="37" w:name="BibRef033"/>
      <w:r>
        <w:rPr>
          <w:color w:val="000000"/>
        </w:rPr>
        <w:t>33</w:t>
      </w:r>
      <w:bookmarkEnd w:id="37"/>
      <w:r>
        <w:rPr>
          <w:color w:val="000000"/>
        </w:rPr>
        <w:t>] Fujimoto S, van Hoof H, Meger D. Addressing function approximation error in actor-critic methods. Proceedings of Machine Learning Research, 2018, 80: 1587-1596.</w:t>
      </w:r>
    </w:p>
    <w:p w14:paraId="5BCDB262" w14:textId="77777777" w:rsidR="0063156C" w:rsidRDefault="004E2A51">
      <w:pPr>
        <w:pStyle w:val="a"/>
        <w:numPr>
          <w:ilvl w:val="0"/>
          <w:numId w:val="0"/>
        </w:numPr>
        <w:tabs>
          <w:tab w:val="clear" w:pos="473"/>
        </w:tabs>
        <w:ind w:left="200" w:hanging="200"/>
        <w:jc w:val="left"/>
      </w:pPr>
      <w:r>
        <w:rPr>
          <w:color w:val="000000"/>
        </w:rPr>
        <w:t>[</w:t>
      </w:r>
      <w:bookmarkStart w:id="38" w:name="BibRef034"/>
      <w:r>
        <w:rPr>
          <w:color w:val="000000"/>
        </w:rPr>
        <w:t>34</w:t>
      </w:r>
      <w:bookmarkEnd w:id="38"/>
      <w:r>
        <w:rPr>
          <w:color w:val="000000"/>
        </w:rPr>
        <w:t>] Finn C, Abbeel P, Levine S. Model-agnostic meta-learning for fast adaptation of deep networks. Proceedings of Machine Learning Research, 2017, 70: 1126-1135.</w:t>
      </w:r>
    </w:p>
    <w:p w14:paraId="7D413DC7" w14:textId="77777777" w:rsidR="0063156C" w:rsidRDefault="004E2A51">
      <w:pPr>
        <w:pStyle w:val="a"/>
        <w:numPr>
          <w:ilvl w:val="0"/>
          <w:numId w:val="0"/>
        </w:numPr>
        <w:tabs>
          <w:tab w:val="clear" w:pos="473"/>
        </w:tabs>
        <w:ind w:left="200" w:hanging="200"/>
        <w:jc w:val="left"/>
      </w:pPr>
      <w:r>
        <w:rPr>
          <w:color w:val="000000"/>
        </w:rPr>
        <w:t>[</w:t>
      </w:r>
      <w:bookmarkStart w:id="39" w:name="BibRef035"/>
      <w:r>
        <w:rPr>
          <w:color w:val="000000"/>
        </w:rPr>
        <w:t>35</w:t>
      </w:r>
      <w:bookmarkEnd w:id="39"/>
      <w:r>
        <w:rPr>
          <w:color w:val="000000"/>
        </w:rPr>
        <w:t>] Duan Y, Schulman J, Chen X, et al. RL²: Fast reinforcement learning via slow reinforcement learning. arXiv:1611.02779, 2016.</w:t>
      </w:r>
    </w:p>
    <w:p w14:paraId="4AEBF5E0" w14:textId="77777777" w:rsidR="0063156C" w:rsidRDefault="004E2A51">
      <w:pPr>
        <w:pStyle w:val="a"/>
        <w:numPr>
          <w:ilvl w:val="0"/>
          <w:numId w:val="0"/>
        </w:numPr>
        <w:tabs>
          <w:tab w:val="clear" w:pos="473"/>
        </w:tabs>
        <w:ind w:left="200" w:hanging="200"/>
        <w:jc w:val="left"/>
      </w:pPr>
      <w:r>
        <w:rPr>
          <w:color w:val="000000"/>
        </w:rPr>
        <w:t>[</w:t>
      </w:r>
      <w:bookmarkStart w:id="40" w:name="BibRef036"/>
      <w:r>
        <w:rPr>
          <w:color w:val="000000"/>
        </w:rPr>
        <w:t>36</w:t>
      </w:r>
      <w:bookmarkEnd w:id="40"/>
      <w:r>
        <w:rPr>
          <w:color w:val="000000"/>
        </w:rPr>
        <w:t>] Wang J X, Kurth-Nelson Z, Tirumala D, et al. Learning to reinforcement learn. Proceedings of the 39th Annual Conference of the Cognitive Science Society, 2017: 1331-1338.</w:t>
      </w:r>
    </w:p>
    <w:p w14:paraId="59447282" w14:textId="77777777" w:rsidR="0063156C" w:rsidRDefault="004E2A51">
      <w:pPr>
        <w:pStyle w:val="a"/>
        <w:numPr>
          <w:ilvl w:val="0"/>
          <w:numId w:val="0"/>
        </w:numPr>
        <w:tabs>
          <w:tab w:val="clear" w:pos="473"/>
        </w:tabs>
        <w:ind w:left="200" w:hanging="200"/>
        <w:jc w:val="left"/>
      </w:pPr>
      <w:r>
        <w:rPr>
          <w:color w:val="000000"/>
        </w:rPr>
        <w:t>[</w:t>
      </w:r>
      <w:bookmarkStart w:id="41" w:name="BibRef037"/>
      <w:r>
        <w:rPr>
          <w:color w:val="000000"/>
        </w:rPr>
        <w:t>37</w:t>
      </w:r>
      <w:bookmarkEnd w:id="41"/>
      <w:r>
        <w:rPr>
          <w:color w:val="000000"/>
        </w:rPr>
        <w:t>] Rakelly K, Zhou A, Finn C, et al. Efficient off-policy meta-reinforcement learning via probabilistic context variables. Proceedings of Machine Learning Research, 2019, 97: 5331-5340.</w:t>
      </w:r>
    </w:p>
    <w:p w14:paraId="31E9C0CA" w14:textId="77777777" w:rsidR="0063156C" w:rsidRDefault="004E2A51">
      <w:pPr>
        <w:pStyle w:val="a"/>
        <w:numPr>
          <w:ilvl w:val="0"/>
          <w:numId w:val="0"/>
        </w:numPr>
        <w:tabs>
          <w:tab w:val="clear" w:pos="473"/>
        </w:tabs>
        <w:ind w:left="200" w:hanging="200"/>
        <w:jc w:val="left"/>
      </w:pPr>
      <w:r>
        <w:rPr>
          <w:color w:val="000000"/>
        </w:rPr>
        <w:t>[</w:t>
      </w:r>
      <w:bookmarkStart w:id="42" w:name="BibRef038"/>
      <w:r>
        <w:rPr>
          <w:color w:val="000000"/>
        </w:rPr>
        <w:t>38</w:t>
      </w:r>
      <w:bookmarkEnd w:id="42"/>
      <w:r>
        <w:rPr>
          <w:color w:val="000000"/>
        </w:rPr>
        <w:t>] Zintgraf L M, Shiarlis K, Igl M, et al. VariBAD: A very good method for Bayes-adaptive deep RL via meta-learning. International Conference on Learning Representations, 2020.</w:t>
      </w:r>
    </w:p>
    <w:p w14:paraId="6F95DDDF" w14:textId="77777777" w:rsidR="0063156C" w:rsidRDefault="004E2A51">
      <w:pPr>
        <w:pStyle w:val="a"/>
        <w:numPr>
          <w:ilvl w:val="0"/>
          <w:numId w:val="0"/>
        </w:numPr>
        <w:tabs>
          <w:tab w:val="clear" w:pos="473"/>
        </w:tabs>
        <w:ind w:left="200" w:hanging="200"/>
        <w:jc w:val="left"/>
      </w:pPr>
      <w:r>
        <w:rPr>
          <w:color w:val="000000"/>
        </w:rPr>
        <w:t>[</w:t>
      </w:r>
      <w:bookmarkStart w:id="43" w:name="BibRef039"/>
      <w:r>
        <w:rPr>
          <w:color w:val="000000"/>
        </w:rPr>
        <w:t>39</w:t>
      </w:r>
      <w:bookmarkEnd w:id="43"/>
      <w:r>
        <w:rPr>
          <w:color w:val="000000"/>
        </w:rPr>
        <w:t>] Efron B, Tibshirani R J. An Introduction to the Bootstrap. New York: Chapman &amp; Hall, 1993.</w:t>
      </w:r>
    </w:p>
    <w:p w14:paraId="636DA1B4" w14:textId="77777777" w:rsidR="0063156C" w:rsidRDefault="004E2A51">
      <w:pPr>
        <w:pStyle w:val="a"/>
        <w:numPr>
          <w:ilvl w:val="0"/>
          <w:numId w:val="0"/>
        </w:numPr>
        <w:tabs>
          <w:tab w:val="clear" w:pos="473"/>
        </w:tabs>
        <w:ind w:left="200" w:hanging="200"/>
        <w:jc w:val="left"/>
      </w:pPr>
      <w:r>
        <w:rPr>
          <w:color w:val="000000"/>
        </w:rPr>
        <w:t>[</w:t>
      </w:r>
      <w:bookmarkStart w:id="44" w:name="BibRef040"/>
      <w:r>
        <w:rPr>
          <w:color w:val="000000"/>
        </w:rPr>
        <w:t>40</w:t>
      </w:r>
      <w:bookmarkEnd w:id="44"/>
      <w:r>
        <w:rPr>
          <w:color w:val="000000"/>
        </w:rPr>
        <w:t>] Davison A C, Hinkley D V. Bootstrap Methods and Their Application. Cambridge: Cambridge University Press, 1997.</w:t>
      </w:r>
    </w:p>
    <w:sectPr w:rsidR="0063156C">
      <w:endnotePr>
        <w:numFmt w:val="decimal"/>
      </w:endnotePr>
      <w:pgSz w:w="11906" w:h="16838"/>
      <w:pgMar w:top="1701" w:right="1134" w:bottom="1134" w:left="1134" w:header="567" w:footer="567" w:gutter="0"/>
      <w:cols w:num="2"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42">
      <wne:acd wne:acdName="acd8"/>
    </wne:keymap>
    <wne:keymap wne:kcmPrimary="0447">
      <wne:acd wne:acdName="acd9"/>
    </wne:keymap>
    <wne:keymap wne:kcmPrimary="044A">
      <wne:acd wne:acdName="acd10"/>
    </wne:keymap>
    <wne:keymap wne:kcmPrimary="0450">
      <wne:acd wne:acdName="acd11"/>
    </wne:keymap>
    <wne:keymap wne:kcmPrimary="0452">
      <wne:acd wne:acdName="acd12"/>
    </wne:keymap>
    <wne:keymap wne:kcmPrimary="045A">
      <wne:acd wne:acdName="acd13"/>
    </wne:keymap>
    <wne:keymap wne:kcmPrimary="0542">
      <wne:acd wne:acdName="acd14"/>
    </wne:keymap>
    <wne:keymap wne:kcmPrimary="0547">
      <wne:acd wne:acdName="acd15"/>
    </wne:keymap>
    <wne:keymap wne:kcmPrimary="0550">
      <wne:acd wne:acdName="acd16"/>
    </wne:keymap>
    <wne:keymap wne:kcmPrimary="0634">
      <wne:acd wne:acdName="acd17"/>
    </wne:keymap>
    <wne:keymap wne:kcmPrimary="0635">
      <wne:acd wne:acdName="acd18"/>
    </wne:keymap>
    <wne:keymap wne:kcmPrimary="0636">
      <wne:acd wne:acdName="acd19"/>
    </wne:keymap>
    <wne:keymap wne:kcmPrimary="0637">
      <wne:acd wne:acdName="acd20"/>
    </wne:keymap>
    <wne:keymap wne:kcmPrimary="0638">
      <wne:acd wne:acdName="acd21"/>
    </wne:keymap>
    <wne:keymap wne:kcmPrimary="0642">
      <wne:acd wne:acdName="acd22"/>
    </wne:keymap>
    <wne:keymap wne:kcmPrimary="0647">
      <wne:acd wne:acdName="acd23"/>
    </wne:keymap>
    <wne:keymap wne:kcmPrimary="064A">
      <wne:acd wne:acdName="acd24"/>
    </wne:keymap>
    <wne:keymap wne:kcmPrimary="0650">
      <wne:acd wne:acdName="acd2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Manifest>
  </wne:toolbars>
  <wne:acds>
    <wne:acd wne:argValue="AgAATqd+B2iYmDdoD18=" wne:acdName="acd0" wne:fciIndexBasedOn="0065"/>
    <wne:acd wne:argValue="AgCMTqd+B2iYmDdoD18=" wne:acdName="acd1" wne:fciIndexBasedOn="0065"/>
    <wne:acd wne:argValue="AgAJTqd+B2iYmDdoD18=" wne:acdName="acd2" wne:fciIndexBasedOn="0065"/>
    <wne:acd wne:argValue="AgAI/y1OCf8HaJiYN2gPXw==" wne:acdName="acd3" wne:fciIndexBasedOn="0065"/>
    <wne:acd wne:argValue="AgAI/y1OCf9cTwWA01kNVDdoD18=" wne:acdName="acd4" wne:fciIndexBasedOn="0065"/>
    <wne:acd wne:argValue="AgAI/y1OCf9cTwWAVVNNTzdoD18=" wne:acdName="acd5" wne:fciIndexBasedOn="0065"/>
    <wne:acd wne:argValue="AgAI/y1OCf9YZIGJN2gPXw==" wne:acdName="acd6" wne:fciIndexBasedOn="0065"/>
    <wne:acd wne:argValue="AgAI/y1OCf9zUS6VzYs3aA9f" wne:acdName="acd7" wne:fciIndexBasedOn="0065"/>
    <wne:acd wne:argValue="AgBoiDxoN2gPXw==" wne:acdName="acd8" wne:fciIndexBasedOn="0065"/>
    <wne:acd wne:argValue="AgBsUQ9fN2gPXw==" wne:acdName="acd9" wne:fciIndexBasedOn="0065"/>
    <wne:acd wne:argValue="AgAI/y1OCf/+VuhsN2gPXw==" wne:acdName="acd10" wne:fciIndexBasedOn="0065"/>
    <wne:acd wne:argValue="AgD+VjdoD18=" wne:acdName="acd11" wne:fciIndexBasedOn="0065"/>
    <wne:acd wne:argValue="AgDCUwOAh2Uuc4VRuVs3aA9f" wne:acdName="acd12" wne:fciIndexBasedOn="0065"/>
    <wne:acd wne:argValue="AgBja4dlN2gPXw==" wne:acdName="acd13" wne:fciIndexBasedOn="0065"/>
    <wne:acd wne:argValue="AgAI/y1OCf9oiJiYN2gPXw==" wne:acdName="acd14" wne:fciIndexBasedOn="0065"/>
    <wne:acd wne:argValue="AgAI/y1OCf9oiOhsN2gPXw==" wne:acdName="acd15" wne:fciIndexBasedOn="0065"/>
    <wne:acd wne:argValue="AgAI/y1OCf/+VpiYN2gPXw==" wne:acdName="acd16" wne:fciIndexBasedOn="0065"/>
    <wne:acd wne:argValue="AgAI//GCCf8HaJiYN2gPXw==" wne:acdName="acd17" wne:fciIndexBasedOn="0065"/>
    <wne:acd wne:argValue="AgAI//GCCf9cTwWA01kNVDdoD18=" wne:acdName="acd18" wne:fciIndexBasedOn="0065"/>
    <wne:acd wne:argValue="AgAI//GCCf9cTwWAVVNNTzdoD18=" wne:acdName="acd19" wne:fciIndexBasedOn="0065"/>
    <wne:acd wne:argValue="AgAI//GCCf9YZIGJN2gPXw==" wne:acdName="acd20" wne:fciIndexBasedOn="0065"/>
    <wne:acd wne:argValue="AgAI//GCCf9zUS6VzYs3aA9f" wne:acdName="acd21" wne:fciIndexBasedOn="0065"/>
    <wne:acd wne:argValue="AgAI//GCCf9oiJiYN2gPXw==" wne:acdName="acd22" wne:fciIndexBasedOn="0065"/>
    <wne:acd wne:argValue="AgAI//GCCf9oiOhsN2gPXw==" wne:acdName="acd23" wne:fciIndexBasedOn="0065"/>
    <wne:acd wne:argValue="AgAI//GCCf/+VuhsN2gPXw==" wne:acdName="acd24" wne:fciIndexBasedOn="0065"/>
    <wne:acd wne:argValue="AgAI//GCCf/+VpiYN2gPXw==" wne:acdName="acd2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3547" w14:textId="77777777" w:rsidR="009A0C0A" w:rsidRDefault="009A0C0A">
      <w:r>
        <w:separator/>
      </w:r>
    </w:p>
  </w:endnote>
  <w:endnote w:type="continuationSeparator" w:id="0">
    <w:p w14:paraId="4391B7EE" w14:textId="77777777" w:rsidR="009A0C0A" w:rsidRDefault="009A0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4C67" w14:textId="77777777" w:rsidR="00F91D25" w:rsidRDefault="00F91D25" w:rsidP="00F91D25">
    <w:pPr>
      <w:pStyle w:val="a6"/>
      <w:jc w:val="center"/>
    </w:pPr>
    <w:r>
      <w:rPr>
        <w:sz w:val="16"/>
      </w:rPr>
      <w:fldChar w:fldCharType="begin"/>
    </w:r>
    <w:r>
      <w:rPr>
        <w:sz w:val="16"/>
      </w:rPr>
      <w:instrText xml:space="preserve"> PAGE </w:instrText>
    </w:r>
    <w:r>
      <w:rPr>
        <w:sz w:val="16"/>
      </w:rPr>
      <w:fldChar w:fldCharType="separate"/>
    </w:r>
    <w:r w:rsidR="00F32F0E">
      <w:rPr>
        <w:noProof/>
        <w:sz w:val="16"/>
      </w:rPr>
      <w:t>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3384" w14:textId="77777777" w:rsidR="0063156C" w:rsidRDefault="004E2A51">
    <w:pPr>
      <w:jc w:val="center"/>
    </w:pPr>
    <w:r>
      <w:rPr>
        <w:sz w:val="16"/>
      </w:rPr>
      <w:fldChar w:fldCharType="begin"/>
    </w:r>
    <w:r>
      <w:rPr>
        <w:sz w:val="16"/>
      </w:rPr>
      <w:instrText xml:space="preserve"> PAGE </w:instrText>
    </w:r>
    <w:r>
      <w:rPr>
        <w:sz w:val="16"/>
      </w:rPr>
      <w:fldChar w:fldCharType="separate"/>
    </w:r>
    <w:r w:rsidR="00F32F0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4C6E" w14:textId="77777777" w:rsidR="009A0C0A" w:rsidRDefault="009A0C0A">
      <w:r>
        <w:separator/>
      </w:r>
    </w:p>
  </w:footnote>
  <w:footnote w:type="continuationSeparator" w:id="0">
    <w:p w14:paraId="75DD786C" w14:textId="77777777" w:rsidR="009A0C0A" w:rsidRDefault="009A0C0A">
      <w:r>
        <w:continuationSeparator/>
      </w:r>
    </w:p>
  </w:footnote>
  <w:footnote w:id="1">
    <w:p w14:paraId="5DC17DE7" w14:textId="77777777" w:rsidR="00F32F0E" w:rsidRDefault="00F32F0E" w:rsidP="00F32F0E">
      <w:pPr>
        <w:ind w:left="1050" w:hangingChars="500" w:hanging="1050"/>
      </w:pPr>
      <w:r>
        <w:rPr>
          <w:rFonts w:eastAsia="Times New Roman"/>
          <w:color w:val="000000"/>
          <w:lang w:eastAsia="en-US"/>
        </w:rPr>
        <w:t xml:space="preserve">Funding: </w:t>
      </w:r>
      <w:bookmarkStart w:id="2" w:name="中文基金项目_带色_1"/>
      <w:r>
        <w:rPr>
          <w:rFonts w:eastAsia="Times New Roman"/>
          <w:color w:val="000000"/>
          <w:kern w:val="0"/>
          <w:lang w:eastAsia="en-US"/>
        </w:rPr>
        <w:t>National Natural Science Foundation of China (72471137); Shanghai Magnolia Talent Program Pujiang Project (24PJC042); Shanghai Philosophy and Social Sciences Planning Project (2025EZH002)</w:t>
      </w:r>
      <w:bookmarkEnd w:id="2"/>
    </w:p>
    <w:p w14:paraId="6308016D" w14:textId="77777777" w:rsidR="00F32F0E" w:rsidRDefault="00F32F0E" w:rsidP="00F32F0E">
      <w:pPr>
        <w:ind w:left="1291" w:hangingChars="615" w:hanging="1291"/>
      </w:pPr>
      <w:bookmarkStart w:id="3" w:name="[（中）作者简介]_1"/>
      <w:r>
        <w:rPr>
          <w:rFonts w:eastAsia="Times New Roman"/>
          <w:lang w:eastAsia="en-US"/>
        </w:rPr>
        <w:t xml:space="preserve">Author </w:t>
      </w:r>
      <w:r>
        <w:rPr>
          <w:rFonts w:eastAsia="Times New Roman" w:hint="eastAsia"/>
          <w:lang w:eastAsia="en-US"/>
        </w:rPr>
        <w:t>biography:</w:t>
      </w:r>
      <w:bookmarkEnd w:id="3"/>
    </w:p>
    <w:p w14:paraId="452B8BC3" w14:textId="77777777" w:rsidR="00F32F0E" w:rsidRDefault="00F32F0E" w:rsidP="00F32F0E">
      <w:pPr>
        <w:ind w:left="1050" w:hangingChars="500" w:hanging="1050"/>
      </w:pPr>
      <w:r>
        <w:rPr>
          <w:rFonts w:eastAsia="Times New Roman" w:hint="eastAsia"/>
          <w:color w:val="000000"/>
          <w:lang w:eastAsia="en-US"/>
        </w:rPr>
        <w:t xml:space="preserve">Corresponding </w:t>
      </w:r>
      <w:r>
        <w:rPr>
          <w:rFonts w:eastAsia="Times New Roman"/>
          <w:color w:val="000000"/>
          <w:lang w:eastAsia="en-US"/>
        </w:rPr>
        <w:t xml:space="preserve">author: </w:t>
      </w:r>
      <w:bookmarkStart w:id="4" w:name="中文通信作者_带色_1"/>
      <w:r>
        <w:rPr>
          <w:rFonts w:eastAsia="Times New Roman"/>
          <w:color w:val="000000"/>
          <w:kern w:val="0"/>
          <w:lang w:eastAsia="en-US"/>
        </w:rPr>
        <w:t>Jian Wu (born 1977), male, Han nationality, from Wuxi, Jiangsu Province; Distinguished Professor under the 'Voyage Program' of Shanghai Maritime University and doctoral supervisor. Research interests: group decision-making and social network analysis. E-mail: jyajian@163.com</w:t>
      </w:r>
      <w:bookmarkEnd w:id="4"/>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700D6"/>
    <w:multiLevelType w:val="multilevel"/>
    <w:tmpl w:val="29B700D6"/>
    <w:lvl w:ilvl="0">
      <w:start w:val="1"/>
      <w:numFmt w:val="decimal"/>
      <w:pStyle w:val="a"/>
      <w:lvlText w:val="[%1]"/>
      <w:lvlJc w:val="left"/>
      <w:pPr>
        <w:tabs>
          <w:tab w:val="left" w:pos="473"/>
        </w:tabs>
        <w:ind w:left="473" w:hanging="420"/>
      </w:pPr>
      <w:rPr>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3035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C29"/>
    <w:rsid w:val="0000332D"/>
    <w:rsid w:val="00004124"/>
    <w:rsid w:val="0001112B"/>
    <w:rsid w:val="0001197E"/>
    <w:rsid w:val="00014142"/>
    <w:rsid w:val="00014462"/>
    <w:rsid w:val="00015743"/>
    <w:rsid w:val="00017E00"/>
    <w:rsid w:val="000210B7"/>
    <w:rsid w:val="000211A6"/>
    <w:rsid w:val="00022CD2"/>
    <w:rsid w:val="00023B18"/>
    <w:rsid w:val="000309E2"/>
    <w:rsid w:val="00030B34"/>
    <w:rsid w:val="00033172"/>
    <w:rsid w:val="00034ACB"/>
    <w:rsid w:val="000419CC"/>
    <w:rsid w:val="00042793"/>
    <w:rsid w:val="00043C7D"/>
    <w:rsid w:val="00045B6D"/>
    <w:rsid w:val="00045E14"/>
    <w:rsid w:val="00047F6F"/>
    <w:rsid w:val="00052100"/>
    <w:rsid w:val="0005297D"/>
    <w:rsid w:val="000529D3"/>
    <w:rsid w:val="0005534D"/>
    <w:rsid w:val="00055399"/>
    <w:rsid w:val="00055951"/>
    <w:rsid w:val="00061100"/>
    <w:rsid w:val="00062FFF"/>
    <w:rsid w:val="00070F5B"/>
    <w:rsid w:val="00071015"/>
    <w:rsid w:val="00071D2F"/>
    <w:rsid w:val="00072458"/>
    <w:rsid w:val="00077718"/>
    <w:rsid w:val="00077F9F"/>
    <w:rsid w:val="0008296D"/>
    <w:rsid w:val="00083893"/>
    <w:rsid w:val="000872BC"/>
    <w:rsid w:val="00090ADF"/>
    <w:rsid w:val="000942E4"/>
    <w:rsid w:val="00095BE8"/>
    <w:rsid w:val="000A2302"/>
    <w:rsid w:val="000A2307"/>
    <w:rsid w:val="000A2B0E"/>
    <w:rsid w:val="000A3FD0"/>
    <w:rsid w:val="000A44CE"/>
    <w:rsid w:val="000A4F21"/>
    <w:rsid w:val="000A5063"/>
    <w:rsid w:val="000A6821"/>
    <w:rsid w:val="000B28E7"/>
    <w:rsid w:val="000B7F45"/>
    <w:rsid w:val="000C0410"/>
    <w:rsid w:val="000D4C8E"/>
    <w:rsid w:val="000D4CD6"/>
    <w:rsid w:val="000D64AE"/>
    <w:rsid w:val="000E2AC4"/>
    <w:rsid w:val="000E2B46"/>
    <w:rsid w:val="000E404F"/>
    <w:rsid w:val="000E71E5"/>
    <w:rsid w:val="000F119D"/>
    <w:rsid w:val="000F1223"/>
    <w:rsid w:val="000F737E"/>
    <w:rsid w:val="000F7CA9"/>
    <w:rsid w:val="001010E5"/>
    <w:rsid w:val="00101FC2"/>
    <w:rsid w:val="00102468"/>
    <w:rsid w:val="0010260B"/>
    <w:rsid w:val="00102B00"/>
    <w:rsid w:val="00104831"/>
    <w:rsid w:val="0010561A"/>
    <w:rsid w:val="00106CA2"/>
    <w:rsid w:val="001104A2"/>
    <w:rsid w:val="00111C98"/>
    <w:rsid w:val="001125C2"/>
    <w:rsid w:val="00114715"/>
    <w:rsid w:val="00115696"/>
    <w:rsid w:val="00116E07"/>
    <w:rsid w:val="001219BB"/>
    <w:rsid w:val="00130EF5"/>
    <w:rsid w:val="0013490A"/>
    <w:rsid w:val="001367B9"/>
    <w:rsid w:val="00136C1A"/>
    <w:rsid w:val="001378AD"/>
    <w:rsid w:val="001410CC"/>
    <w:rsid w:val="00141C30"/>
    <w:rsid w:val="00143495"/>
    <w:rsid w:val="00143F82"/>
    <w:rsid w:val="0015005B"/>
    <w:rsid w:val="001510EA"/>
    <w:rsid w:val="00151515"/>
    <w:rsid w:val="00152BDF"/>
    <w:rsid w:val="00152F2C"/>
    <w:rsid w:val="0015305F"/>
    <w:rsid w:val="0015361B"/>
    <w:rsid w:val="00154284"/>
    <w:rsid w:val="001545C1"/>
    <w:rsid w:val="00154C33"/>
    <w:rsid w:val="001661D7"/>
    <w:rsid w:val="00171BBD"/>
    <w:rsid w:val="00171C1F"/>
    <w:rsid w:val="0017335C"/>
    <w:rsid w:val="001746DD"/>
    <w:rsid w:val="001831AA"/>
    <w:rsid w:val="0018615D"/>
    <w:rsid w:val="00186C65"/>
    <w:rsid w:val="00186D62"/>
    <w:rsid w:val="001951C2"/>
    <w:rsid w:val="001973AF"/>
    <w:rsid w:val="001A0D12"/>
    <w:rsid w:val="001A1C05"/>
    <w:rsid w:val="001A3DA4"/>
    <w:rsid w:val="001A4454"/>
    <w:rsid w:val="001A4CDE"/>
    <w:rsid w:val="001A4EE8"/>
    <w:rsid w:val="001B28E6"/>
    <w:rsid w:val="001B3392"/>
    <w:rsid w:val="001B4CA9"/>
    <w:rsid w:val="001C13CE"/>
    <w:rsid w:val="001C145B"/>
    <w:rsid w:val="001C19E5"/>
    <w:rsid w:val="001C4D64"/>
    <w:rsid w:val="001C4ECE"/>
    <w:rsid w:val="001C6D6C"/>
    <w:rsid w:val="001D059C"/>
    <w:rsid w:val="001D0FC5"/>
    <w:rsid w:val="001E10D1"/>
    <w:rsid w:val="001E33FF"/>
    <w:rsid w:val="001E5D2B"/>
    <w:rsid w:val="001E6217"/>
    <w:rsid w:val="001E6FD4"/>
    <w:rsid w:val="001E719A"/>
    <w:rsid w:val="001F2AA3"/>
    <w:rsid w:val="001F71B7"/>
    <w:rsid w:val="00201089"/>
    <w:rsid w:val="00202560"/>
    <w:rsid w:val="00202B73"/>
    <w:rsid w:val="00202E68"/>
    <w:rsid w:val="00202ECF"/>
    <w:rsid w:val="00203CDD"/>
    <w:rsid w:val="00204DCF"/>
    <w:rsid w:val="0020532C"/>
    <w:rsid w:val="00205FE8"/>
    <w:rsid w:val="00207073"/>
    <w:rsid w:val="00207E0C"/>
    <w:rsid w:val="00213384"/>
    <w:rsid w:val="00216455"/>
    <w:rsid w:val="0021711C"/>
    <w:rsid w:val="002205F5"/>
    <w:rsid w:val="002255F0"/>
    <w:rsid w:val="002307EA"/>
    <w:rsid w:val="00235B62"/>
    <w:rsid w:val="002408DD"/>
    <w:rsid w:val="0024176D"/>
    <w:rsid w:val="00245899"/>
    <w:rsid w:val="00247D2C"/>
    <w:rsid w:val="002501B5"/>
    <w:rsid w:val="00255138"/>
    <w:rsid w:val="00255E98"/>
    <w:rsid w:val="002571B3"/>
    <w:rsid w:val="002602D7"/>
    <w:rsid w:val="00260619"/>
    <w:rsid w:val="0026166D"/>
    <w:rsid w:val="00265B9A"/>
    <w:rsid w:val="00270FE8"/>
    <w:rsid w:val="00272EBB"/>
    <w:rsid w:val="00280ECE"/>
    <w:rsid w:val="0028660B"/>
    <w:rsid w:val="002929FD"/>
    <w:rsid w:val="0029417D"/>
    <w:rsid w:val="00295A27"/>
    <w:rsid w:val="00297166"/>
    <w:rsid w:val="002A2990"/>
    <w:rsid w:val="002B02D8"/>
    <w:rsid w:val="002B1DF0"/>
    <w:rsid w:val="002B4D7B"/>
    <w:rsid w:val="002B5482"/>
    <w:rsid w:val="002B6997"/>
    <w:rsid w:val="002B6D33"/>
    <w:rsid w:val="002B7A88"/>
    <w:rsid w:val="002C35B8"/>
    <w:rsid w:val="002C3624"/>
    <w:rsid w:val="002C77AE"/>
    <w:rsid w:val="002D0B7E"/>
    <w:rsid w:val="002D1159"/>
    <w:rsid w:val="002D1F11"/>
    <w:rsid w:val="002D2135"/>
    <w:rsid w:val="002D7892"/>
    <w:rsid w:val="002E15AE"/>
    <w:rsid w:val="002E2021"/>
    <w:rsid w:val="002E22EA"/>
    <w:rsid w:val="002E2F2E"/>
    <w:rsid w:val="002E4D7B"/>
    <w:rsid w:val="002E6630"/>
    <w:rsid w:val="002E7C16"/>
    <w:rsid w:val="002F4248"/>
    <w:rsid w:val="002F45F1"/>
    <w:rsid w:val="002F461F"/>
    <w:rsid w:val="002F4A5B"/>
    <w:rsid w:val="002F561E"/>
    <w:rsid w:val="00301F52"/>
    <w:rsid w:val="00303218"/>
    <w:rsid w:val="003050BA"/>
    <w:rsid w:val="0030690B"/>
    <w:rsid w:val="00307D7C"/>
    <w:rsid w:val="00310A97"/>
    <w:rsid w:val="00311143"/>
    <w:rsid w:val="00311715"/>
    <w:rsid w:val="00317EC9"/>
    <w:rsid w:val="00321559"/>
    <w:rsid w:val="00322197"/>
    <w:rsid w:val="003226DC"/>
    <w:rsid w:val="003233EF"/>
    <w:rsid w:val="003275B9"/>
    <w:rsid w:val="00330D02"/>
    <w:rsid w:val="00332E8D"/>
    <w:rsid w:val="0033327C"/>
    <w:rsid w:val="00335E1D"/>
    <w:rsid w:val="00335F4F"/>
    <w:rsid w:val="00337FEC"/>
    <w:rsid w:val="003416C7"/>
    <w:rsid w:val="003419B4"/>
    <w:rsid w:val="0034265E"/>
    <w:rsid w:val="0034348C"/>
    <w:rsid w:val="00344202"/>
    <w:rsid w:val="00346FA3"/>
    <w:rsid w:val="00346FEA"/>
    <w:rsid w:val="00347004"/>
    <w:rsid w:val="0035133D"/>
    <w:rsid w:val="003533B4"/>
    <w:rsid w:val="00354CAA"/>
    <w:rsid w:val="00354E3C"/>
    <w:rsid w:val="00355885"/>
    <w:rsid w:val="00356C1B"/>
    <w:rsid w:val="00357BAE"/>
    <w:rsid w:val="00361F82"/>
    <w:rsid w:val="00363E72"/>
    <w:rsid w:val="0036403A"/>
    <w:rsid w:val="0036406E"/>
    <w:rsid w:val="003640AB"/>
    <w:rsid w:val="00364659"/>
    <w:rsid w:val="003710DD"/>
    <w:rsid w:val="00371103"/>
    <w:rsid w:val="00372B1B"/>
    <w:rsid w:val="00372F05"/>
    <w:rsid w:val="00373497"/>
    <w:rsid w:val="0037444A"/>
    <w:rsid w:val="003762D7"/>
    <w:rsid w:val="00376688"/>
    <w:rsid w:val="00377054"/>
    <w:rsid w:val="003803DA"/>
    <w:rsid w:val="0038081E"/>
    <w:rsid w:val="00382B63"/>
    <w:rsid w:val="00383979"/>
    <w:rsid w:val="00383D17"/>
    <w:rsid w:val="00383F2B"/>
    <w:rsid w:val="0038459F"/>
    <w:rsid w:val="00385DB4"/>
    <w:rsid w:val="00386EC4"/>
    <w:rsid w:val="003909B3"/>
    <w:rsid w:val="0039167C"/>
    <w:rsid w:val="00394D48"/>
    <w:rsid w:val="00396422"/>
    <w:rsid w:val="003A1B14"/>
    <w:rsid w:val="003A24E1"/>
    <w:rsid w:val="003A4336"/>
    <w:rsid w:val="003B022B"/>
    <w:rsid w:val="003B177D"/>
    <w:rsid w:val="003B1EC2"/>
    <w:rsid w:val="003B22BC"/>
    <w:rsid w:val="003B4A19"/>
    <w:rsid w:val="003B5C16"/>
    <w:rsid w:val="003B68B6"/>
    <w:rsid w:val="003C1775"/>
    <w:rsid w:val="003C3D65"/>
    <w:rsid w:val="003C4084"/>
    <w:rsid w:val="003C5EF7"/>
    <w:rsid w:val="003C6816"/>
    <w:rsid w:val="003C7DB3"/>
    <w:rsid w:val="003D2A94"/>
    <w:rsid w:val="003D2CC0"/>
    <w:rsid w:val="003D2F45"/>
    <w:rsid w:val="003D4EBA"/>
    <w:rsid w:val="003E021B"/>
    <w:rsid w:val="003E0DA2"/>
    <w:rsid w:val="003E0DAE"/>
    <w:rsid w:val="003E1950"/>
    <w:rsid w:val="003E1B2F"/>
    <w:rsid w:val="003E5E55"/>
    <w:rsid w:val="003E630D"/>
    <w:rsid w:val="003E64B1"/>
    <w:rsid w:val="003E663D"/>
    <w:rsid w:val="003E6FC3"/>
    <w:rsid w:val="003E791C"/>
    <w:rsid w:val="003F0CE2"/>
    <w:rsid w:val="003F1C80"/>
    <w:rsid w:val="003F7227"/>
    <w:rsid w:val="004006AC"/>
    <w:rsid w:val="004116CF"/>
    <w:rsid w:val="004118F7"/>
    <w:rsid w:val="00412E58"/>
    <w:rsid w:val="00412FFD"/>
    <w:rsid w:val="0041436F"/>
    <w:rsid w:val="00414404"/>
    <w:rsid w:val="00414D69"/>
    <w:rsid w:val="00421398"/>
    <w:rsid w:val="0042208B"/>
    <w:rsid w:val="00425A1A"/>
    <w:rsid w:val="004305D5"/>
    <w:rsid w:val="00435D18"/>
    <w:rsid w:val="004368A9"/>
    <w:rsid w:val="004400AE"/>
    <w:rsid w:val="00441252"/>
    <w:rsid w:val="00442442"/>
    <w:rsid w:val="004436DA"/>
    <w:rsid w:val="004437AB"/>
    <w:rsid w:val="00443963"/>
    <w:rsid w:val="00446777"/>
    <w:rsid w:val="00446AE4"/>
    <w:rsid w:val="00450722"/>
    <w:rsid w:val="00451832"/>
    <w:rsid w:val="004518A4"/>
    <w:rsid w:val="00455AEC"/>
    <w:rsid w:val="00456620"/>
    <w:rsid w:val="004611F4"/>
    <w:rsid w:val="00462F24"/>
    <w:rsid w:val="00467176"/>
    <w:rsid w:val="004675F0"/>
    <w:rsid w:val="00471B3C"/>
    <w:rsid w:val="004740C1"/>
    <w:rsid w:val="00474452"/>
    <w:rsid w:val="00474894"/>
    <w:rsid w:val="004772CC"/>
    <w:rsid w:val="0047768D"/>
    <w:rsid w:val="004779C8"/>
    <w:rsid w:val="00490915"/>
    <w:rsid w:val="00493593"/>
    <w:rsid w:val="0049594A"/>
    <w:rsid w:val="00495B85"/>
    <w:rsid w:val="0049628D"/>
    <w:rsid w:val="00496750"/>
    <w:rsid w:val="00497E09"/>
    <w:rsid w:val="004A1008"/>
    <w:rsid w:val="004A25B3"/>
    <w:rsid w:val="004A3F56"/>
    <w:rsid w:val="004B2E13"/>
    <w:rsid w:val="004C00C5"/>
    <w:rsid w:val="004C1CD7"/>
    <w:rsid w:val="004C3BD4"/>
    <w:rsid w:val="004C3CA6"/>
    <w:rsid w:val="004C4BD8"/>
    <w:rsid w:val="004C5E87"/>
    <w:rsid w:val="004C7264"/>
    <w:rsid w:val="004D1BED"/>
    <w:rsid w:val="004D2669"/>
    <w:rsid w:val="004D5946"/>
    <w:rsid w:val="004D7855"/>
    <w:rsid w:val="004E1EFE"/>
    <w:rsid w:val="004E2A51"/>
    <w:rsid w:val="004E34C3"/>
    <w:rsid w:val="004E3877"/>
    <w:rsid w:val="004E50B5"/>
    <w:rsid w:val="004E6AA6"/>
    <w:rsid w:val="004F2123"/>
    <w:rsid w:val="004F24B3"/>
    <w:rsid w:val="004F2906"/>
    <w:rsid w:val="004F6F43"/>
    <w:rsid w:val="004F7ED8"/>
    <w:rsid w:val="00500D46"/>
    <w:rsid w:val="0050107F"/>
    <w:rsid w:val="00501895"/>
    <w:rsid w:val="00503BA6"/>
    <w:rsid w:val="0050585E"/>
    <w:rsid w:val="00506409"/>
    <w:rsid w:val="00511B1C"/>
    <w:rsid w:val="00514A53"/>
    <w:rsid w:val="00517F12"/>
    <w:rsid w:val="005206DF"/>
    <w:rsid w:val="005215CA"/>
    <w:rsid w:val="005248A3"/>
    <w:rsid w:val="00524F61"/>
    <w:rsid w:val="005259AE"/>
    <w:rsid w:val="00526D4A"/>
    <w:rsid w:val="005315C5"/>
    <w:rsid w:val="00531784"/>
    <w:rsid w:val="00535DA3"/>
    <w:rsid w:val="005407B9"/>
    <w:rsid w:val="00543218"/>
    <w:rsid w:val="00543285"/>
    <w:rsid w:val="00544458"/>
    <w:rsid w:val="00544A37"/>
    <w:rsid w:val="005470B1"/>
    <w:rsid w:val="00550189"/>
    <w:rsid w:val="00550994"/>
    <w:rsid w:val="0055187B"/>
    <w:rsid w:val="005550AD"/>
    <w:rsid w:val="00560807"/>
    <w:rsid w:val="00560EF6"/>
    <w:rsid w:val="005610FE"/>
    <w:rsid w:val="00562468"/>
    <w:rsid w:val="00562DF6"/>
    <w:rsid w:val="0056367A"/>
    <w:rsid w:val="00570E06"/>
    <w:rsid w:val="005719DD"/>
    <w:rsid w:val="00572959"/>
    <w:rsid w:val="00573AED"/>
    <w:rsid w:val="00573C9F"/>
    <w:rsid w:val="00574386"/>
    <w:rsid w:val="00575274"/>
    <w:rsid w:val="00577E41"/>
    <w:rsid w:val="00585729"/>
    <w:rsid w:val="005901B4"/>
    <w:rsid w:val="00590541"/>
    <w:rsid w:val="0059207B"/>
    <w:rsid w:val="0059576A"/>
    <w:rsid w:val="005969E3"/>
    <w:rsid w:val="005A1CE5"/>
    <w:rsid w:val="005A2EE6"/>
    <w:rsid w:val="005A3C1F"/>
    <w:rsid w:val="005A3EFB"/>
    <w:rsid w:val="005A4624"/>
    <w:rsid w:val="005A7BBB"/>
    <w:rsid w:val="005B46B1"/>
    <w:rsid w:val="005B4B5C"/>
    <w:rsid w:val="005B504C"/>
    <w:rsid w:val="005C1C20"/>
    <w:rsid w:val="005C5290"/>
    <w:rsid w:val="005C687C"/>
    <w:rsid w:val="005D119A"/>
    <w:rsid w:val="005D22F9"/>
    <w:rsid w:val="005D2358"/>
    <w:rsid w:val="005D320C"/>
    <w:rsid w:val="005D4C7D"/>
    <w:rsid w:val="005D6832"/>
    <w:rsid w:val="005E0115"/>
    <w:rsid w:val="005E017B"/>
    <w:rsid w:val="005E0DE1"/>
    <w:rsid w:val="005E209E"/>
    <w:rsid w:val="005E3FC8"/>
    <w:rsid w:val="005E4654"/>
    <w:rsid w:val="005E6508"/>
    <w:rsid w:val="005F0601"/>
    <w:rsid w:val="005F6CB2"/>
    <w:rsid w:val="006024A0"/>
    <w:rsid w:val="00604731"/>
    <w:rsid w:val="006048DF"/>
    <w:rsid w:val="00607C31"/>
    <w:rsid w:val="00610E20"/>
    <w:rsid w:val="006111DD"/>
    <w:rsid w:val="00614894"/>
    <w:rsid w:val="00616D6A"/>
    <w:rsid w:val="006204E1"/>
    <w:rsid w:val="00621926"/>
    <w:rsid w:val="006240C4"/>
    <w:rsid w:val="006268B7"/>
    <w:rsid w:val="00627C8A"/>
    <w:rsid w:val="006314A6"/>
    <w:rsid w:val="0063156C"/>
    <w:rsid w:val="00632316"/>
    <w:rsid w:val="0063357A"/>
    <w:rsid w:val="006341ED"/>
    <w:rsid w:val="006361A6"/>
    <w:rsid w:val="006367C4"/>
    <w:rsid w:val="00644EE7"/>
    <w:rsid w:val="00645DB4"/>
    <w:rsid w:val="006460CF"/>
    <w:rsid w:val="00646C87"/>
    <w:rsid w:val="00650158"/>
    <w:rsid w:val="00652A91"/>
    <w:rsid w:val="006554CF"/>
    <w:rsid w:val="0066557F"/>
    <w:rsid w:val="0066639F"/>
    <w:rsid w:val="00667E95"/>
    <w:rsid w:val="00682B3B"/>
    <w:rsid w:val="00684362"/>
    <w:rsid w:val="00687BAB"/>
    <w:rsid w:val="00693D10"/>
    <w:rsid w:val="00695492"/>
    <w:rsid w:val="0069549F"/>
    <w:rsid w:val="006A0EE2"/>
    <w:rsid w:val="006A3CB1"/>
    <w:rsid w:val="006A3FD3"/>
    <w:rsid w:val="006B0203"/>
    <w:rsid w:val="006B10D9"/>
    <w:rsid w:val="006C0375"/>
    <w:rsid w:val="006C1233"/>
    <w:rsid w:val="006C176A"/>
    <w:rsid w:val="006C1B8C"/>
    <w:rsid w:val="006C32BC"/>
    <w:rsid w:val="006C3E1C"/>
    <w:rsid w:val="006C4212"/>
    <w:rsid w:val="006C4F81"/>
    <w:rsid w:val="006C6A31"/>
    <w:rsid w:val="006D07B0"/>
    <w:rsid w:val="006D13CB"/>
    <w:rsid w:val="006D5200"/>
    <w:rsid w:val="006D5758"/>
    <w:rsid w:val="006D6E58"/>
    <w:rsid w:val="006E0A44"/>
    <w:rsid w:val="006E0D34"/>
    <w:rsid w:val="006E7985"/>
    <w:rsid w:val="006F025F"/>
    <w:rsid w:val="006F387E"/>
    <w:rsid w:val="006F3FD7"/>
    <w:rsid w:val="006F44EA"/>
    <w:rsid w:val="006F5DCA"/>
    <w:rsid w:val="00703A43"/>
    <w:rsid w:val="0070461A"/>
    <w:rsid w:val="00704765"/>
    <w:rsid w:val="00704BFA"/>
    <w:rsid w:val="007117A1"/>
    <w:rsid w:val="007124AB"/>
    <w:rsid w:val="00712871"/>
    <w:rsid w:val="007143D3"/>
    <w:rsid w:val="00716541"/>
    <w:rsid w:val="00717AF6"/>
    <w:rsid w:val="00723B9A"/>
    <w:rsid w:val="00724D07"/>
    <w:rsid w:val="007252A7"/>
    <w:rsid w:val="0072560F"/>
    <w:rsid w:val="0072615D"/>
    <w:rsid w:val="00730A69"/>
    <w:rsid w:val="00732226"/>
    <w:rsid w:val="0073332B"/>
    <w:rsid w:val="0073720C"/>
    <w:rsid w:val="007407A3"/>
    <w:rsid w:val="007437CB"/>
    <w:rsid w:val="007454E1"/>
    <w:rsid w:val="00746091"/>
    <w:rsid w:val="00747194"/>
    <w:rsid w:val="00747435"/>
    <w:rsid w:val="00750728"/>
    <w:rsid w:val="00756542"/>
    <w:rsid w:val="00756EBD"/>
    <w:rsid w:val="007603FE"/>
    <w:rsid w:val="00760C29"/>
    <w:rsid w:val="0076138C"/>
    <w:rsid w:val="00761A9D"/>
    <w:rsid w:val="00764BC6"/>
    <w:rsid w:val="00767FFB"/>
    <w:rsid w:val="007737CD"/>
    <w:rsid w:val="00774CB3"/>
    <w:rsid w:val="007775BE"/>
    <w:rsid w:val="0078145F"/>
    <w:rsid w:val="007817BD"/>
    <w:rsid w:val="00782029"/>
    <w:rsid w:val="00783374"/>
    <w:rsid w:val="00783480"/>
    <w:rsid w:val="00785568"/>
    <w:rsid w:val="00787ADF"/>
    <w:rsid w:val="0079223F"/>
    <w:rsid w:val="00792704"/>
    <w:rsid w:val="00793057"/>
    <w:rsid w:val="00794058"/>
    <w:rsid w:val="00794E5A"/>
    <w:rsid w:val="007A2B4E"/>
    <w:rsid w:val="007A47A7"/>
    <w:rsid w:val="007A4A89"/>
    <w:rsid w:val="007A520C"/>
    <w:rsid w:val="007A5B32"/>
    <w:rsid w:val="007B2818"/>
    <w:rsid w:val="007B4844"/>
    <w:rsid w:val="007C1595"/>
    <w:rsid w:val="007C22CB"/>
    <w:rsid w:val="007C5BEF"/>
    <w:rsid w:val="007C5E5E"/>
    <w:rsid w:val="007C7EC6"/>
    <w:rsid w:val="007D3094"/>
    <w:rsid w:val="007D69DF"/>
    <w:rsid w:val="007D7B50"/>
    <w:rsid w:val="007E0BE7"/>
    <w:rsid w:val="007E305F"/>
    <w:rsid w:val="007E46B3"/>
    <w:rsid w:val="007E4AE7"/>
    <w:rsid w:val="007E5589"/>
    <w:rsid w:val="007F0908"/>
    <w:rsid w:val="007F10CC"/>
    <w:rsid w:val="007F3391"/>
    <w:rsid w:val="007F58C2"/>
    <w:rsid w:val="007F6252"/>
    <w:rsid w:val="0080092A"/>
    <w:rsid w:val="00802A08"/>
    <w:rsid w:val="00803A6D"/>
    <w:rsid w:val="00805690"/>
    <w:rsid w:val="00805E90"/>
    <w:rsid w:val="008066AE"/>
    <w:rsid w:val="0080711B"/>
    <w:rsid w:val="0082011D"/>
    <w:rsid w:val="008225A6"/>
    <w:rsid w:val="00823A3C"/>
    <w:rsid w:val="008251A9"/>
    <w:rsid w:val="00831531"/>
    <w:rsid w:val="00831F2F"/>
    <w:rsid w:val="00833FA4"/>
    <w:rsid w:val="008350A8"/>
    <w:rsid w:val="00835D8D"/>
    <w:rsid w:val="008449AA"/>
    <w:rsid w:val="00844BAA"/>
    <w:rsid w:val="00844BE9"/>
    <w:rsid w:val="00845C04"/>
    <w:rsid w:val="00855F04"/>
    <w:rsid w:val="00861D02"/>
    <w:rsid w:val="00863E92"/>
    <w:rsid w:val="008675C9"/>
    <w:rsid w:val="008679F2"/>
    <w:rsid w:val="00870037"/>
    <w:rsid w:val="00881AF5"/>
    <w:rsid w:val="00883B1C"/>
    <w:rsid w:val="0088446E"/>
    <w:rsid w:val="0088514B"/>
    <w:rsid w:val="00887462"/>
    <w:rsid w:val="00890637"/>
    <w:rsid w:val="008915C5"/>
    <w:rsid w:val="008916F4"/>
    <w:rsid w:val="008920F6"/>
    <w:rsid w:val="0089728B"/>
    <w:rsid w:val="00897C5D"/>
    <w:rsid w:val="008A5878"/>
    <w:rsid w:val="008B5385"/>
    <w:rsid w:val="008B5A64"/>
    <w:rsid w:val="008B66CB"/>
    <w:rsid w:val="008C286B"/>
    <w:rsid w:val="008C2C6E"/>
    <w:rsid w:val="008C565D"/>
    <w:rsid w:val="008C56A4"/>
    <w:rsid w:val="008C63A2"/>
    <w:rsid w:val="008D1874"/>
    <w:rsid w:val="008D2484"/>
    <w:rsid w:val="008D3DC6"/>
    <w:rsid w:val="008D4981"/>
    <w:rsid w:val="008D7381"/>
    <w:rsid w:val="008F0F53"/>
    <w:rsid w:val="008F3618"/>
    <w:rsid w:val="008F74DD"/>
    <w:rsid w:val="00906F29"/>
    <w:rsid w:val="00907228"/>
    <w:rsid w:val="00907939"/>
    <w:rsid w:val="00910F67"/>
    <w:rsid w:val="009131ED"/>
    <w:rsid w:val="00915CF3"/>
    <w:rsid w:val="0091740E"/>
    <w:rsid w:val="00917860"/>
    <w:rsid w:val="00920E1E"/>
    <w:rsid w:val="00924DC0"/>
    <w:rsid w:val="00925046"/>
    <w:rsid w:val="009277C8"/>
    <w:rsid w:val="00930C70"/>
    <w:rsid w:val="009357FF"/>
    <w:rsid w:val="00936BCD"/>
    <w:rsid w:val="00937F8F"/>
    <w:rsid w:val="00940A1C"/>
    <w:rsid w:val="00941641"/>
    <w:rsid w:val="00945629"/>
    <w:rsid w:val="009466D8"/>
    <w:rsid w:val="00951CBC"/>
    <w:rsid w:val="009529A9"/>
    <w:rsid w:val="0095380E"/>
    <w:rsid w:val="00955174"/>
    <w:rsid w:val="00955289"/>
    <w:rsid w:val="00955BBA"/>
    <w:rsid w:val="00960B0C"/>
    <w:rsid w:val="00961BF8"/>
    <w:rsid w:val="009650FC"/>
    <w:rsid w:val="00971881"/>
    <w:rsid w:val="00977175"/>
    <w:rsid w:val="00982AAF"/>
    <w:rsid w:val="00987FCA"/>
    <w:rsid w:val="0099251F"/>
    <w:rsid w:val="00994A8F"/>
    <w:rsid w:val="00996553"/>
    <w:rsid w:val="009A0C0A"/>
    <w:rsid w:val="009A23AE"/>
    <w:rsid w:val="009A7357"/>
    <w:rsid w:val="009B2AB1"/>
    <w:rsid w:val="009B3A06"/>
    <w:rsid w:val="009B3A66"/>
    <w:rsid w:val="009B572A"/>
    <w:rsid w:val="009B6E01"/>
    <w:rsid w:val="009B729D"/>
    <w:rsid w:val="009C3944"/>
    <w:rsid w:val="009C5205"/>
    <w:rsid w:val="009D1838"/>
    <w:rsid w:val="009D19A3"/>
    <w:rsid w:val="009D1C0A"/>
    <w:rsid w:val="009D1FC3"/>
    <w:rsid w:val="009D7B6F"/>
    <w:rsid w:val="009D7FF0"/>
    <w:rsid w:val="009E0B17"/>
    <w:rsid w:val="009E0D49"/>
    <w:rsid w:val="009E36F4"/>
    <w:rsid w:val="009E4978"/>
    <w:rsid w:val="009E6FFA"/>
    <w:rsid w:val="009F015B"/>
    <w:rsid w:val="009F26A4"/>
    <w:rsid w:val="009F7276"/>
    <w:rsid w:val="009F7F31"/>
    <w:rsid w:val="00A00CBA"/>
    <w:rsid w:val="00A02373"/>
    <w:rsid w:val="00A03674"/>
    <w:rsid w:val="00A03728"/>
    <w:rsid w:val="00A03915"/>
    <w:rsid w:val="00A04636"/>
    <w:rsid w:val="00A07954"/>
    <w:rsid w:val="00A117D7"/>
    <w:rsid w:val="00A14750"/>
    <w:rsid w:val="00A155BB"/>
    <w:rsid w:val="00A15A4E"/>
    <w:rsid w:val="00A26965"/>
    <w:rsid w:val="00A26C9E"/>
    <w:rsid w:val="00A36CEA"/>
    <w:rsid w:val="00A40CF4"/>
    <w:rsid w:val="00A42F85"/>
    <w:rsid w:val="00A438DC"/>
    <w:rsid w:val="00A552C6"/>
    <w:rsid w:val="00A55DAE"/>
    <w:rsid w:val="00A577B3"/>
    <w:rsid w:val="00A6274D"/>
    <w:rsid w:val="00A62E55"/>
    <w:rsid w:val="00A7052A"/>
    <w:rsid w:val="00A7092D"/>
    <w:rsid w:val="00A72416"/>
    <w:rsid w:val="00A76C13"/>
    <w:rsid w:val="00A8199F"/>
    <w:rsid w:val="00A82937"/>
    <w:rsid w:val="00A82C10"/>
    <w:rsid w:val="00A84994"/>
    <w:rsid w:val="00A8541C"/>
    <w:rsid w:val="00A8579B"/>
    <w:rsid w:val="00A860C5"/>
    <w:rsid w:val="00A86B75"/>
    <w:rsid w:val="00A90D2C"/>
    <w:rsid w:val="00A92739"/>
    <w:rsid w:val="00A9423F"/>
    <w:rsid w:val="00A94DC3"/>
    <w:rsid w:val="00A96E9E"/>
    <w:rsid w:val="00AA2AED"/>
    <w:rsid w:val="00AA3989"/>
    <w:rsid w:val="00AA3D27"/>
    <w:rsid w:val="00AA5087"/>
    <w:rsid w:val="00AA55F7"/>
    <w:rsid w:val="00AB3102"/>
    <w:rsid w:val="00AB3A07"/>
    <w:rsid w:val="00AB632D"/>
    <w:rsid w:val="00AB7760"/>
    <w:rsid w:val="00AC076B"/>
    <w:rsid w:val="00AC1FE1"/>
    <w:rsid w:val="00AD3EDD"/>
    <w:rsid w:val="00AD4B0D"/>
    <w:rsid w:val="00AD5A84"/>
    <w:rsid w:val="00AE2B2C"/>
    <w:rsid w:val="00AE3F7A"/>
    <w:rsid w:val="00AE46C8"/>
    <w:rsid w:val="00AF0C86"/>
    <w:rsid w:val="00AF0F7E"/>
    <w:rsid w:val="00AF6261"/>
    <w:rsid w:val="00AF7024"/>
    <w:rsid w:val="00AF716D"/>
    <w:rsid w:val="00B00890"/>
    <w:rsid w:val="00B01528"/>
    <w:rsid w:val="00B01A3C"/>
    <w:rsid w:val="00B07B88"/>
    <w:rsid w:val="00B11E20"/>
    <w:rsid w:val="00B12148"/>
    <w:rsid w:val="00B127EF"/>
    <w:rsid w:val="00B14C23"/>
    <w:rsid w:val="00B21CF2"/>
    <w:rsid w:val="00B26C61"/>
    <w:rsid w:val="00B27A9F"/>
    <w:rsid w:val="00B27E2E"/>
    <w:rsid w:val="00B30710"/>
    <w:rsid w:val="00B34CAC"/>
    <w:rsid w:val="00B351B9"/>
    <w:rsid w:val="00B40791"/>
    <w:rsid w:val="00B45A2D"/>
    <w:rsid w:val="00B47711"/>
    <w:rsid w:val="00B47D68"/>
    <w:rsid w:val="00B51F6F"/>
    <w:rsid w:val="00B603EF"/>
    <w:rsid w:val="00B61A59"/>
    <w:rsid w:val="00B621BA"/>
    <w:rsid w:val="00B623EE"/>
    <w:rsid w:val="00B6445B"/>
    <w:rsid w:val="00B66D95"/>
    <w:rsid w:val="00B66FA7"/>
    <w:rsid w:val="00B70201"/>
    <w:rsid w:val="00B70CB5"/>
    <w:rsid w:val="00B715D2"/>
    <w:rsid w:val="00B80110"/>
    <w:rsid w:val="00B80F6A"/>
    <w:rsid w:val="00B83787"/>
    <w:rsid w:val="00B8431F"/>
    <w:rsid w:val="00B86A62"/>
    <w:rsid w:val="00B878AF"/>
    <w:rsid w:val="00B944AA"/>
    <w:rsid w:val="00B9770D"/>
    <w:rsid w:val="00BA073C"/>
    <w:rsid w:val="00BA1A97"/>
    <w:rsid w:val="00BA235E"/>
    <w:rsid w:val="00BA6B7F"/>
    <w:rsid w:val="00BA6F71"/>
    <w:rsid w:val="00BA7721"/>
    <w:rsid w:val="00BB1A93"/>
    <w:rsid w:val="00BB21F7"/>
    <w:rsid w:val="00BB3982"/>
    <w:rsid w:val="00BB6343"/>
    <w:rsid w:val="00BB6909"/>
    <w:rsid w:val="00BC20B5"/>
    <w:rsid w:val="00BC33D1"/>
    <w:rsid w:val="00BC53BF"/>
    <w:rsid w:val="00BC6442"/>
    <w:rsid w:val="00BC746F"/>
    <w:rsid w:val="00BD0CCB"/>
    <w:rsid w:val="00BD448D"/>
    <w:rsid w:val="00BD7236"/>
    <w:rsid w:val="00BD72E0"/>
    <w:rsid w:val="00BE0BA7"/>
    <w:rsid w:val="00BE2C06"/>
    <w:rsid w:val="00BE31B8"/>
    <w:rsid w:val="00BE37B5"/>
    <w:rsid w:val="00BE68CB"/>
    <w:rsid w:val="00BE6C43"/>
    <w:rsid w:val="00BE72C1"/>
    <w:rsid w:val="00BF0487"/>
    <w:rsid w:val="00BF068B"/>
    <w:rsid w:val="00BF0758"/>
    <w:rsid w:val="00BF1910"/>
    <w:rsid w:val="00BF3187"/>
    <w:rsid w:val="00BF3534"/>
    <w:rsid w:val="00BF3A38"/>
    <w:rsid w:val="00BF53BC"/>
    <w:rsid w:val="00BF66A4"/>
    <w:rsid w:val="00BF6D0D"/>
    <w:rsid w:val="00C00A4B"/>
    <w:rsid w:val="00C058EF"/>
    <w:rsid w:val="00C05FDC"/>
    <w:rsid w:val="00C0651B"/>
    <w:rsid w:val="00C06DD8"/>
    <w:rsid w:val="00C07568"/>
    <w:rsid w:val="00C07F2F"/>
    <w:rsid w:val="00C22C85"/>
    <w:rsid w:val="00C242C9"/>
    <w:rsid w:val="00C2469A"/>
    <w:rsid w:val="00C248B1"/>
    <w:rsid w:val="00C31450"/>
    <w:rsid w:val="00C321CB"/>
    <w:rsid w:val="00C35FA7"/>
    <w:rsid w:val="00C3725E"/>
    <w:rsid w:val="00C412E3"/>
    <w:rsid w:val="00C43319"/>
    <w:rsid w:val="00C439FB"/>
    <w:rsid w:val="00C51EFC"/>
    <w:rsid w:val="00C54226"/>
    <w:rsid w:val="00C548B8"/>
    <w:rsid w:val="00C54E31"/>
    <w:rsid w:val="00C6020B"/>
    <w:rsid w:val="00C61B15"/>
    <w:rsid w:val="00C66917"/>
    <w:rsid w:val="00C70491"/>
    <w:rsid w:val="00C70F3B"/>
    <w:rsid w:val="00C75E4A"/>
    <w:rsid w:val="00C80A70"/>
    <w:rsid w:val="00C813A3"/>
    <w:rsid w:val="00C85799"/>
    <w:rsid w:val="00C93FA1"/>
    <w:rsid w:val="00C95B64"/>
    <w:rsid w:val="00CA1D2F"/>
    <w:rsid w:val="00CA2D2C"/>
    <w:rsid w:val="00CA2F03"/>
    <w:rsid w:val="00CA4329"/>
    <w:rsid w:val="00CA7DD5"/>
    <w:rsid w:val="00CA7F68"/>
    <w:rsid w:val="00CB16EC"/>
    <w:rsid w:val="00CB7955"/>
    <w:rsid w:val="00CC7041"/>
    <w:rsid w:val="00CC76CE"/>
    <w:rsid w:val="00CC7AED"/>
    <w:rsid w:val="00CD02FA"/>
    <w:rsid w:val="00CD0C7E"/>
    <w:rsid w:val="00CD143C"/>
    <w:rsid w:val="00CD24F6"/>
    <w:rsid w:val="00CD6449"/>
    <w:rsid w:val="00CE11CC"/>
    <w:rsid w:val="00CE251A"/>
    <w:rsid w:val="00CE362F"/>
    <w:rsid w:val="00CE5D77"/>
    <w:rsid w:val="00CE618B"/>
    <w:rsid w:val="00CF1431"/>
    <w:rsid w:val="00CF5C4F"/>
    <w:rsid w:val="00CF6B0C"/>
    <w:rsid w:val="00CF73B3"/>
    <w:rsid w:val="00CF7DFC"/>
    <w:rsid w:val="00D04CD4"/>
    <w:rsid w:val="00D07E4F"/>
    <w:rsid w:val="00D13EB0"/>
    <w:rsid w:val="00D15465"/>
    <w:rsid w:val="00D16199"/>
    <w:rsid w:val="00D16427"/>
    <w:rsid w:val="00D16818"/>
    <w:rsid w:val="00D16AC0"/>
    <w:rsid w:val="00D22C4D"/>
    <w:rsid w:val="00D24CE2"/>
    <w:rsid w:val="00D27FE8"/>
    <w:rsid w:val="00D31FFE"/>
    <w:rsid w:val="00D403B2"/>
    <w:rsid w:val="00D5086B"/>
    <w:rsid w:val="00D50941"/>
    <w:rsid w:val="00D52D8C"/>
    <w:rsid w:val="00D57564"/>
    <w:rsid w:val="00D57CAF"/>
    <w:rsid w:val="00D629F1"/>
    <w:rsid w:val="00D64808"/>
    <w:rsid w:val="00D64CF3"/>
    <w:rsid w:val="00D654BB"/>
    <w:rsid w:val="00D70225"/>
    <w:rsid w:val="00D708F2"/>
    <w:rsid w:val="00D723FD"/>
    <w:rsid w:val="00D731B0"/>
    <w:rsid w:val="00D74831"/>
    <w:rsid w:val="00D767B5"/>
    <w:rsid w:val="00D76D4C"/>
    <w:rsid w:val="00D776AC"/>
    <w:rsid w:val="00D80D03"/>
    <w:rsid w:val="00D82D25"/>
    <w:rsid w:val="00D86EF0"/>
    <w:rsid w:val="00D877E4"/>
    <w:rsid w:val="00D910E3"/>
    <w:rsid w:val="00D9624E"/>
    <w:rsid w:val="00D97573"/>
    <w:rsid w:val="00DA25B6"/>
    <w:rsid w:val="00DA27C5"/>
    <w:rsid w:val="00DB0439"/>
    <w:rsid w:val="00DB0FE6"/>
    <w:rsid w:val="00DB1BDD"/>
    <w:rsid w:val="00DB3EC4"/>
    <w:rsid w:val="00DB3F6E"/>
    <w:rsid w:val="00DB4516"/>
    <w:rsid w:val="00DB5F57"/>
    <w:rsid w:val="00DB6CF0"/>
    <w:rsid w:val="00DC03E2"/>
    <w:rsid w:val="00DC2690"/>
    <w:rsid w:val="00DC6474"/>
    <w:rsid w:val="00DC7CEE"/>
    <w:rsid w:val="00DE0F20"/>
    <w:rsid w:val="00DE62AF"/>
    <w:rsid w:val="00E01F3F"/>
    <w:rsid w:val="00E04EB9"/>
    <w:rsid w:val="00E05041"/>
    <w:rsid w:val="00E07548"/>
    <w:rsid w:val="00E11896"/>
    <w:rsid w:val="00E13501"/>
    <w:rsid w:val="00E160A0"/>
    <w:rsid w:val="00E16921"/>
    <w:rsid w:val="00E212A7"/>
    <w:rsid w:val="00E21659"/>
    <w:rsid w:val="00E225F8"/>
    <w:rsid w:val="00E347E7"/>
    <w:rsid w:val="00E362C9"/>
    <w:rsid w:val="00E408BF"/>
    <w:rsid w:val="00E40D62"/>
    <w:rsid w:val="00E4225A"/>
    <w:rsid w:val="00E423A8"/>
    <w:rsid w:val="00E437A6"/>
    <w:rsid w:val="00E469BC"/>
    <w:rsid w:val="00E520F5"/>
    <w:rsid w:val="00E54612"/>
    <w:rsid w:val="00E578AC"/>
    <w:rsid w:val="00E60057"/>
    <w:rsid w:val="00E6522A"/>
    <w:rsid w:val="00E73C36"/>
    <w:rsid w:val="00E7498F"/>
    <w:rsid w:val="00E773A3"/>
    <w:rsid w:val="00E7797B"/>
    <w:rsid w:val="00E82099"/>
    <w:rsid w:val="00E84522"/>
    <w:rsid w:val="00E90E1D"/>
    <w:rsid w:val="00E92A25"/>
    <w:rsid w:val="00E97DB4"/>
    <w:rsid w:val="00EA0E21"/>
    <w:rsid w:val="00EA7AA0"/>
    <w:rsid w:val="00EB457E"/>
    <w:rsid w:val="00EB608A"/>
    <w:rsid w:val="00EB6BA5"/>
    <w:rsid w:val="00EC019B"/>
    <w:rsid w:val="00EC2DEB"/>
    <w:rsid w:val="00EC48AD"/>
    <w:rsid w:val="00EC53DA"/>
    <w:rsid w:val="00EC67D9"/>
    <w:rsid w:val="00EC7758"/>
    <w:rsid w:val="00EC7C69"/>
    <w:rsid w:val="00ED07B6"/>
    <w:rsid w:val="00ED0F9E"/>
    <w:rsid w:val="00ED3124"/>
    <w:rsid w:val="00ED32F0"/>
    <w:rsid w:val="00ED4E8C"/>
    <w:rsid w:val="00EE127E"/>
    <w:rsid w:val="00EE3927"/>
    <w:rsid w:val="00EE5F4E"/>
    <w:rsid w:val="00EE7E24"/>
    <w:rsid w:val="00EF2B82"/>
    <w:rsid w:val="00EF302E"/>
    <w:rsid w:val="00EF3BDE"/>
    <w:rsid w:val="00EF3EA2"/>
    <w:rsid w:val="00EF634D"/>
    <w:rsid w:val="00EF692C"/>
    <w:rsid w:val="00F010E2"/>
    <w:rsid w:val="00F01C1A"/>
    <w:rsid w:val="00F02E6E"/>
    <w:rsid w:val="00F03F21"/>
    <w:rsid w:val="00F0587A"/>
    <w:rsid w:val="00F06EEF"/>
    <w:rsid w:val="00F07FD1"/>
    <w:rsid w:val="00F13014"/>
    <w:rsid w:val="00F14121"/>
    <w:rsid w:val="00F15409"/>
    <w:rsid w:val="00F22C15"/>
    <w:rsid w:val="00F258EC"/>
    <w:rsid w:val="00F26EC3"/>
    <w:rsid w:val="00F309AF"/>
    <w:rsid w:val="00F32F0E"/>
    <w:rsid w:val="00F33A00"/>
    <w:rsid w:val="00F342CB"/>
    <w:rsid w:val="00F34395"/>
    <w:rsid w:val="00F3696C"/>
    <w:rsid w:val="00F378E6"/>
    <w:rsid w:val="00F4019C"/>
    <w:rsid w:val="00F40C3E"/>
    <w:rsid w:val="00F4202F"/>
    <w:rsid w:val="00F43C57"/>
    <w:rsid w:val="00F43FFF"/>
    <w:rsid w:val="00F46AEE"/>
    <w:rsid w:val="00F47846"/>
    <w:rsid w:val="00F53866"/>
    <w:rsid w:val="00F54D4E"/>
    <w:rsid w:val="00F56F21"/>
    <w:rsid w:val="00F60370"/>
    <w:rsid w:val="00F62704"/>
    <w:rsid w:val="00F63765"/>
    <w:rsid w:val="00F6411D"/>
    <w:rsid w:val="00F66BAB"/>
    <w:rsid w:val="00F673BC"/>
    <w:rsid w:val="00F67FCC"/>
    <w:rsid w:val="00F71D00"/>
    <w:rsid w:val="00F8381C"/>
    <w:rsid w:val="00F83EE2"/>
    <w:rsid w:val="00F84E93"/>
    <w:rsid w:val="00F856C4"/>
    <w:rsid w:val="00F86562"/>
    <w:rsid w:val="00F91D25"/>
    <w:rsid w:val="00F928AC"/>
    <w:rsid w:val="00F9290D"/>
    <w:rsid w:val="00F92FC8"/>
    <w:rsid w:val="00F954E3"/>
    <w:rsid w:val="00F95B9D"/>
    <w:rsid w:val="00FA01DB"/>
    <w:rsid w:val="00FA1D65"/>
    <w:rsid w:val="00FA23A9"/>
    <w:rsid w:val="00FA3CFF"/>
    <w:rsid w:val="00FA3D90"/>
    <w:rsid w:val="00FA3DDB"/>
    <w:rsid w:val="00FA462B"/>
    <w:rsid w:val="00FA62B3"/>
    <w:rsid w:val="00FB1D47"/>
    <w:rsid w:val="00FB2085"/>
    <w:rsid w:val="00FB6BB2"/>
    <w:rsid w:val="00FB71E2"/>
    <w:rsid w:val="00FB7F84"/>
    <w:rsid w:val="00FC27F8"/>
    <w:rsid w:val="00FC3F80"/>
    <w:rsid w:val="00FC542B"/>
    <w:rsid w:val="00FC5A4E"/>
    <w:rsid w:val="00FD110D"/>
    <w:rsid w:val="00FD1D64"/>
    <w:rsid w:val="00FD2B49"/>
    <w:rsid w:val="00FE0BAD"/>
    <w:rsid w:val="00FE1681"/>
    <w:rsid w:val="00FE62AF"/>
    <w:rsid w:val="00FF3787"/>
    <w:rsid w:val="00FF476D"/>
    <w:rsid w:val="00FF4CE4"/>
    <w:rsid w:val="00FF510F"/>
    <w:rsid w:val="041532AF"/>
    <w:rsid w:val="0592250B"/>
    <w:rsid w:val="06E92F15"/>
    <w:rsid w:val="0E8C7731"/>
    <w:rsid w:val="103537C6"/>
    <w:rsid w:val="107F6913"/>
    <w:rsid w:val="1D3407A3"/>
    <w:rsid w:val="221D1711"/>
    <w:rsid w:val="23D71AF9"/>
    <w:rsid w:val="24F47900"/>
    <w:rsid w:val="256C48DC"/>
    <w:rsid w:val="25C13A4C"/>
    <w:rsid w:val="25CD40A6"/>
    <w:rsid w:val="265F7320"/>
    <w:rsid w:val="26A427CC"/>
    <w:rsid w:val="27434DB4"/>
    <w:rsid w:val="28040C15"/>
    <w:rsid w:val="29F762BC"/>
    <w:rsid w:val="2B0C55CA"/>
    <w:rsid w:val="2CD87DED"/>
    <w:rsid w:val="2D012A5D"/>
    <w:rsid w:val="30D84D01"/>
    <w:rsid w:val="34D72AFA"/>
    <w:rsid w:val="35D01B33"/>
    <w:rsid w:val="369530AE"/>
    <w:rsid w:val="3991180D"/>
    <w:rsid w:val="3CD73D9A"/>
    <w:rsid w:val="44D777C8"/>
    <w:rsid w:val="46812423"/>
    <w:rsid w:val="47AE31B1"/>
    <w:rsid w:val="48D92773"/>
    <w:rsid w:val="4BD93EAB"/>
    <w:rsid w:val="53A9718A"/>
    <w:rsid w:val="589D2B8C"/>
    <w:rsid w:val="5A921D46"/>
    <w:rsid w:val="5C8929E3"/>
    <w:rsid w:val="5F061996"/>
    <w:rsid w:val="6375705B"/>
    <w:rsid w:val="63BF45E5"/>
    <w:rsid w:val="63E72823"/>
    <w:rsid w:val="65BB0967"/>
    <w:rsid w:val="66C07F14"/>
    <w:rsid w:val="66D7010C"/>
    <w:rsid w:val="69D17AB0"/>
    <w:rsid w:val="6A660AEF"/>
    <w:rsid w:val="6CED7022"/>
    <w:rsid w:val="79221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9882AF"/>
  <w15:docId w15:val="{82FD2B3A-E12E-48FF-AA9F-8C66B6E3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qFormat="1"/>
    <w:lsdException w:name="annotation text" w:semiHidden="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semiHidden/>
    <w:qFormat/>
    <w:pPr>
      <w:jc w:val="left"/>
    </w:pPr>
  </w:style>
  <w:style w:type="paragraph" w:styleId="a5">
    <w:name w:val="Balloon Text"/>
    <w:basedOn w:val="a0"/>
    <w:semiHidden/>
    <w:qFormat/>
    <w:rPr>
      <w:sz w:val="18"/>
      <w:szCs w:val="18"/>
    </w:rPr>
  </w:style>
  <w:style w:type="paragraph" w:styleId="a6">
    <w:name w:val="footer"/>
    <w:basedOn w:val="a0"/>
    <w:link w:val="a7"/>
    <w:qFormat/>
    <w:pPr>
      <w:tabs>
        <w:tab w:val="center" w:pos="4153"/>
        <w:tab w:val="right" w:pos="8306"/>
      </w:tabs>
      <w:snapToGrid w:val="0"/>
      <w:jc w:val="left"/>
    </w:pPr>
    <w:rPr>
      <w:sz w:val="18"/>
      <w:szCs w:val="18"/>
    </w:rPr>
  </w:style>
  <w:style w:type="paragraph" w:styleId="a8">
    <w:name w:val="header"/>
    <w:basedOn w:val="a0"/>
    <w:link w:val="a9"/>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0"/>
    <w:semiHidden/>
    <w:qFormat/>
    <w:pPr>
      <w:snapToGrid w:val="0"/>
      <w:jc w:val="left"/>
    </w:pPr>
    <w:rPr>
      <w:sz w:val="18"/>
      <w:szCs w:val="18"/>
    </w:rPr>
  </w:style>
  <w:style w:type="paragraph" w:styleId="ab">
    <w:name w:val="Normal (Web)"/>
    <w:basedOn w:val="a0"/>
    <w:uiPriority w:val="99"/>
    <w:unhideWhenUsed/>
    <w:qFormat/>
    <w:pPr>
      <w:spacing w:before="100" w:beforeAutospacing="1" w:after="100" w:afterAutospacing="1"/>
      <w:jc w:val="left"/>
    </w:pPr>
    <w:rPr>
      <w:kern w:val="0"/>
      <w:sz w:val="24"/>
    </w:rPr>
  </w:style>
  <w:style w:type="paragraph" w:styleId="ac">
    <w:name w:val="annotation subject"/>
    <w:basedOn w:val="a4"/>
    <w:next w:val="a4"/>
    <w:semiHidden/>
    <w:qFormat/>
    <w:rPr>
      <w:b/>
      <w:bCs/>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2"/>
    <w:qFormat/>
    <w:pPr>
      <w:widowControl w:val="0"/>
      <w:jc w:val="both"/>
    </w:pPr>
    <w:tblPr>
      <w:tblBorders>
        <w:top w:val="single" w:sz="12" w:space="0" w:color="000000"/>
        <w:bottom w:val="single" w:sz="12" w:space="0" w:color="000000"/>
      </w:tblBorders>
    </w:tblPr>
    <w:tcPr>
      <w:shd w:val="clear" w:color="auto" w:fill="auto"/>
    </w:tcPr>
    <w:tblStylePr w:type="firstRow">
      <w:rPr>
        <w:rFonts w:ascii="Times New Roman" w:hAnsi="Times New Roman" w:cs="Times New Roman"/>
        <w:i/>
        <w:iCs/>
      </w:rPr>
      <w:tblPr/>
      <w:tcPr>
        <w:tcBorders>
          <w:top w:val="nil"/>
          <w:left w:val="nil"/>
          <w:bottom w:val="single" w:sz="6" w:space="0" w:color="000000"/>
          <w:right w:val="nil"/>
          <w:insideH w:val="nil"/>
          <w:insideV w:val="nil"/>
          <w:tl2br w:val="nil"/>
          <w:tr2bl w:val="nil"/>
        </w:tcBorders>
      </w:tcPr>
    </w:tblStylePr>
    <w:tblStylePr w:type="lastRow">
      <w:rPr>
        <w:rFonts w:ascii="Times New Roman" w:hAnsi="Times New Roman" w:cs="Times New Roman"/>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rFonts w:ascii="Times New Roman" w:hAnsi="Times New Roman" w:cs="Times New Roman"/>
        <w:b/>
        <w:bCs/>
        <w:i w:val="0"/>
        <w:iCs w:val="0"/>
      </w:rPr>
      <w:tblPr/>
      <w:tcPr>
        <w:tcBorders>
          <w:top w:val="nil"/>
          <w:left w:val="nil"/>
          <w:bottom w:val="nil"/>
          <w:right w:val="nil"/>
          <w:insideH w:val="nil"/>
          <w:insideV w:val="nil"/>
          <w:tl2br w:val="nil"/>
          <w:tr2bl w:val="nil"/>
        </w:tcBorders>
      </w:tcPr>
    </w:tblStylePr>
    <w:tblStylePr w:type="swCell">
      <w:rPr>
        <w:rFonts w:ascii="Times New Roman" w:hAnsi="Times New Roman" w:cs="Times New Roman"/>
        <w:b/>
        <w:bCs/>
      </w:rPr>
      <w:tblPr/>
      <w:tcPr>
        <w:tcBorders>
          <w:top w:val="nil"/>
          <w:left w:val="nil"/>
          <w:bottom w:val="nil"/>
          <w:right w:val="nil"/>
          <w:insideH w:val="nil"/>
          <w:insideV w:val="nil"/>
          <w:tl2br w:val="nil"/>
          <w:tr2bl w:val="nil"/>
        </w:tcBorders>
      </w:tcPr>
    </w:tblStylePr>
  </w:style>
  <w:style w:type="character" w:styleId="ae">
    <w:name w:val="page number"/>
    <w:basedOn w:val="a1"/>
    <w:qFormat/>
  </w:style>
  <w:style w:type="character" w:styleId="af">
    <w:name w:val="Hyperlink"/>
    <w:qFormat/>
    <w:rPr>
      <w:rFonts w:ascii="Times New Roman" w:hAnsi="Times New Roman" w:cs="Times New Roman"/>
      <w:color w:val="0000FF"/>
      <w:u w:val="single"/>
    </w:rPr>
  </w:style>
  <w:style w:type="character" w:styleId="HTML">
    <w:name w:val="HTML Code"/>
    <w:basedOn w:val="a1"/>
    <w:semiHidden/>
    <w:unhideWhenUsed/>
    <w:qFormat/>
    <w:rPr>
      <w:rFonts w:ascii="Times New Roman" w:hAnsi="Times New Roman" w:cs="Times New Roman"/>
      <w:sz w:val="20"/>
    </w:rPr>
  </w:style>
  <w:style w:type="character" w:styleId="af0">
    <w:name w:val="annotation reference"/>
    <w:semiHidden/>
    <w:qFormat/>
    <w:rPr>
      <w:rFonts w:ascii="Times New Roman" w:hAnsi="Times New Roman" w:cs="Times New Roman"/>
      <w:sz w:val="21"/>
      <w:szCs w:val="21"/>
    </w:rPr>
  </w:style>
  <w:style w:type="character" w:styleId="af1">
    <w:name w:val="footnote reference"/>
    <w:semiHidden/>
    <w:qFormat/>
    <w:rPr>
      <w:rFonts w:ascii="Times New Roman" w:hAnsi="Times New Roman" w:cs="Times New Roman"/>
      <w:vertAlign w:val="superscript"/>
    </w:rPr>
  </w:style>
  <w:style w:type="character" w:customStyle="1" w:styleId="a7">
    <w:name w:val="页脚 字符"/>
    <w:link w:val="a6"/>
    <w:qFormat/>
    <w:locked/>
    <w:rPr>
      <w:rFonts w:ascii="Times New Roman" w:hAnsi="Times New Roman" w:cs="Times New Roman"/>
      <w:kern w:val="2"/>
      <w:sz w:val="18"/>
      <w:szCs w:val="18"/>
    </w:rPr>
  </w:style>
  <w:style w:type="character" w:customStyle="1" w:styleId="a9">
    <w:name w:val="页眉 字符"/>
    <w:link w:val="a8"/>
    <w:semiHidden/>
    <w:qFormat/>
    <w:locked/>
    <w:rPr>
      <w:rFonts w:ascii="Times New Roman" w:eastAsia="宋体" w:hAnsi="Times New Roman" w:cs="Times New Roman"/>
      <w:kern w:val="2"/>
      <w:sz w:val="18"/>
      <w:szCs w:val="18"/>
      <w:lang w:val="en-US" w:eastAsia="zh-CN" w:bidi="ar-SA"/>
    </w:rPr>
  </w:style>
  <w:style w:type="character" w:customStyle="1" w:styleId="10">
    <w:name w:val="标题 1 字符"/>
    <w:link w:val="1"/>
    <w:qFormat/>
    <w:rPr>
      <w:rFonts w:ascii="Times New Roman" w:hAnsi="Times New Roman" w:cs="Times New Roman"/>
      <w:b/>
      <w:bCs/>
      <w:kern w:val="44"/>
      <w:sz w:val="44"/>
      <w:szCs w:val="44"/>
    </w:rPr>
  </w:style>
  <w:style w:type="character" w:customStyle="1" w:styleId="CharChar2">
    <w:name w:val="Char Char2"/>
    <w:qFormat/>
    <w:locked/>
    <w:rPr>
      <w:rFonts w:ascii="Times New Roman" w:eastAsia="宋体" w:hAnsi="Times New Roman" w:cs="Times New Roman"/>
      <w:kern w:val="2"/>
      <w:sz w:val="18"/>
      <w:szCs w:val="18"/>
      <w:lang w:val="en-US" w:eastAsia="zh-CN" w:bidi="ar-SA"/>
    </w:rPr>
  </w:style>
  <w:style w:type="character" w:customStyle="1" w:styleId="12">
    <w:name w:val="未处理的提及1"/>
    <w:uiPriority w:val="99"/>
    <w:unhideWhenUsed/>
    <w:qFormat/>
    <w:rPr>
      <w:rFonts w:ascii="Times New Roman" w:hAnsi="Times New Roman" w:cs="Times New Roman"/>
      <w:color w:val="605E5C"/>
      <w:shd w:val="clear" w:color="auto" w:fill="E1DFDD"/>
    </w:rPr>
  </w:style>
  <w:style w:type="character" w:customStyle="1" w:styleId="20">
    <w:name w:val="标题 2 字符"/>
    <w:link w:val="2"/>
    <w:qFormat/>
    <w:rPr>
      <w:rFonts w:ascii="Times New Roman" w:hAnsi="Times New Roman" w:cs="Times New Roman"/>
      <w:b/>
      <w:bCs/>
      <w:kern w:val="2"/>
      <w:sz w:val="32"/>
      <w:szCs w:val="32"/>
    </w:rPr>
  </w:style>
  <w:style w:type="paragraph" w:customStyle="1" w:styleId="Char">
    <w:name w:val="Char"/>
    <w:basedOn w:val="a0"/>
    <w:qFormat/>
    <w:pPr>
      <w:widowControl/>
      <w:spacing w:after="160" w:line="240" w:lineRule="exact"/>
      <w:jc w:val="left"/>
    </w:pPr>
    <w:rPr>
      <w:rFonts w:eastAsia="仿宋_GB2312"/>
      <w:kern w:val="0"/>
      <w:sz w:val="24"/>
      <w:szCs w:val="20"/>
      <w:lang w:eastAsia="en-US"/>
    </w:rPr>
  </w:style>
  <w:style w:type="paragraph" w:customStyle="1" w:styleId="p0">
    <w:name w:val="p0"/>
    <w:basedOn w:val="a0"/>
    <w:qFormat/>
    <w:pPr>
      <w:widowControl/>
    </w:pPr>
    <w:rPr>
      <w:kern w:val="0"/>
      <w:szCs w:val="21"/>
    </w:rPr>
  </w:style>
  <w:style w:type="paragraph" w:customStyle="1" w:styleId="af2">
    <w:name w:val="（中）标题样式"/>
    <w:qFormat/>
    <w:pPr>
      <w:jc w:val="center"/>
    </w:pPr>
    <w:rPr>
      <w:b/>
      <w:kern w:val="2"/>
      <w:sz w:val="44"/>
      <w:szCs w:val="36"/>
    </w:rPr>
  </w:style>
  <w:style w:type="paragraph" w:customStyle="1" w:styleId="af3">
    <w:name w:val="（中）作者姓名样式"/>
    <w:qFormat/>
    <w:pPr>
      <w:spacing w:line="480" w:lineRule="auto"/>
      <w:jc w:val="center"/>
    </w:pPr>
    <w:rPr>
      <w:rFonts w:eastAsia="楷体"/>
      <w:kern w:val="2"/>
      <w:sz w:val="28"/>
      <w:szCs w:val="21"/>
    </w:rPr>
  </w:style>
  <w:style w:type="paragraph" w:customStyle="1" w:styleId="af4">
    <w:name w:val="（中）作者单位样式"/>
    <w:qFormat/>
    <w:pPr>
      <w:jc w:val="center"/>
    </w:pPr>
    <w:rPr>
      <w:rFonts w:eastAsia="仿宋"/>
      <w:kern w:val="2"/>
      <w:sz w:val="21"/>
      <w:szCs w:val="18"/>
    </w:rPr>
  </w:style>
  <w:style w:type="character" w:customStyle="1" w:styleId="af5">
    <w:name w:val="中文摘要特征词样式"/>
    <w:basedOn w:val="a1"/>
    <w:qFormat/>
    <w:rPr>
      <w:rFonts w:ascii="Times New Roman" w:eastAsia="黑体" w:hAnsi="Times New Roman" w:cs="Times New Roman"/>
    </w:rPr>
  </w:style>
  <w:style w:type="character" w:customStyle="1" w:styleId="af6">
    <w:name w:val="中文关键词特征词样式"/>
    <w:basedOn w:val="a1"/>
    <w:qFormat/>
    <w:rPr>
      <w:rFonts w:ascii="Times New Roman" w:eastAsia="黑体" w:hAnsi="Times New Roman" w:cs="Times New Roman"/>
    </w:rPr>
  </w:style>
  <w:style w:type="character" w:customStyle="1" w:styleId="af7">
    <w:name w:val="（中）关键词样式"/>
    <w:qFormat/>
    <w:rPr>
      <w:rFonts w:ascii="Times New Roman" w:eastAsia="宋体" w:hAnsi="Times New Roman" w:cs="Times New Roman"/>
    </w:rPr>
  </w:style>
  <w:style w:type="paragraph" w:customStyle="1" w:styleId="af8">
    <w:name w:val="（英）标题样式"/>
    <w:qFormat/>
    <w:pPr>
      <w:spacing w:beforeLines="100" w:before="100" w:line="360" w:lineRule="exact"/>
      <w:jc w:val="center"/>
      <w:outlineLvl w:val="0"/>
    </w:pPr>
    <w:rPr>
      <w:rFonts w:eastAsia="黑体"/>
      <w:b/>
      <w:kern w:val="2"/>
      <w:sz w:val="21"/>
      <w:szCs w:val="24"/>
    </w:rPr>
  </w:style>
  <w:style w:type="paragraph" w:customStyle="1" w:styleId="af9">
    <w:name w:val="（英）作者姓名样式"/>
    <w:qFormat/>
    <w:pPr>
      <w:jc w:val="center"/>
    </w:pPr>
    <w:rPr>
      <w:spacing w:val="-4"/>
      <w:kern w:val="2"/>
      <w:sz w:val="18"/>
      <w:szCs w:val="21"/>
    </w:rPr>
  </w:style>
  <w:style w:type="paragraph" w:customStyle="1" w:styleId="afa">
    <w:name w:val="（英）作者单位样式"/>
    <w:qFormat/>
    <w:pPr>
      <w:jc w:val="center"/>
    </w:pPr>
    <w:rPr>
      <w:kern w:val="2"/>
      <w:sz w:val="18"/>
      <w:szCs w:val="24"/>
    </w:rPr>
  </w:style>
  <w:style w:type="character" w:customStyle="1" w:styleId="afb">
    <w:name w:val="英文摘要特征词样式"/>
    <w:basedOn w:val="a1"/>
    <w:qFormat/>
    <w:rPr>
      <w:rFonts w:ascii="Times New Roman" w:hAnsi="Times New Roman" w:cs="Times New Roman"/>
      <w:b/>
    </w:rPr>
  </w:style>
  <w:style w:type="character" w:customStyle="1" w:styleId="afc">
    <w:name w:val="英文关键词特征词样式"/>
    <w:basedOn w:val="a1"/>
    <w:qFormat/>
    <w:rPr>
      <w:rFonts w:ascii="Times New Roman" w:hAnsi="Times New Roman" w:cs="Times New Roman"/>
      <w:b/>
    </w:rPr>
  </w:style>
  <w:style w:type="character" w:customStyle="1" w:styleId="afd">
    <w:name w:val="（英）关键词样式"/>
    <w:basedOn w:val="a1"/>
    <w:qFormat/>
    <w:rPr>
      <w:rFonts w:ascii="Times New Roman" w:hAnsi="Times New Roman" w:cs="Times New Roman"/>
      <w:kern w:val="0"/>
      <w:sz w:val="21"/>
    </w:rPr>
  </w:style>
  <w:style w:type="paragraph" w:customStyle="1" w:styleId="afe">
    <w:name w:val="正文样式"/>
    <w:basedOn w:val="a0"/>
    <w:qFormat/>
    <w:pPr>
      <w:autoSpaceDE w:val="0"/>
      <w:autoSpaceDN w:val="0"/>
      <w:ind w:firstLineChars="200" w:firstLine="200"/>
      <w:jc w:val="left"/>
    </w:pPr>
  </w:style>
  <w:style w:type="paragraph" w:customStyle="1" w:styleId="aff">
    <w:name w:val="一级标题样式"/>
    <w:qFormat/>
    <w:pPr>
      <w:spacing w:beforeLines="50" w:before="50" w:afterLines="50" w:after="50"/>
      <w:jc w:val="both"/>
    </w:pPr>
    <w:rPr>
      <w:rFonts w:eastAsia="黑体"/>
      <w:b/>
      <w:kern w:val="2"/>
      <w:sz w:val="28"/>
      <w:szCs w:val="24"/>
    </w:rPr>
  </w:style>
  <w:style w:type="paragraph" w:customStyle="1" w:styleId="aff0">
    <w:name w:val="二级标题样式"/>
    <w:qFormat/>
    <w:pPr>
      <w:jc w:val="both"/>
    </w:pPr>
    <w:rPr>
      <w:b/>
      <w:kern w:val="2"/>
      <w:sz w:val="21"/>
      <w:szCs w:val="24"/>
    </w:rPr>
  </w:style>
  <w:style w:type="paragraph" w:customStyle="1" w:styleId="aff1">
    <w:name w:val="三级标题样式"/>
    <w:qFormat/>
    <w:pPr>
      <w:jc w:val="both"/>
    </w:pPr>
    <w:rPr>
      <w:kern w:val="2"/>
      <w:sz w:val="21"/>
      <w:szCs w:val="24"/>
    </w:rPr>
  </w:style>
  <w:style w:type="character" w:customStyle="1" w:styleId="aff2">
    <w:name w:val="（中）收稿日期样式"/>
    <w:basedOn w:val="a1"/>
    <w:qFormat/>
    <w:rPr>
      <w:rFonts w:ascii="Times New Roman" w:hAnsi="Times New Roman" w:cs="Times New Roman"/>
      <w:sz w:val="16"/>
      <w:szCs w:val="16"/>
    </w:rPr>
  </w:style>
  <w:style w:type="character" w:customStyle="1" w:styleId="aff3">
    <w:name w:val="（中）基金项目样式"/>
    <w:basedOn w:val="a1"/>
    <w:qFormat/>
    <w:rPr>
      <w:rFonts w:ascii="Times New Roman" w:hAnsi="Times New Roman" w:cs="Times New Roman"/>
      <w:sz w:val="18"/>
      <w:szCs w:val="16"/>
    </w:rPr>
  </w:style>
  <w:style w:type="character" w:customStyle="1" w:styleId="aff4">
    <w:name w:val="（中）栏目样式"/>
    <w:basedOn w:val="a1"/>
    <w:qFormat/>
  </w:style>
  <w:style w:type="character" w:customStyle="1" w:styleId="aff5">
    <w:name w:val="中图分类号样式"/>
    <w:basedOn w:val="a1"/>
    <w:uiPriority w:val="1"/>
    <w:qFormat/>
    <w:rPr>
      <w:rFonts w:ascii="Times New Roman" w:hAnsi="Times New Roman" w:cs="Times New Roman"/>
    </w:rPr>
  </w:style>
  <w:style w:type="character" w:customStyle="1" w:styleId="aff6">
    <w:name w:val="文献标志码样式"/>
    <w:basedOn w:val="a1"/>
    <w:uiPriority w:val="1"/>
    <w:qFormat/>
    <w:rPr>
      <w:rFonts w:ascii="Times New Roman" w:hAnsi="Times New Roman" w:cs="Times New Roman"/>
    </w:rPr>
  </w:style>
  <w:style w:type="character" w:customStyle="1" w:styleId="aff7">
    <w:name w:val="文章编号样式"/>
    <w:basedOn w:val="a1"/>
    <w:uiPriority w:val="1"/>
    <w:qFormat/>
  </w:style>
  <w:style w:type="paragraph" w:customStyle="1" w:styleId="aff8">
    <w:name w:val="（中）图题样式"/>
    <w:qFormat/>
    <w:pPr>
      <w:jc w:val="center"/>
    </w:pPr>
    <w:rPr>
      <w:b/>
      <w:kern w:val="2"/>
      <w:sz w:val="18"/>
      <w:szCs w:val="18"/>
    </w:rPr>
  </w:style>
  <w:style w:type="paragraph" w:customStyle="1" w:styleId="aff9">
    <w:name w:val="（英）图题样式"/>
    <w:link w:val="Char0"/>
    <w:qFormat/>
    <w:pPr>
      <w:jc w:val="center"/>
    </w:pPr>
    <w:rPr>
      <w:b/>
      <w:kern w:val="2"/>
      <w:sz w:val="18"/>
      <w:szCs w:val="18"/>
    </w:rPr>
  </w:style>
  <w:style w:type="paragraph" w:customStyle="1" w:styleId="affa">
    <w:name w:val="（中）表题样式"/>
    <w:link w:val="Char1"/>
    <w:qFormat/>
    <w:pPr>
      <w:jc w:val="center"/>
    </w:pPr>
    <w:rPr>
      <w:b/>
      <w:kern w:val="2"/>
      <w:sz w:val="18"/>
      <w:szCs w:val="18"/>
    </w:rPr>
  </w:style>
  <w:style w:type="paragraph" w:customStyle="1" w:styleId="affb">
    <w:name w:val="（英）表题样式"/>
    <w:qFormat/>
    <w:pPr>
      <w:jc w:val="center"/>
    </w:pPr>
    <w:rPr>
      <w:b/>
      <w:kern w:val="2"/>
      <w:sz w:val="18"/>
      <w:szCs w:val="18"/>
    </w:rPr>
  </w:style>
  <w:style w:type="paragraph" w:customStyle="1" w:styleId="affc">
    <w:name w:val="表格样式"/>
    <w:qFormat/>
    <w:pPr>
      <w:jc w:val="both"/>
    </w:pPr>
    <w:rPr>
      <w:kern w:val="2"/>
      <w:sz w:val="18"/>
      <w:szCs w:val="21"/>
    </w:rPr>
  </w:style>
  <w:style w:type="paragraph" w:customStyle="1" w:styleId="affd">
    <w:name w:val="（中）表注样式"/>
    <w:basedOn w:val="a0"/>
    <w:qFormat/>
    <w:rPr>
      <w:sz w:val="15"/>
      <w:szCs w:val="15"/>
    </w:rPr>
  </w:style>
  <w:style w:type="paragraph" w:customStyle="1" w:styleId="affe">
    <w:name w:val="（英）表注样式"/>
    <w:basedOn w:val="affd"/>
    <w:qFormat/>
  </w:style>
  <w:style w:type="paragraph" w:customStyle="1" w:styleId="afff">
    <w:name w:val="（英）图注样式"/>
    <w:basedOn w:val="affe"/>
    <w:qFormat/>
    <w:pPr>
      <w:jc w:val="center"/>
    </w:pPr>
  </w:style>
  <w:style w:type="paragraph" w:customStyle="1" w:styleId="afff0">
    <w:name w:val="（中）图注样式"/>
    <w:qFormat/>
    <w:pPr>
      <w:jc w:val="center"/>
    </w:pPr>
    <w:rPr>
      <w:kern w:val="2"/>
      <w:sz w:val="15"/>
      <w:szCs w:val="15"/>
    </w:rPr>
  </w:style>
  <w:style w:type="paragraph" w:customStyle="1" w:styleId="afff1">
    <w:name w:val="参考文献样式"/>
    <w:basedOn w:val="a0"/>
    <w:qFormat/>
    <w:pPr>
      <w:spacing w:beforeLines="100" w:before="100" w:afterLines="100" w:after="100"/>
    </w:pPr>
    <w:rPr>
      <w:b/>
    </w:rPr>
  </w:style>
  <w:style w:type="paragraph" w:customStyle="1" w:styleId="a">
    <w:name w:val="参考文献内容样式"/>
    <w:basedOn w:val="a0"/>
    <w:qFormat/>
    <w:pPr>
      <w:numPr>
        <w:numId w:val="1"/>
      </w:numPr>
      <w:tabs>
        <w:tab w:val="clear" w:pos="473"/>
        <w:tab w:val="left" w:pos="420"/>
      </w:tabs>
      <w:ind w:left="0" w:hangingChars="200" w:hanging="200"/>
    </w:pPr>
    <w:rPr>
      <w:sz w:val="18"/>
      <w:szCs w:val="18"/>
    </w:rPr>
  </w:style>
  <w:style w:type="character" w:customStyle="1" w:styleId="afff2">
    <w:name w:val="（中）通信作者样式"/>
    <w:basedOn w:val="a1"/>
    <w:uiPriority w:val="1"/>
    <w:qFormat/>
    <w:rPr>
      <w:rFonts w:ascii="Times New Roman" w:hAnsi="Times New Roman" w:cs="Times New Roman"/>
      <w:sz w:val="18"/>
      <w:szCs w:val="18"/>
    </w:rPr>
  </w:style>
  <w:style w:type="paragraph" w:customStyle="1" w:styleId="afff3">
    <w:name w:val="公式样式"/>
    <w:basedOn w:val="a0"/>
    <w:qFormat/>
    <w:pPr>
      <w:ind w:left="420" w:firstLineChars="200" w:firstLine="420"/>
      <w:jc w:val="right"/>
    </w:pPr>
  </w:style>
  <w:style w:type="paragraph" w:customStyle="1" w:styleId="DOI">
    <w:name w:val="DOI样式"/>
    <w:qFormat/>
    <w:pPr>
      <w:jc w:val="both"/>
    </w:pPr>
    <w:rPr>
      <w:kern w:val="2"/>
      <w:sz w:val="18"/>
      <w:szCs w:val="18"/>
    </w:rPr>
  </w:style>
  <w:style w:type="paragraph" w:customStyle="1" w:styleId="afff4">
    <w:name w:val="引用样式"/>
    <w:qFormat/>
    <w:pPr>
      <w:jc w:val="both"/>
    </w:pPr>
    <w:rPr>
      <w:kern w:val="2"/>
      <w:sz w:val="18"/>
      <w:szCs w:val="18"/>
    </w:rPr>
  </w:style>
  <w:style w:type="paragraph" w:customStyle="1" w:styleId="CITE">
    <w:name w:val="CITE样式"/>
    <w:qFormat/>
    <w:pPr>
      <w:jc w:val="both"/>
    </w:pPr>
    <w:rPr>
      <w:kern w:val="2"/>
      <w:sz w:val="18"/>
      <w:szCs w:val="18"/>
    </w:rPr>
  </w:style>
  <w:style w:type="paragraph" w:customStyle="1" w:styleId="afff5">
    <w:name w:val="（中）副标题样式"/>
    <w:basedOn w:val="a0"/>
    <w:qFormat/>
    <w:pPr>
      <w:jc w:val="center"/>
    </w:pPr>
    <w:rPr>
      <w:rFonts w:eastAsia="仿宋_GB2312"/>
      <w:sz w:val="28"/>
      <w:szCs w:val="21"/>
    </w:rPr>
  </w:style>
  <w:style w:type="paragraph" w:customStyle="1" w:styleId="afff6">
    <w:name w:val="（英）副标题样式"/>
    <w:basedOn w:val="afff5"/>
    <w:qFormat/>
    <w:rPr>
      <w:rFonts w:eastAsiaTheme="minorEastAsia"/>
      <w:sz w:val="21"/>
    </w:rPr>
  </w:style>
  <w:style w:type="paragraph" w:customStyle="1" w:styleId="afff7">
    <w:name w:val="致谢样式"/>
    <w:qFormat/>
    <w:pPr>
      <w:jc w:val="both"/>
    </w:pPr>
    <w:rPr>
      <w:b/>
      <w:kern w:val="2"/>
      <w:sz w:val="18"/>
      <w:szCs w:val="18"/>
    </w:rPr>
  </w:style>
  <w:style w:type="paragraph" w:customStyle="1" w:styleId="afff8">
    <w:name w:val="编辑样式"/>
    <w:qFormat/>
    <w:pPr>
      <w:jc w:val="right"/>
    </w:pPr>
    <w:rPr>
      <w:b/>
      <w:kern w:val="2"/>
      <w:sz w:val="18"/>
      <w:szCs w:val="18"/>
    </w:rPr>
  </w:style>
  <w:style w:type="character" w:customStyle="1" w:styleId="afff9">
    <w:name w:val="一级标题序号样式"/>
    <w:basedOn w:val="a1"/>
    <w:uiPriority w:val="1"/>
    <w:qFormat/>
    <w:rPr>
      <w:rFonts w:ascii="Times New Roman" w:hAnsi="Times New Roman" w:cs="Times New Roman"/>
      <w:b/>
      <w:sz w:val="28"/>
    </w:rPr>
  </w:style>
  <w:style w:type="paragraph" w:customStyle="1" w:styleId="afffa">
    <w:name w:val="中文表序样式"/>
    <w:basedOn w:val="affa"/>
    <w:link w:val="Char2"/>
    <w:qFormat/>
  </w:style>
  <w:style w:type="character" w:customStyle="1" w:styleId="afffb">
    <w:name w:val="英文表序样式"/>
    <w:basedOn w:val="a1"/>
    <w:uiPriority w:val="1"/>
    <w:qFormat/>
  </w:style>
  <w:style w:type="character" w:customStyle="1" w:styleId="Char1">
    <w:name w:val="（中）表题样式 Char"/>
    <w:basedOn w:val="a1"/>
    <w:link w:val="affa"/>
    <w:qFormat/>
    <w:rPr>
      <w:rFonts w:ascii="Times New Roman" w:hAnsi="Times New Roman" w:cs="Times New Roman"/>
      <w:b/>
      <w:kern w:val="2"/>
      <w:sz w:val="18"/>
      <w:szCs w:val="18"/>
    </w:rPr>
  </w:style>
  <w:style w:type="character" w:customStyle="1" w:styleId="Char2">
    <w:name w:val="中文表序样式 Char"/>
    <w:basedOn w:val="Char1"/>
    <w:link w:val="afffa"/>
    <w:qFormat/>
    <w:rPr>
      <w:rFonts w:ascii="Times New Roman" w:hAnsi="Times New Roman" w:cs="Times New Roman"/>
      <w:b/>
      <w:kern w:val="2"/>
      <w:sz w:val="18"/>
      <w:szCs w:val="18"/>
    </w:rPr>
  </w:style>
  <w:style w:type="paragraph" w:customStyle="1" w:styleId="afffc">
    <w:name w:val="中文图序样式"/>
    <w:basedOn w:val="aff8"/>
    <w:qFormat/>
  </w:style>
  <w:style w:type="paragraph" w:customStyle="1" w:styleId="afffd">
    <w:name w:val="英文图序样式"/>
    <w:basedOn w:val="aff9"/>
    <w:qFormat/>
  </w:style>
  <w:style w:type="paragraph" w:customStyle="1" w:styleId="afffe">
    <w:name w:val="图样式"/>
    <w:qFormat/>
    <w:pPr>
      <w:jc w:val="center"/>
    </w:pPr>
    <w:rPr>
      <w:b/>
      <w:kern w:val="2"/>
      <w:sz w:val="18"/>
      <w:szCs w:val="18"/>
    </w:rPr>
  </w:style>
  <w:style w:type="paragraph" w:customStyle="1" w:styleId="MTDisplayEquation">
    <w:name w:val="MTDisplayEquation"/>
    <w:basedOn w:val="aff9"/>
    <w:next w:val="a0"/>
    <w:link w:val="MTDisplayEquationChar"/>
    <w:qFormat/>
    <w:pPr>
      <w:tabs>
        <w:tab w:val="center" w:pos="4820"/>
        <w:tab w:val="right" w:pos="9640"/>
      </w:tabs>
    </w:pPr>
  </w:style>
  <w:style w:type="character" w:customStyle="1" w:styleId="Char0">
    <w:name w:val="（英）图题样式 Char"/>
    <w:basedOn w:val="a1"/>
    <w:link w:val="aff9"/>
    <w:qFormat/>
    <w:rPr>
      <w:rFonts w:ascii="Times New Roman" w:hAnsi="Times New Roman" w:cs="Times New Roman"/>
      <w:b/>
      <w:kern w:val="2"/>
      <w:sz w:val="18"/>
      <w:szCs w:val="18"/>
    </w:rPr>
  </w:style>
  <w:style w:type="character" w:customStyle="1" w:styleId="MTDisplayEquationChar">
    <w:name w:val="MTDisplayEquation Char"/>
    <w:basedOn w:val="Char0"/>
    <w:link w:val="MTDisplayEquation"/>
    <w:qFormat/>
    <w:rPr>
      <w:rFonts w:ascii="Times New Roman" w:hAnsi="Times New Roman" w:cs="Times New Roman"/>
      <w:b/>
      <w:kern w:val="2"/>
      <w:sz w:val="18"/>
      <w:szCs w:val="18"/>
    </w:rPr>
  </w:style>
  <w:style w:type="paragraph" w:customStyle="1" w:styleId="affff">
    <w:name w:val="栏目样式"/>
    <w:qFormat/>
    <w:rPr>
      <w:rFonts w:eastAsia="黑体"/>
      <w:kern w:val="2"/>
      <w:sz w:val="28"/>
      <w:szCs w:val="18"/>
    </w:rPr>
  </w:style>
  <w:style w:type="paragraph" w:customStyle="1" w:styleId="affff0">
    <w:name w:val="（中）作者简介样式"/>
    <w:basedOn w:val="a6"/>
    <w:qFormat/>
    <w:pPr>
      <w:tabs>
        <w:tab w:val="clear" w:pos="4153"/>
        <w:tab w:val="clear" w:pos="8306"/>
      </w:tabs>
      <w:ind w:left="500" w:hangingChars="500" w:hanging="500"/>
      <w:jc w:val="both"/>
    </w:pPr>
  </w:style>
  <w:style w:type="paragraph" w:customStyle="1" w:styleId="affff1">
    <w:name w:val="参考文献中英文对照样式"/>
    <w:qFormat/>
    <w:pPr>
      <w:widowControl w:val="0"/>
      <w:ind w:left="200" w:hangingChars="200" w:hanging="200"/>
      <w:jc w:val="both"/>
    </w:pPr>
    <w:rPr>
      <w:rFonts w:eastAsia="Times New Roman"/>
      <w:kern w:val="2"/>
      <w:sz w:val="18"/>
    </w:rPr>
  </w:style>
  <w:style w:type="character" w:customStyle="1" w:styleId="affff2">
    <w:name w:val="三级标题序号样式"/>
    <w:qFormat/>
    <w:rPr>
      <w:rFonts w:ascii="Times New Roman" w:eastAsia="宋体" w:hAnsi="Times New Roman" w:cs="Times New Roman"/>
      <w:color w:val="auto"/>
      <w:w w:val="100"/>
      <w:kern w:val="2"/>
      <w:sz w:val="21"/>
      <w:u w:val="none"/>
      <w:vertAlign w:val="baseline"/>
      <w14:shadow w14:blurRad="0" w14:dist="0" w14:dir="0" w14:sx="0" w14:sy="0" w14:kx="0" w14:ky="0" w14:algn="none">
        <w14:srgbClr w14:val="000000"/>
      </w14:shadow>
    </w:rPr>
  </w:style>
  <w:style w:type="character" w:customStyle="1" w:styleId="affff3">
    <w:name w:val="二级标题序号样式"/>
    <w:qFormat/>
    <w:rPr>
      <w:rFonts w:ascii="Times New Roman" w:eastAsia="黑体" w:hAnsi="Times New Roman" w:cs="Times New Roman"/>
      <w:b/>
      <w:color w:val="auto"/>
      <w:w w:val="100"/>
      <w:kern w:val="2"/>
      <w:sz w:val="21"/>
      <w:u w:val="none"/>
      <w:vertAlign w:val="baseline"/>
      <w14:shadow w14:blurRad="0" w14:dist="0" w14:dir="0" w14:sx="0" w14:sy="0" w14:kx="0" w14:ky="0" w14:algn="none">
        <w14:srgbClr w14:val="000000"/>
      </w14:shadow>
    </w:rPr>
  </w:style>
  <w:style w:type="paragraph" w:customStyle="1" w:styleId="affff4">
    <w:name w:val="（中）摘要样式"/>
    <w:qFormat/>
    <w:pPr>
      <w:widowControl w:val="0"/>
      <w:ind w:firstLineChars="200" w:firstLine="200"/>
      <w:jc w:val="both"/>
    </w:pPr>
    <w:rPr>
      <w:sz w:val="21"/>
    </w:rPr>
  </w:style>
  <w:style w:type="paragraph" w:customStyle="1" w:styleId="affff5">
    <w:name w:val="（英）摘要样式"/>
    <w:qFormat/>
    <w:pPr>
      <w:widowControl w:val="0"/>
      <w:ind w:firstLineChars="200" w:firstLine="200"/>
      <w:jc w:val="both"/>
    </w:pPr>
    <w:rPr>
      <w:sz w:val="21"/>
    </w:rPr>
  </w:style>
  <w:style w:type="paragraph" w:customStyle="1" w:styleId="new1">
    <w:name w:val="公式样式_new_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1.xml"/><Relationship Id="rId16" Type="http://schemas.openxmlformats.org/officeDocument/2006/relationships/hyperlink" Target="https://github.com/songyang531/IntervalFuzzy-MetaGDM" TargetMode="External"/><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C0174-F222-42A8-8D51-0EC62557E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3738</Words>
  <Characters>23255</Characters>
  <Application>Microsoft Office Word</Application>
  <DocSecurity>0</DocSecurity>
  <Lines>628</Lines>
  <Paragraphs>247</Paragraphs>
  <ScaleCrop>false</ScaleCrop>
  <Company/>
  <LinksUpToDate>false</LinksUpToDate>
  <CharactersWithSpaces>26746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基于上下文编码与社会注意力的区间模糊群决策共识方法</dc:title>
  <dc:subject>参考论文字体、段落和双栏版式复刻投稿初稿</dc:subject>
  <dc:creator>[作者]</dc:creator>
  <cp:keywords>区间模糊偏好, 群决策共识, 上下文编码, 社会注意力, 元强化学习</cp:keywords>
  <dc:description>正文实测数字均指向对应表图；删除无正文证据承载的精确比例和重复量化表述。</dc:description>
  <cp:lastModifiedBy>s s</cp:lastModifiedBy>
  <cp:revision>2</cp:revision>
  <cp:lastPrinted>2021-01-26T02:16:00Z</cp:lastPrinted>
  <dcterms:created xsi:type="dcterms:W3CDTF">2026-08-26T11:52:00Z</dcterms:created>
  <dcterms:modified xsi:type="dcterms:W3CDTF">2026-08-26T11:52:00Z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1051714</vt:i4>
  </property>
  <property fmtid="{D5CDD505-2E9C-101B-9397-08002B2CF9AE}" pid="3" name="KSOProductBuildVer">
    <vt:lpwstr>2052-12.1.0.26375</vt:lpwstr>
  </property>
  <property fmtid="{D5CDD505-2E9C-101B-9397-08002B2CF9AE}" pid="4" name="MTWinEqns">
    <vt:bool>true</vt:bool>
  </property>
  <property fmtid="{D5CDD505-2E9C-101B-9397-08002B2CF9AE}" pid="5" name="KSOTemplateDocerSaveRecord">
    <vt:lpwstr>eyJoZGlkIjoiZTliN2E2NTRkNTdiMDdiZmM4YWMxODEzZjQ5NDg5NjgiLCJ1c2VySWQiOiIxNjQ4OTI0OTU4In0=</vt:lpwstr>
  </property>
  <property fmtid="{D5CDD505-2E9C-101B-9397-08002B2CF9AE}" pid="6" name="ICV">
    <vt:lpwstr>981F30A0DEC34E1E9754D23DF44E9A87_12</vt:lpwstr>
  </property>
</Properties>
</file>