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6A328B7D" w:rsidR="006C3EDA" w:rsidRPr="009F5143" w:rsidRDefault="000322E1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April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</w:t>
      </w:r>
      <w:r w:rsidR="005B1949">
        <w:rPr>
          <w:rFonts w:ascii="Garamond" w:hAnsi="Garamond"/>
        </w:rPr>
        <w:t>2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3B6412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FE75E38" w14:textId="6BD5BD11" w:rsidR="00E90073" w:rsidRPr="000322E1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01C33336" w14:textId="67CE3E7E" w:rsidR="000322E1" w:rsidRPr="000322E1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>
        <w:rPr>
          <w:rFonts w:ascii="Garamond" w:hAnsi="Garamond"/>
        </w:rPr>
        <w:t>, Paul Green Award 20</w:t>
      </w:r>
      <w:r>
        <w:rPr>
          <w:rFonts w:ascii="Garamond" w:hAnsi="Garamond"/>
        </w:rPr>
        <w:t>21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43E9579F" w14:textId="4ADF58F8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1</w:t>
      </w:r>
      <w:r w:rsidRPr="00044C77">
        <w:rPr>
          <w:rFonts w:ascii="Garamond" w:hAnsi="Garamond"/>
        </w:rPr>
        <w:t>), “The Impact of Social Distancing and Masking on COVID-19 Spread and Consumer Spending,” under review.</w:t>
      </w:r>
    </w:p>
    <w:p w14:paraId="61D6C962" w14:textId="7B4B05D8" w:rsidR="005B1949" w:rsidRPr="005B1949" w:rsidRDefault="00AB1300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</w:t>
      </w:r>
      <w:r w:rsidR="005B1949">
        <w:rPr>
          <w:rFonts w:ascii="Garamond" w:hAnsi="Garamond"/>
        </w:rPr>
        <w:t xml:space="preserve">Carl F. Mela, </w:t>
      </w:r>
      <w:r>
        <w:rPr>
          <w:rFonts w:ascii="Garamond" w:hAnsi="Garamond"/>
        </w:rPr>
        <w:t xml:space="preserve">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and </w:t>
      </w:r>
      <w:r w:rsidR="005B1949">
        <w:rPr>
          <w:rFonts w:ascii="Garamond" w:hAnsi="Garamond"/>
        </w:rPr>
        <w:t>Song Yao, “</w:t>
      </w:r>
      <w:r w:rsidR="005B1949" w:rsidRPr="005B1949">
        <w:rPr>
          <w:rFonts w:ascii="Garamond" w:hAnsi="Garamond"/>
        </w:rPr>
        <w:t>The Design and Targeting of Compliance Promotions</w:t>
      </w:r>
      <w:r w:rsidR="005B1949">
        <w:rPr>
          <w:rFonts w:ascii="Garamond" w:hAnsi="Garamond"/>
        </w:rPr>
        <w:t>,</w:t>
      </w:r>
      <w:r w:rsidR="005B1949" w:rsidRPr="005B1949">
        <w:rPr>
          <w:rFonts w:ascii="Garamond" w:hAnsi="Garamond"/>
        </w:rPr>
        <w:t>”</w:t>
      </w:r>
      <w:r w:rsidR="005B1949">
        <w:rPr>
          <w:rFonts w:ascii="Garamond" w:hAnsi="Garamond"/>
        </w:rPr>
        <w:t xml:space="preserve"> under review</w:t>
      </w:r>
    </w:p>
    <w:p w14:paraId="7564FA82" w14:textId="2A5389B6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21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416A84D3" w14:textId="4ADC4D22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(2021)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1E6FD920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0492F2AA" w14:textId="5F2BEEAF" w:rsidR="000322E1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>
        <w:rPr>
          <w:rFonts w:ascii="Garamond" w:hAnsi="Garamond"/>
        </w:rPr>
        <w:t>, Paul Green Award 2012</w:t>
      </w:r>
    </w:p>
    <w:p w14:paraId="698092F7" w14:textId="01304D54" w:rsidR="000322E1" w:rsidRPr="000322E1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lastRenderedPageBreak/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54B2CB5" w14:textId="009179C6" w:rsidR="00EA1F67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EA1F67">
        <w:rPr>
          <w:rFonts w:ascii="Garamond" w:hAnsi="Garamond"/>
        </w:rPr>
        <w:t>“</w:t>
      </w:r>
      <w:r w:rsidR="00EA1F67" w:rsidRPr="005B1949">
        <w:rPr>
          <w:rFonts w:ascii="Garamond" w:hAnsi="Garamond"/>
        </w:rPr>
        <w:t>The Design and Targeting of Compliance Promotions</w:t>
      </w:r>
      <w:r w:rsidR="00EA1F67">
        <w:rPr>
          <w:rFonts w:ascii="Garamond" w:hAnsi="Garamond"/>
        </w:rPr>
        <w:t>,</w:t>
      </w:r>
      <w:r w:rsidR="00EA1F67" w:rsidRPr="005B1949">
        <w:rPr>
          <w:rFonts w:ascii="Garamond" w:hAnsi="Garamond"/>
        </w:rPr>
        <w:t>”</w:t>
      </w:r>
    </w:p>
    <w:p w14:paraId="17B275D4" w14:textId="50C302DB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UTD FORMS Conference</w:t>
      </w:r>
      <w:r>
        <w:rPr>
          <w:rFonts w:ascii="Garamond" w:hAnsi="Garamond"/>
        </w:rPr>
        <w:t>, 20</w:t>
      </w:r>
      <w:r>
        <w:rPr>
          <w:rFonts w:ascii="Garamond" w:hAnsi="Garamond"/>
        </w:rPr>
        <w:t>22</w:t>
      </w:r>
    </w:p>
    <w:p w14:paraId="345F0E9F" w14:textId="51AB27E7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Johns Hopkins University</w:t>
      </w:r>
      <w:r>
        <w:rPr>
          <w:rFonts w:ascii="Garamond" w:hAnsi="Garamond"/>
        </w:rPr>
        <w:t>, 20</w:t>
      </w:r>
      <w:r>
        <w:rPr>
          <w:rFonts w:ascii="Garamond" w:hAnsi="Garamond"/>
        </w:rPr>
        <w:t>22</w:t>
      </w:r>
    </w:p>
    <w:p w14:paraId="67F95082" w14:textId="77777777" w:rsidR="00EA1F67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B224F9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="00B224F9"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85004C9" w14:textId="0DFA2776" w:rsidR="00422E03" w:rsidRPr="00422E03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Nan Zhao</w:t>
      </w:r>
      <w:r>
        <w:rPr>
          <w:rFonts w:ascii="Garamond" w:hAnsi="Garamond"/>
        </w:rPr>
        <w:t xml:space="preserve"> (Washington University, dissertation co-chair, </w:t>
      </w:r>
      <w:r>
        <w:rPr>
          <w:rFonts w:ascii="Garamond" w:hAnsi="Garamond"/>
        </w:rPr>
        <w:t>ongoing</w:t>
      </w:r>
      <w:r>
        <w:rPr>
          <w:rFonts w:ascii="Garamond" w:hAnsi="Garamond"/>
        </w:rPr>
        <w:t>)</w:t>
      </w:r>
    </w:p>
    <w:p w14:paraId="78E9D7A4" w14:textId="3198A71E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</w:t>
      </w:r>
      <w:r w:rsidR="00422E03">
        <w:rPr>
          <w:rFonts w:ascii="Garamond" w:hAnsi="Garamond"/>
        </w:rPr>
        <w:t>initial placement: University</w:t>
      </w:r>
      <w:r w:rsidR="00422E03">
        <w:rPr>
          <w:rFonts w:ascii="Garamond" w:hAnsi="Garamond"/>
        </w:rPr>
        <w:t xml:space="preserve"> of Toronto</w:t>
      </w:r>
      <w:r>
        <w:rPr>
          <w:rFonts w:ascii="Garamond" w:hAnsi="Garamond"/>
        </w:rPr>
        <w:t>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51685C49" w14:textId="77777777" w:rsidR="00EB056B" w:rsidRDefault="00EB056B" w:rsidP="0054324E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lastRenderedPageBreak/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14EC" w14:textId="77777777" w:rsidR="003B6412" w:rsidRDefault="003B6412" w:rsidP="00FA27BC">
      <w:r>
        <w:separator/>
      </w:r>
    </w:p>
  </w:endnote>
  <w:endnote w:type="continuationSeparator" w:id="0">
    <w:p w14:paraId="35D40042" w14:textId="77777777" w:rsidR="003B6412" w:rsidRDefault="003B6412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5D5B5" w14:textId="77777777" w:rsidR="003B6412" w:rsidRDefault="003B6412" w:rsidP="00FA27BC">
      <w:r>
        <w:separator/>
      </w:r>
    </w:p>
  </w:footnote>
  <w:footnote w:type="continuationSeparator" w:id="0">
    <w:p w14:paraId="7593BDF4" w14:textId="77777777" w:rsidR="003B6412" w:rsidRDefault="003B6412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8"/>
  </w:num>
  <w:num w:numId="5" w16cid:durableId="116409799">
    <w:abstractNumId w:val="14"/>
  </w:num>
  <w:num w:numId="6" w16cid:durableId="1417633995">
    <w:abstractNumId w:val="17"/>
  </w:num>
  <w:num w:numId="7" w16cid:durableId="374306953">
    <w:abstractNumId w:val="15"/>
  </w:num>
  <w:num w:numId="8" w16cid:durableId="1235121894">
    <w:abstractNumId w:val="20"/>
  </w:num>
  <w:num w:numId="9" w16cid:durableId="1439791804">
    <w:abstractNumId w:val="10"/>
  </w:num>
  <w:num w:numId="10" w16cid:durableId="521625991">
    <w:abstractNumId w:val="6"/>
  </w:num>
  <w:num w:numId="11" w16cid:durableId="1940138746">
    <w:abstractNumId w:val="12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6"/>
  </w:num>
  <w:num w:numId="15" w16cid:durableId="1954435963">
    <w:abstractNumId w:val="11"/>
  </w:num>
  <w:num w:numId="16" w16cid:durableId="1274677078">
    <w:abstractNumId w:val="7"/>
  </w:num>
  <w:num w:numId="17" w16cid:durableId="310253752">
    <w:abstractNumId w:val="21"/>
  </w:num>
  <w:num w:numId="18" w16cid:durableId="11424354">
    <w:abstractNumId w:val="19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2"/>
  </w:num>
  <w:num w:numId="22" w16cid:durableId="1673559565">
    <w:abstractNumId w:val="4"/>
  </w:num>
  <w:num w:numId="23" w16cid:durableId="15586656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14267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8</cp:revision>
  <cp:lastPrinted>2021-09-28T01:40:00Z</cp:lastPrinted>
  <dcterms:created xsi:type="dcterms:W3CDTF">2021-09-28T01:40:00Z</dcterms:created>
  <dcterms:modified xsi:type="dcterms:W3CDTF">2022-04-29T21:40:00Z</dcterms:modified>
</cp:coreProperties>
</file>