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9155" w14:textId="1A234785" w:rsidR="006C3EDA" w:rsidRPr="009F5143" w:rsidRDefault="00E90073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January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</w:t>
      </w:r>
      <w:r>
        <w:rPr>
          <w:rFonts w:ascii="Garamond" w:hAnsi="Garamond"/>
        </w:rPr>
        <w:t>1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084D51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FE75E38" w14:textId="77777777" w:rsidR="00E90073" w:rsidRPr="00E90073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Ghose,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3C1CD88" w14:textId="7A104007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00DC822C" w14:textId="214C0904" w:rsidR="00044C77" w:rsidRPr="00044C77" w:rsidRDefault="00044C77" w:rsidP="00044C7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Zh</w:t>
      </w:r>
      <w:r w:rsidR="005B4C8E">
        <w:rPr>
          <w:rFonts w:ascii="Garamond" w:hAnsi="Garamond"/>
        </w:rPr>
        <w:t>ao</w:t>
      </w:r>
      <w:r>
        <w:rPr>
          <w:rFonts w:ascii="Garamond" w:hAnsi="Garamond"/>
        </w:rPr>
        <w:t xml:space="preserve">, Nan,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Zack Wang</w:t>
      </w:r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and Song Yao (2020), “The Impact of Social Distancing and Masking on COVID-19 Spread and Consumer Spending,” under review.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101B7AA5" w14:textId="3DB89F82" w:rsidR="00257ED2" w:rsidRPr="00257ED2" w:rsidRDefault="00257ED2" w:rsidP="00257ED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20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7AA40CA6" w14:textId="26D0C9A6" w:rsid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</w:t>
      </w:r>
      <w:r w:rsidR="00044C77">
        <w:rPr>
          <w:rFonts w:ascii="Garamond" w:hAnsi="Garamond"/>
        </w:rPr>
        <w:t xml:space="preserve">Jason </w:t>
      </w:r>
      <w:proofErr w:type="spellStart"/>
      <w:r w:rsidR="00044C77">
        <w:rPr>
          <w:rFonts w:ascii="Garamond" w:hAnsi="Garamond"/>
        </w:rPr>
        <w:t>Roos</w:t>
      </w:r>
      <w:proofErr w:type="spellEnd"/>
      <w:r w:rsidR="00044C77"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Song Yao, </w:t>
      </w:r>
      <w:r w:rsidR="00044C77">
        <w:rPr>
          <w:rFonts w:ascii="Garamond" w:hAnsi="Garamond"/>
        </w:rPr>
        <w:t xml:space="preserve">and </w:t>
      </w:r>
      <w:r w:rsidR="00044C77" w:rsidRPr="00CF55DD">
        <w:rPr>
          <w:rFonts w:ascii="Garamond" w:hAnsi="Garamond"/>
        </w:rPr>
        <w:t xml:space="preserve">Jim </w:t>
      </w:r>
      <w:proofErr w:type="spellStart"/>
      <w:r w:rsidR="00044C77" w:rsidRPr="00CF55DD">
        <w:rPr>
          <w:rFonts w:ascii="Garamond" w:hAnsi="Garamond"/>
        </w:rPr>
        <w:t>Sprigg</w:t>
      </w:r>
      <w:proofErr w:type="spellEnd"/>
      <w:r w:rsidR="00044C77">
        <w:rPr>
          <w:rFonts w:ascii="Garamond" w:hAnsi="Garamond"/>
        </w:rPr>
        <w:t xml:space="preserve">, </w:t>
      </w:r>
      <w:r>
        <w:rPr>
          <w:rFonts w:ascii="Garamond" w:hAnsi="Garamond"/>
        </w:rPr>
        <w:t>“</w:t>
      </w:r>
      <w:r w:rsidR="00044C77">
        <w:rPr>
          <w:rFonts w:ascii="Garamond" w:hAnsi="Garamond"/>
        </w:rPr>
        <w:t xml:space="preserve">Promotion Evaluation </w:t>
      </w:r>
      <w:r w:rsidR="0002134C" w:rsidRPr="0002134C">
        <w:rPr>
          <w:rFonts w:ascii="Garamond" w:hAnsi="Garamond"/>
        </w:rPr>
        <w:t>in Loyalty Programs</w:t>
      </w:r>
      <w:r w:rsidR="006074B8">
        <w:rPr>
          <w:rFonts w:ascii="Garamond" w:hAnsi="Garamond"/>
        </w:rPr>
        <w:t>.</w:t>
      </w:r>
      <w:r>
        <w:rPr>
          <w:rFonts w:ascii="Garamond" w:hAnsi="Garamond"/>
        </w:rPr>
        <w:t>”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38042375" w14:textId="1359330E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 w:rsidR="006074B8"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78E9D7A4" w14:textId="67F63360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co-chair, ongoing)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51685C49" w14:textId="77777777" w:rsidR="00EB056B" w:rsidRDefault="00EB056B" w:rsidP="0054324E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1727A" w14:textId="77777777" w:rsidR="00084D51" w:rsidRDefault="00084D51" w:rsidP="00FA27BC">
      <w:r>
        <w:separator/>
      </w:r>
    </w:p>
  </w:endnote>
  <w:endnote w:type="continuationSeparator" w:id="0">
    <w:p w14:paraId="16052DC9" w14:textId="77777777" w:rsidR="00084D51" w:rsidRDefault="00084D51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D1F68" w14:textId="77777777" w:rsidR="00084D51" w:rsidRDefault="00084D51" w:rsidP="00FA27BC">
      <w:r>
        <w:separator/>
      </w:r>
    </w:p>
  </w:footnote>
  <w:footnote w:type="continuationSeparator" w:id="0">
    <w:p w14:paraId="6CE6A588" w14:textId="77777777" w:rsidR="00084D51" w:rsidRDefault="00084D51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B4C8E"/>
    <w:rsid w:val="005C2DF9"/>
    <w:rsid w:val="005C377E"/>
    <w:rsid w:val="005D6780"/>
    <w:rsid w:val="005E2228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45AA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13659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6</cp:revision>
  <cp:lastPrinted>2020-11-11T03:46:00Z</cp:lastPrinted>
  <dcterms:created xsi:type="dcterms:W3CDTF">2020-11-11T03:46:00Z</dcterms:created>
  <dcterms:modified xsi:type="dcterms:W3CDTF">2021-01-08T15:27:00Z</dcterms:modified>
</cp:coreProperties>
</file>