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00A25">
      <w:pPr>
        <w:pStyle w:val="2"/>
      </w:pPr>
      <w:bookmarkStart w:id="0" w:name="第三章-研究方法与模型设计"/>
      <w:r>
        <w:t>第三章 研究方法与模型设计</w:t>
      </w:r>
    </w:p>
    <w:p w14:paraId="2052D3C9">
      <w:pPr>
        <w:pStyle w:val="4"/>
      </w:pPr>
      <w:bookmarkStart w:id="1" w:name="总体研究框架"/>
      <w:r>
        <w:t>3.1 总体研究框架</w:t>
      </w:r>
    </w:p>
    <w:p w14:paraId="3EB9503B">
      <w:pPr>
        <w:pStyle w:val="23"/>
      </w:pPr>
      <w:r>
        <w:t>针对微服务系统中日志信息复杂、服务调用关系相互关联，以及异常检测与根因定位存在不同任务目标的问题，本文设计了一种结合大语言模型语义表示与图神经网络的微服务日志异常检测及根因定位方法。研究以 RCAEval 数据集中的 RE2-TT 子集为数据来源之一 [6]，利用日志文本提取服务级语义特征，并根据 Trace 数据构建微服务调用图，进而使用图神经网络完成异常检测与根因定位。</w:t>
      </w:r>
    </w:p>
    <w:p w14:paraId="3026268B">
      <w:pPr>
        <w:pStyle w:val="3"/>
      </w:pPr>
      <w:r>
        <w:t>整体方法包括以下步骤：首先，根据时间戳和故障注入时间对日志进行时间窗口划分，并按服务聚合窗口内的日志；其次，利用 Qwen2.5-7B-Instruct 对应的语义表示流程获取日志嵌入，并计算日志数量、错误日志比例和警告日志比例等统计特征；随后，根据 Trace 中的父子 Span 关系构建服务调用图；最后，分别采用图卷积网络（GCN）、图注意力网络（GAT）和第二代图注意力网络（GATv2）进行建模，通过图级异常检测分支与节点级根因定位分支完成两个任务。</w:t>
      </w:r>
    </w:p>
    <w:p w14:paraId="54210A17">
      <w:pPr>
        <w:pStyle w:val="3"/>
      </w:pPr>
      <w:r>
        <w:t>本文的方法流程可以概括为：</w:t>
      </w:r>
    </w:p>
    <w:p w14:paraId="3841DDC8">
      <w:pPr>
        <w:pStyle w:val="3"/>
      </w:pPr>
      <w:r>
        <w:rPr>
          <w:b/>
          <w:bCs/>
        </w:rPr>
        <w:t>日志与 Trace 数据 → 时间窗口划分与服务级聚合 → 日志语义表示与统计特征构造 → 微服务调用图构建 → GNN 编码 → 异常检测与根因定位 → 性能评估。</w:t>
      </w:r>
    </w:p>
    <w:p w14:paraId="3E7DAAD0">
      <w:pPr>
        <w:pStyle w:val="3"/>
      </w:pPr>
      <w:r>
        <w:t>需要说明的是，当前图模型训练程序直接读取预先生成的日志嵌入，不在图网络训练阶段更新 Qwen 模型参数。因此，本文采用的是大语言模型语义表示与图神经网络相结合的建模方案，而非两个模型端到端的联合微调。</w:t>
      </w:r>
    </w:p>
    <w:bookmarkEnd w:id="1"/>
    <w:p w14:paraId="662C9540">
      <w:pPr>
        <w:pStyle w:val="4"/>
      </w:pPr>
      <w:bookmarkStart w:id="2" w:name="日志预处理与语义表示"/>
      <w:r>
        <w:t>3.2 日志预处理与语义表示</w:t>
      </w:r>
    </w:p>
    <w:p w14:paraId="490778A1">
      <w:pPr>
        <w:pStyle w:val="5"/>
      </w:pPr>
      <w:bookmarkStart w:id="3" w:name="基于时间窗口的日志划分"/>
      <w:r>
        <w:t>3.2.1 基于时间窗口的日志划分</w:t>
      </w:r>
    </w:p>
    <w:p w14:paraId="4CC0F578">
      <w:pPr>
        <w:pStyle w:val="23"/>
      </w:pPr>
      <w:r>
        <w:t>微服务系统的日志具有连续产生、不同服务日志相互交织等特点。为了建立日志信息与系统故障状态之间的时间对应关系，本文采用固定长度的时间窗口组织数据。</w:t>
      </w:r>
    </w:p>
    <w:p w14:paraId="6D4F6183">
      <w:pPr>
        <w:pStyle w:val="3"/>
      </w:pPr>
      <w:r>
        <w:t xml:space="preserve">设日志时间戳为 </w:t>
      </w:r>
      <m:oMath>
        <m:r>
          <m:rPr/>
          <m:t>t</m:t>
        </m:r>
      </m:oMath>
      <w:r>
        <w:t xml:space="preserve">，参考起始时间为 </w:t>
      </w:r>
      <m:oMath>
        <m:sSub>
          <m:sSubPr/>
          <m:e>
            <m:r>
              <m:rPr/>
              <m:t>t</m:t>
            </m:r>
          </m:e>
          <m:sub>
            <m:r>
              <m:rPr/>
              <m:t>0</m:t>
            </m:r>
          </m:sub>
        </m:sSub>
      </m:oMath>
      <w:r>
        <w:t xml:space="preserve">，窗口宽度为 </w:t>
      </w:r>
      <m:oMath>
        <m:r>
          <m:rPr/>
          <m:t>Δt</m:t>
        </m:r>
      </m:oMath>
      <w:r>
        <w:t>，则对应的时间窗口编号定义为：</w:t>
      </w:r>
    </w:p>
    <w:p w14:paraId="3D1FB4B9">
      <w:pPr>
        <w:pStyle w:val="3"/>
      </w:pPr>
      <m:oMathPara>
        <m:oMathParaPr>
          <m:jc m:val="center"/>
        </m:oMathParaPr>
        <m:oMath>
          <m:r>
            <m:rPr/>
            <m:t>w</m:t>
          </m:r>
          <m:d>
            <m:dPr>
              <m:sepChr m:val=""/>
            </m:dPr>
            <m:e>
              <m:r>
                <m:rPr/>
                <m:t>t</m:t>
              </m:r>
            </m:e>
          </m:d>
          <m:r>
            <m:rPr>
              <m:sty m:val="p"/>
            </m:rPr>
            <m:t>=floor</m:t>
          </m:r>
          <m:d>
            <m:dPr>
              <m:sepChr m:val=""/>
            </m:dPr>
            <m:e>
              <m:f>
                <m:fPr/>
                <m:num>
                  <m:r>
                    <m:rPr/>
                    <m:t>t</m:t>
                  </m:r>
                  <m:r>
                    <m:rPr>
                      <m:sty m:val="p"/>
                    </m:rPr>
                    <m:t>−</m:t>
                  </m:r>
                  <m:sSub>
                    <m:sSubPr/>
                    <m:e>
                      <m:r>
                        <m:rPr/>
                        <m:t>t</m:t>
                      </m:r>
                    </m:e>
                    <m:sub>
                      <m:r>
                        <m:rPr/>
                        <m:t>0</m:t>
                      </m:r>
                    </m:sub>
                  </m:sSub>
                </m:num>
                <m:den>
                  <m:r>
                    <m:rPr/>
                    <m:t>Δt</m:t>
                  </m:r>
                </m:den>
              </m:f>
            </m:e>
          </m:d>
        </m:oMath>
      </m:oMathPara>
    </w:p>
    <w:p w14:paraId="2D34A2DC">
      <w:pPr>
        <w:pStyle w:val="23"/>
      </w:pPr>
      <w:r>
        <w:t>其中，</w:t>
      </w:r>
      <m:oMath>
        <m:r>
          <m:rPr/>
          <m:t>Δt</m:t>
        </m:r>
      </m:oMath>
      <w:r>
        <w:t xml:space="preserve"> 表示时间窗口的宽度。根据最终提供的配置文件，默认窗口长度为 60 秒，另将 30 秒和 120 秒列为支持的可选窗口宽度。这些配置说明系统支持相应的窗口设置，但不单独证明三种设置均已完成实验。</w:t>
      </w:r>
    </w:p>
    <w:p w14:paraId="5A704605">
      <w:pPr>
        <w:pStyle w:val="3"/>
      </w:pPr>
      <w:r>
        <w:t>完成窗口划分后，程序按照窗口编号和服务标识聚合日志，并保留窗口起止时间、相对故障注入时间、服务名称及故障案例等信息。窗口级异常标签依据故障注入时间生成。</w:t>
      </w:r>
    </w:p>
    <w:p w14:paraId="6A8A36FC">
      <w:pPr>
        <w:pStyle w:val="3"/>
      </w:pPr>
      <w:r>
        <w:t xml:space="preserve">设故障注入时间为 </w:t>
      </w:r>
      <m:oMath>
        <m:sSub>
          <m:sSubPr/>
          <m:e>
            <m:r>
              <m:rPr/>
              <m:t>t</m:t>
            </m:r>
          </m:e>
          <m:sub>
            <m:r>
              <m:rPr/>
              <m:t>f</m:t>
            </m:r>
          </m:sub>
        </m:sSub>
      </m:oMath>
      <w:r>
        <w:t xml:space="preserve">，当前窗口的结束时间为 </w:t>
      </w:r>
      <m:oMath>
        <m:sSubSup>
          <m:sSubSupPr/>
          <m:e>
            <m:r>
              <m:rPr/>
              <m:t>t</m:t>
            </m:r>
          </m:e>
          <m:sub>
            <m:r>
              <m:rPr/>
              <m:t>w</m:t>
            </m:r>
          </m:sub>
          <m:sup>
            <m:r>
              <m:rPr/>
              <m:t>end</m:t>
            </m:r>
          </m:sup>
        </m:sSubSup>
      </m:oMath>
      <w:r>
        <w:t>，窗口级标签定义为：</w:t>
      </w:r>
    </w:p>
    <w:p w14:paraId="4B3A7F4F">
      <w:pPr>
        <w:pStyle w:val="3"/>
      </w:pPr>
      <m:oMathPara>
        <m:oMathParaPr>
          <m:jc m:val="center"/>
        </m:oMathParaPr>
        <m:oMath>
          <m:sSub>
            <m:sSubPr/>
            <m:e>
              <m:r>
                <m:rPr/>
                <m:t>y</m:t>
              </m:r>
            </m:e>
            <m:sub>
              <m:r>
                <m:rPr/>
                <m:t>w</m:t>
              </m:r>
            </m:sub>
          </m:sSub>
          <m:r>
            <m:rPr>
              <m:sty m:val="p"/>
            </m:rPr>
            <m:t>=</m:t>
          </m:r>
          <m:d>
            <m:dPr>
              <m:begChr m:val="{"/>
              <m:sepChr m:val=""/>
              <m:endChr m:val=""/>
            </m:dPr>
            <m:e>
              <m:m>
                <m:mPr>
                  <m:mcs>
                    <m:mc>
                      <m:mcPr>
                        <m:count m:val="2"/>
                        <m:mcJc m:val="left"/>
                      </m:mcPr>
                    </m:mc>
                  </m:mcs>
                  <m:plcHide m:val="1"/>
                </m:mPr>
                <m:mr>
                  <m:e>
                    <m:r>
                      <m:rPr/>
                      <m:t>0</m:t>
                    </m:r>
                    <m:r>
                      <m:rPr>
                        <m:sty m:val="p"/>
                      </m:rPr>
                      <m:t>,</m:t>
                    </m:r>
                  </m:e>
                  <m:e>
                    <m:sSubSup>
                      <m:sSubSupPr/>
                      <m:e>
                        <m:r>
                          <m:rPr/>
                          <m:t>t</m:t>
                        </m:r>
                      </m:e>
                      <m:sub>
                        <m:r>
                          <m:rPr/>
                          <m:t>w</m:t>
                        </m:r>
                      </m:sub>
                      <m:sup>
                        <m:r>
                          <m:rPr/>
                          <m:t>end</m:t>
                        </m:r>
                      </m:sup>
                    </m:sSubSup>
                    <m:r>
                      <m:rPr>
                        <m:sty m:val="p"/>
                      </m:rPr>
                      <m:t>&lt;</m:t>
                    </m:r>
                    <m:sSub>
                      <m:sSubPr/>
                      <m:e>
                        <m:r>
                          <m:rPr/>
                          <m:t>t</m:t>
                        </m:r>
                      </m:e>
                      <m:sub>
                        <m:r>
                          <m:rPr/>
                          <m:t>f</m:t>
                        </m:r>
                      </m:sub>
                    </m:sSub>
                  </m:e>
                </m:mr>
                <m:mr>
                  <m:e>
                    <m:r>
                      <m:rPr/>
                      <m:t>1</m:t>
                    </m:r>
                    <m:r>
                      <m:rPr>
                        <m:sty m:val="p"/>
                      </m:rPr>
                      <m:t>,</m:t>
                    </m:r>
                  </m:e>
                  <m:e>
                    <m:sSubSup>
                      <m:sSubSupPr/>
                      <m:e>
                        <m:r>
                          <m:rPr/>
                          <m:t>t</m:t>
                        </m:r>
                      </m:e>
                      <m:sub>
                        <m:r>
                          <m:rPr/>
                          <m:t>w</m:t>
                        </m:r>
                      </m:sub>
                      <m:sup>
                        <m:r>
                          <m:rPr/>
                          <m:t>end</m:t>
                        </m:r>
                      </m:sup>
                    </m:sSubSup>
                    <m:r>
                      <m:rPr>
                        <m:sty m:val="p"/>
                      </m:rPr>
                      <m:t>≥</m:t>
                    </m:r>
                    <m:sSub>
                      <m:sSubPr/>
                      <m:e>
                        <m:r>
                          <m:rPr/>
                          <m:t>t</m:t>
                        </m:r>
                      </m:e>
                      <m:sub>
                        <m:r>
                          <m:rPr/>
                          <m:t>f</m:t>
                        </m:r>
                      </m:sub>
                    </m:sSub>
                  </m:e>
                </m:mr>
              </m:m>
            </m:e>
          </m:d>
        </m:oMath>
      </m:oMathPara>
    </w:p>
    <w:p w14:paraId="6D9AC63E">
      <w:pPr>
        <w:pStyle w:val="23"/>
      </w:pPr>
      <w:r>
        <w:t>其中，</w:t>
      </w:r>
      <m:oMath>
        <m:sSub>
          <m:sSubPr/>
          <m:e>
            <m:r>
              <m:rPr/>
              <m:t>y</m:t>
            </m:r>
          </m:e>
          <m:sub>
            <m:r>
              <m:rPr/>
              <m:t>w</m:t>
            </m:r>
          </m:sub>
        </m:sSub>
        <m:r>
          <m:rPr>
            <m:sty m:val="p"/>
          </m:rPr>
          <m:t>=</m:t>
        </m:r>
        <m:r>
          <m:rPr/>
          <m:t>0</m:t>
        </m:r>
      </m:oMath>
      <w:r>
        <w:t xml:space="preserve"> 表示正常窗口，</w:t>
      </w:r>
      <m:oMath>
        <m:sSub>
          <m:sSubPr/>
          <m:e>
            <m:r>
              <m:rPr/>
              <m:t>y</m:t>
            </m:r>
          </m:e>
          <m:sub>
            <m:r>
              <m:rPr/>
              <m:t>w</m:t>
            </m:r>
          </m:sub>
        </m:sSub>
        <m:r>
          <m:rPr>
            <m:sty m:val="p"/>
          </m:rPr>
          <m:t>=</m:t>
        </m:r>
        <m:r>
          <m:rPr/>
          <m:t>1</m:t>
        </m:r>
      </m:oMath>
      <w:r>
        <w:t xml:space="preserve"> 表示异常窗口。按照当前预处理实现，跨越故障注入时刻的窗口被标记为混合窗口，并在二分类任务中归入异常类别。该标签表示窗口与故障注入时间的关系，并不表示窗口内每条日志均已被单独判定为异常。</w:t>
      </w:r>
    </w:p>
    <w:bookmarkEnd w:id="3"/>
    <w:p w14:paraId="672EAD2D">
      <w:pPr>
        <w:pStyle w:val="5"/>
      </w:pPr>
      <w:bookmarkStart w:id="4" w:name="服务级日志统计特征"/>
      <w:r>
        <w:t>3.2.2 服务级日志统计特征</w:t>
      </w:r>
    </w:p>
    <w:p w14:paraId="0F97BF67">
      <w:pPr>
        <w:pStyle w:val="23"/>
      </w:pPr>
      <w:r>
        <w:t>完成时间窗口划分后，程序按照窗口和服务对日志进行分组，并统计每个服务在相应窗口内的日志总数、错误日志数量和警告日志数量。</w:t>
      </w:r>
    </w:p>
    <w:p w14:paraId="714A4288">
      <w:pPr>
        <w:pStyle w:val="3"/>
      </w:pPr>
      <w:r>
        <w:t xml:space="preserve">设服务 </w:t>
      </w:r>
      <m:oMath>
        <m:sSub>
          <m:sSubPr/>
          <m:e>
            <m:r>
              <m:rPr/>
              <m:t>v</m:t>
            </m:r>
          </m:e>
          <m:sub>
            <m:r>
              <m:rPr/>
              <m:t>i</m:t>
            </m:r>
          </m:sub>
        </m:sSub>
      </m:oMath>
      <w:r>
        <w:t xml:space="preserve"> 在窗口 </w:t>
      </w:r>
      <m:oMath>
        <m:r>
          <m:rPr/>
          <m:t>w</m:t>
        </m:r>
      </m:oMath>
      <w:r>
        <w:t xml:space="preserve"> 内的日志总数为 </w:t>
      </w:r>
      <m:oMath>
        <m:sSubSup>
          <m:sSubSupPr/>
          <m:e>
            <m:r>
              <m:rPr/>
              <m:t>n</m:t>
            </m:r>
          </m:e>
          <m:sub>
            <m:r>
              <m:rPr/>
              <m:t>i</m:t>
            </m:r>
          </m:sub>
          <m:sup>
            <m:r>
              <m:rPr/>
              <m:t>w</m:t>
            </m:r>
          </m:sup>
        </m:sSubSup>
      </m:oMath>
      <w:r>
        <w:t xml:space="preserve">，错误日志数量为 </w:t>
      </w:r>
      <m:oMath>
        <m:sSubSup>
          <m:sSubSupPr/>
          <m:e>
            <m:r>
              <m:rPr/>
              <m:t>n</m:t>
            </m:r>
          </m:e>
          <m:sub>
            <m:r>
              <m:rPr/>
              <m:t>i</m:t>
            </m:r>
            <m:r>
              <m:rPr>
                <m:sty m:val="p"/>
              </m:rPr>
              <m:t>,err</m:t>
            </m:r>
          </m:sub>
          <m:sup>
            <m:r>
              <m:rPr/>
              <m:t>w</m:t>
            </m:r>
          </m:sup>
        </m:sSubSup>
      </m:oMath>
      <w:r>
        <w:t xml:space="preserve">，警告日志数量为 </w:t>
      </w:r>
      <m:oMath>
        <m:sSubSup>
          <m:sSubSupPr/>
          <m:e>
            <m:r>
              <m:rPr/>
              <m:t>n</m:t>
            </m:r>
          </m:e>
          <m:sub>
            <m:r>
              <m:rPr/>
              <m:t>i</m:t>
            </m:r>
            <m:r>
              <m:rPr>
                <m:sty m:val="p"/>
              </m:rPr>
              <m:t>,warn</m:t>
            </m:r>
          </m:sub>
          <m:sup>
            <m:r>
              <m:rPr/>
              <m:t>w</m:t>
            </m:r>
          </m:sup>
        </m:sSubSup>
      </m:oMath>
      <w:r>
        <w:t>。错误日志比例和警告日志比例分别定义为：</w:t>
      </w:r>
    </w:p>
    <w:p w14:paraId="06D6CDA5">
      <w:pPr>
        <w:pStyle w:val="3"/>
      </w:pPr>
      <m:oMathPara>
        <m:oMathParaPr>
          <m:jc m:val="center"/>
        </m:oMathParaPr>
        <m:oMath>
          <m:sSubSup>
            <m:sSubSupPr/>
            <m:e>
              <m:r>
                <m:rPr/>
                <m:t>r</m:t>
              </m:r>
            </m:e>
            <m:sub>
              <m:r>
                <m:rPr/>
                <m:t>i</m:t>
              </m:r>
              <m:r>
                <m:rPr>
                  <m:sty m:val="p"/>
                </m:rPr>
                <m:t>,err</m:t>
              </m:r>
            </m:sub>
            <m:sup>
              <m:r>
                <m:rPr/>
                <m:t>w</m:t>
              </m:r>
            </m:sup>
          </m:sSubSup>
          <m:r>
            <m:rPr>
              <m:sty m:val="p"/>
            </m:rPr>
            <m:t>=</m:t>
          </m:r>
          <m:f>
            <m:fPr/>
            <m:num>
              <m:sSubSup>
                <m:sSubSupPr/>
                <m:e>
                  <m:r>
                    <m:rPr/>
                    <m:t>n</m:t>
                  </m:r>
                </m:e>
                <m:sub>
                  <m:r>
                    <m:rPr/>
                    <m:t>i</m:t>
                  </m:r>
                  <m:r>
                    <m:rPr>
                      <m:sty m:val="p"/>
                    </m:rPr>
                    <m:t>,err</m:t>
                  </m:r>
                </m:sub>
                <m:sup>
                  <m:r>
                    <m:rPr/>
                    <m:t>w</m:t>
                  </m:r>
                </m:sup>
              </m:sSubSup>
            </m:num>
            <m:den>
              <m:r>
                <m:rPr>
                  <m:sty m:val="p"/>
                </m:rPr>
                <m:t>max</m:t>
              </m:r>
              <m:d>
                <m:dPr>
                  <m:sepChr m:val=""/>
                </m:dPr>
                <m:e>
                  <m:sSubSup>
                    <m:sSubSupPr/>
                    <m:e>
                      <m:r>
                        <m:rPr/>
                        <m:t>n</m:t>
                      </m:r>
                    </m:e>
                    <m:sub>
                      <m:r>
                        <m:rPr/>
                        <m:t>i</m:t>
                      </m:r>
                    </m:sub>
                    <m:sup>
                      <m:r>
                        <m:rPr/>
                        <m:t>w</m:t>
                      </m:r>
                    </m:sup>
                  </m:sSubSup>
                  <m:r>
                    <m:rPr>
                      <m:sty m:val="p"/>
                    </m:rPr>
                    <m:t>,</m:t>
                  </m:r>
                  <m:r>
                    <m:rPr/>
                    <m:t>1</m:t>
                  </m:r>
                </m:e>
              </m:d>
            </m:den>
          </m:f>
        </m:oMath>
      </m:oMathPara>
    </w:p>
    <w:p w14:paraId="620B980A">
      <w:pPr>
        <w:pStyle w:val="23"/>
      </w:pPr>
      <m:oMathPara>
        <m:oMathParaPr>
          <m:jc m:val="center"/>
        </m:oMathParaPr>
        <m:oMath>
          <m:sSubSup>
            <m:sSubSupPr/>
            <m:e>
              <m:r>
                <m:rPr/>
                <m:t>r</m:t>
              </m:r>
            </m:e>
            <m:sub>
              <m:r>
                <m:rPr/>
                <m:t>i</m:t>
              </m:r>
              <m:r>
                <m:rPr>
                  <m:sty m:val="p"/>
                </m:rPr>
                <m:t>,warn</m:t>
              </m:r>
            </m:sub>
            <m:sup>
              <m:r>
                <m:rPr/>
                <m:t>w</m:t>
              </m:r>
            </m:sup>
          </m:sSubSup>
          <m:r>
            <m:rPr>
              <m:sty m:val="p"/>
            </m:rPr>
            <m:t>=</m:t>
          </m:r>
          <m:f>
            <m:fPr/>
            <m:num>
              <m:sSubSup>
                <m:sSubSupPr/>
                <m:e>
                  <m:r>
                    <m:rPr/>
                    <m:t>n</m:t>
                  </m:r>
                </m:e>
                <m:sub>
                  <m:r>
                    <m:rPr/>
                    <m:t>i</m:t>
                  </m:r>
                  <m:r>
                    <m:rPr>
                      <m:sty m:val="p"/>
                    </m:rPr>
                    <m:t>,warn</m:t>
                  </m:r>
                </m:sub>
                <m:sup>
                  <m:r>
                    <m:rPr/>
                    <m:t>w</m:t>
                  </m:r>
                </m:sup>
              </m:sSubSup>
            </m:num>
            <m:den>
              <m:r>
                <m:rPr>
                  <m:sty m:val="p"/>
                </m:rPr>
                <m:t>max</m:t>
              </m:r>
              <m:d>
                <m:dPr>
                  <m:sepChr m:val=""/>
                </m:dPr>
                <m:e>
                  <m:sSubSup>
                    <m:sSubSupPr/>
                    <m:e>
                      <m:r>
                        <m:rPr/>
                        <m:t>n</m:t>
                      </m:r>
                    </m:e>
                    <m:sub>
                      <m:r>
                        <m:rPr/>
                        <m:t>i</m:t>
                      </m:r>
                    </m:sub>
                    <m:sup>
                      <m:r>
                        <m:rPr/>
                        <m:t>w</m:t>
                      </m:r>
                    </m:sup>
                  </m:sSubSup>
                  <m:r>
                    <m:rPr>
                      <m:sty m:val="p"/>
                    </m:rPr>
                    <m:t>,</m:t>
                  </m:r>
                  <m:r>
                    <m:rPr/>
                    <m:t>1</m:t>
                  </m:r>
                </m:e>
              </m:d>
            </m:den>
          </m:f>
        </m:oMath>
      </m:oMathPara>
    </w:p>
    <w:p w14:paraId="44E3F6CE">
      <w:pPr>
        <w:pStyle w:val="23"/>
      </w:pPr>
      <w:r>
        <w:t xml:space="preserve">分母使用 </w:t>
      </w:r>
      <m:oMath>
        <m:r>
          <m:rPr>
            <m:sty m:val="p"/>
          </m:rPr>
          <m:t>max</m:t>
        </m:r>
        <m:d>
          <m:dPr>
            <m:sepChr m:val=""/>
          </m:dPr>
          <m:e>
            <m:sSubSup>
              <m:sSubSupPr/>
              <m:e>
                <m:r>
                  <m:rPr/>
                  <m:t>n</m:t>
                </m:r>
              </m:e>
              <m:sub>
                <m:r>
                  <m:rPr/>
                  <m:t>i</m:t>
                </m:r>
              </m:sub>
              <m:sup>
                <m:r>
                  <m:rPr/>
                  <m:t>w</m:t>
                </m:r>
              </m:sup>
            </m:sSubSup>
            <m:r>
              <m:rPr>
                <m:sty m:val="p"/>
              </m:rPr>
              <m:t>,</m:t>
            </m:r>
            <m:r>
              <m:rPr/>
              <m:t>1</m:t>
            </m:r>
          </m:e>
        </m:d>
      </m:oMath>
      <w:r>
        <w:t xml:space="preserve"> 是为了避免日志数量为零时出现除零错误。</w:t>
      </w:r>
    </w:p>
    <w:p w14:paraId="5E82F480">
      <w:pPr>
        <w:pStyle w:val="3"/>
      </w:pPr>
      <w:r>
        <w:t xml:space="preserve">在当前实现中，错误日志通过正则表达式识别，匹配关键词为 </w:t>
      </w:r>
      <w:r>
        <w:rPr>
          <w:rStyle w:val="37"/>
        </w:rPr>
        <w:t>ERROR</w:t>
      </w:r>
      <w:r>
        <w:t xml:space="preserve"> 或 </w:t>
      </w:r>
      <w:r>
        <w:rPr>
          <w:rStyle w:val="37"/>
        </w:rPr>
        <w:t>EXCEPTION</w:t>
      </w:r>
      <w:r>
        <w:t xml:space="preserve">，匹配时不区分大小写；警告日志通过 </w:t>
      </w:r>
      <w:r>
        <w:rPr>
          <w:rStyle w:val="37"/>
        </w:rPr>
        <w:t>WARN</w:t>
      </w:r>
      <w:r>
        <w:t xml:space="preserve"> 或 </w:t>
      </w:r>
      <w:r>
        <w:rPr>
          <w:rStyle w:val="37"/>
        </w:rPr>
        <w:t>WARNING</w:t>
      </w:r>
      <w:r>
        <w:t xml:space="preserve"> 识别。因此，这两项比例属于基于关键词规则计算的统计特征，而不是由独立分类模型预测的概率。</w:t>
      </w:r>
    </w:p>
    <w:p w14:paraId="7B859606">
      <w:pPr>
        <w:pStyle w:val="3"/>
      </w:pPr>
      <w:r>
        <w:t>预处理程序也会对监控指标进行时间窗口聚合，但当前图模型加载程序没有将该指标聚合结果拼接到节点输入特征中。因此，后续模型使用的统计特征来自日志，而不是日志与监控指标的直接融合。</w:t>
      </w:r>
    </w:p>
    <w:bookmarkEnd w:id="4"/>
    <w:p w14:paraId="117BD43A">
      <w:pPr>
        <w:pStyle w:val="5"/>
      </w:pPr>
      <w:bookmarkStart w:id="5" w:name="基于-qwen-的日志语义表示"/>
      <w:r>
        <w:t>3.2.3 基于 Qwen 的日志语义表示</w:t>
      </w:r>
    </w:p>
    <w:p w14:paraId="70535BEF">
      <w:pPr>
        <w:pStyle w:val="23"/>
      </w:pPr>
      <w:r>
        <w:t>日志中的异常信息不一定只体现为固定关键词，还可能包含操作语义、异常描述以及服务处理过程等内容。为了补充关键词统计无法充分表达的语义信息，本文使用大语言模型相关的语义表示作为服务节点的输入特征之一。</w:t>
      </w:r>
    </w:p>
    <w:p w14:paraId="4D73FD59">
      <w:pPr>
        <w:pStyle w:val="3"/>
      </w:pPr>
      <w:r>
        <w:t>根据配置文件，语义表示采用 Qwen2.5-7B-Instruct，池化方式为 Mean Pooling，最大输入长度为 512 tokens，数据类型为 bfloat16，嵌入生成批大小设置为 4。配置文件还指定了模型本地路径及版本标识 [11]。</w:t>
      </w:r>
    </w:p>
    <w:p w14:paraId="507F1B4C">
      <w:pPr>
        <w:pStyle w:val="3"/>
      </w:pPr>
      <w:r>
        <w:t xml:space="preserve">设服务 </w:t>
      </w:r>
      <m:oMath>
        <m:sSub>
          <m:sSubPr/>
          <m:e>
            <m:r>
              <m:rPr/>
              <m:t>v</m:t>
            </m:r>
          </m:e>
          <m:sub>
            <m:r>
              <m:rPr/>
              <m:t>i</m:t>
            </m:r>
          </m:sub>
        </m:sSub>
      </m:oMath>
      <w:r>
        <w:t xml:space="preserve"> 在窗口 </w:t>
      </w:r>
      <m:oMath>
        <m:r>
          <m:rPr/>
          <m:t>w</m:t>
        </m:r>
      </m:oMath>
      <w:r>
        <w:t xml:space="preserve"> 对应的日志语义向量为：</w:t>
      </w:r>
    </w:p>
    <w:p w14:paraId="31E25AC4">
      <w:pPr>
        <w:pStyle w:val="3"/>
      </w:pPr>
      <m:oMathPara>
        <m:oMathParaPr>
          <m:jc m:val="center"/>
        </m:oMathParaPr>
        <m:oMath>
          <m:sSubSup>
            <m:sSubSupPr/>
            <m:e>
              <m:r>
                <m:rPr>
                  <m:sty m:val="b"/>
                </m:rPr>
                <m:t>e</m:t>
              </m:r>
            </m:e>
            <m:sub>
              <m:r>
                <m:rPr/>
                <m:t>i</m:t>
              </m:r>
            </m:sub>
            <m:sup>
              <m:r>
                <m:rPr/>
                <m:t>w</m:t>
              </m:r>
            </m:sup>
          </m:sSubSup>
          <m:r>
            <m:rPr>
              <m:sty m:val="p"/>
            </m:rPr>
            <m:t>∈</m:t>
          </m:r>
          <m:sSup>
            <m:sSupPr/>
            <m:e>
              <m:r>
                <m:rPr>
                  <m:sty m:val="p"/>
                  <m:scr m:val="double-struck"/>
                </m:rPr>
                <m:t>ℝ</m:t>
              </m:r>
            </m:e>
            <m:sup>
              <m:sSub>
                <m:sSubPr/>
                <m:e>
                  <m:r>
                    <m:rPr/>
                    <m:t>d</m:t>
                  </m:r>
                </m:e>
                <m:sub>
                  <m:r>
                    <m:rPr/>
                    <m:t>e</m:t>
                  </m:r>
                </m:sub>
              </m:sSub>
            </m:sup>
          </m:sSup>
        </m:oMath>
      </m:oMathPara>
    </w:p>
    <w:p w14:paraId="53698C87">
      <w:pPr>
        <w:pStyle w:val="23"/>
      </w:pPr>
      <w:r>
        <w:t>其中，</w:t>
      </w:r>
      <m:oMath>
        <m:sSub>
          <m:sSubPr/>
          <m:e>
            <m:r>
              <m:rPr/>
              <m:t>d</m:t>
            </m:r>
          </m:e>
          <m:sub>
            <m:r>
              <m:rPr/>
              <m:t>e</m:t>
            </m:r>
          </m:sub>
        </m:sSub>
      </m:oMath>
      <w:r>
        <w:t xml:space="preserve"> 表示嵌入向量维度。根据项目实现说明，日志语义表示由模型隐状态经平均池化形成；图模型加载程序则直接读取预先生成的嵌入数组。在数组可用时，程序根据数组形状确定实际嵌入维度；如果嵌入数组不存在，代码会使用 3584 作为默认维度，并将尚未填充的语义特征初始化为零。</w:t>
      </w:r>
    </w:p>
    <w:p w14:paraId="314F66A8">
      <w:pPr>
        <w:pStyle w:val="3"/>
      </w:pPr>
      <w:r>
        <w:t>因此，3584 是当前加载代码采用的默认维度，实际实验中嵌入是否完整、维度是否与预期一致，仍应由对应的嵌入文件确认。由于目前提供的文件不包括完整的嵌入生成脚本，本文不进一步假定具体的隐状态提取层或特殊 token 处理方式。</w:t>
      </w:r>
    </w:p>
    <w:bookmarkEnd w:id="2"/>
    <w:bookmarkEnd w:id="5"/>
    <w:p w14:paraId="5CA06898">
      <w:pPr>
        <w:pStyle w:val="4"/>
      </w:pPr>
      <w:bookmarkStart w:id="6" w:name="微服务调用图构建"/>
      <w:r>
        <w:t>3.3 微服务调用图构建</w:t>
      </w:r>
    </w:p>
    <w:p w14:paraId="0C034A43">
      <w:pPr>
        <w:pStyle w:val="5"/>
      </w:pPr>
      <w:bookmarkStart w:id="7" w:name="图结构定义"/>
      <w:r>
        <w:t>3.3.1 图结构定义</w:t>
      </w:r>
    </w:p>
    <w:p w14:paraId="2DB396BD">
      <w:pPr>
        <w:pStyle w:val="23"/>
      </w:pPr>
      <w:r>
        <w:t>微服务系统中的服务通常通过请求调用协同完成任务。一个服务出现异常时，影响可能沿调用关系传播。因此，本文使用服务调用图表示微服务之间的结构关系，并将服务级日志信息作为图节点特征。</w:t>
      </w:r>
    </w:p>
    <w:p w14:paraId="37F8FED6">
      <w:pPr>
        <w:pStyle w:val="3"/>
      </w:pPr>
      <w:r>
        <w:t xml:space="preserve">对于时间窗口 </w:t>
      </w:r>
      <m:oMath>
        <m:r>
          <m:rPr/>
          <m:t>w</m:t>
        </m:r>
      </m:oMath>
      <w:r>
        <w:t>，图表示为：</w:t>
      </w:r>
    </w:p>
    <w:p w14:paraId="6E3647DB">
      <w:pPr>
        <w:pStyle w:val="3"/>
      </w:pPr>
      <m:oMathPara>
        <m:oMathParaPr>
          <m:jc m:val="center"/>
        </m:oMathParaPr>
        <m:oMath>
          <m:sSub>
            <m:sSubPr/>
            <m:e>
              <m:r>
                <m:rPr/>
                <m:t>G</m:t>
              </m:r>
            </m:e>
            <m:sub>
              <m:r>
                <m:rPr/>
                <m:t>w</m:t>
              </m:r>
            </m:sub>
          </m:sSub>
          <m:r>
            <m:rPr>
              <m:sty m:val="p"/>
            </m:rPr>
            <m:t>=</m:t>
          </m:r>
          <m:d>
            <m:dPr>
              <m:sepChr m:val=""/>
            </m:dPr>
            <m:e>
              <m:sSub>
                <m:sSubPr/>
                <m:e>
                  <m:r>
                    <m:rPr/>
                    <m:t>V</m:t>
                  </m:r>
                </m:e>
                <m:sub>
                  <m:r>
                    <m:rPr/>
                    <m:t>w</m:t>
                  </m:r>
                </m:sub>
              </m:sSub>
              <m:r>
                <m:rPr>
                  <m:sty m:val="p"/>
                </m:rPr>
                <m:t>,</m:t>
              </m:r>
              <m:sSub>
                <m:sSubPr/>
                <m:e>
                  <m:r>
                    <m:rPr/>
                    <m:t>E</m:t>
                  </m:r>
                </m:e>
                <m:sub>
                  <m:r>
                    <m:rPr/>
                    <m:t>w</m:t>
                  </m:r>
                </m:sub>
              </m:sSub>
              <m:r>
                <m:rPr>
                  <m:sty m:val="p"/>
                </m:rPr>
                <m:t>,</m:t>
              </m:r>
              <m:sSub>
                <m:sSubPr/>
                <m:e>
                  <m:r>
                    <m:rPr/>
                    <m:t>X</m:t>
                  </m:r>
                </m:e>
                <m:sub>
                  <m:r>
                    <m:rPr/>
                    <m:t>w</m:t>
                  </m:r>
                </m:sub>
              </m:sSub>
            </m:e>
          </m:d>
        </m:oMath>
      </m:oMathPara>
    </w:p>
    <w:p w14:paraId="7C190340">
      <w:pPr>
        <w:pStyle w:val="23"/>
      </w:pPr>
      <w:r>
        <w:t>其中，</w:t>
      </w:r>
      <m:oMath>
        <m:sSub>
          <m:sSubPr/>
          <m:e>
            <m:r>
              <m:rPr/>
              <m:t>V</m:t>
            </m:r>
          </m:e>
          <m:sub>
            <m:r>
              <m:rPr/>
              <m:t>w</m:t>
            </m:r>
          </m:sub>
        </m:sSub>
      </m:oMath>
      <w:r>
        <w:t xml:space="preserve"> 为当前窗口中的服务节点集合，</w:t>
      </w:r>
      <m:oMath>
        <m:sSub>
          <m:sSubPr/>
          <m:e>
            <m:r>
              <m:rPr/>
              <m:t>E</m:t>
            </m:r>
          </m:e>
          <m:sub>
            <m:r>
              <m:rPr/>
              <m:t>w</m:t>
            </m:r>
          </m:sub>
        </m:sSub>
      </m:oMath>
      <w:r>
        <w:t xml:space="preserve"> 为服务调用边集合，</w:t>
      </w:r>
      <m:oMath>
        <m:sSub>
          <m:sSubPr/>
          <m:e>
            <m:r>
              <m:rPr/>
              <m:t>X</m:t>
            </m:r>
          </m:e>
          <m:sub>
            <m:r>
              <m:rPr/>
              <m:t>w</m:t>
            </m:r>
          </m:sub>
        </m:sSub>
      </m:oMath>
      <w:r>
        <w:t xml:space="preserve"> 为节点特征矩阵。</w:t>
      </w:r>
    </w:p>
    <w:p w14:paraId="24300F92">
      <w:pPr>
        <w:pStyle w:val="3"/>
      </w:pPr>
      <w:r>
        <w:t xml:space="preserve">设窗口内包含 </w:t>
      </w:r>
      <m:oMath>
        <m:sSub>
          <m:sSubPr/>
          <m:e>
            <m:r>
              <m:rPr/>
              <m:t>N</m:t>
            </m:r>
          </m:e>
          <m:sub>
            <m:r>
              <m:rPr/>
              <m:t>w</m:t>
            </m:r>
          </m:sub>
        </m:sSub>
      </m:oMath>
      <w:r>
        <w:t xml:space="preserve"> 个服务节点，则：</w:t>
      </w:r>
    </w:p>
    <w:p w14:paraId="5E62BE02">
      <w:pPr>
        <w:pStyle w:val="3"/>
      </w:pPr>
      <m:oMathPara>
        <m:oMathParaPr>
          <m:jc m:val="center"/>
        </m:oMathParaPr>
        <m:oMath>
          <m:sSub>
            <m:sSubPr/>
            <m:e>
              <m:r>
                <m:rPr/>
                <m:t>X</m:t>
              </m:r>
            </m:e>
            <m:sub>
              <m:r>
                <m:rPr/>
                <m:t>w</m:t>
              </m:r>
            </m:sub>
          </m:sSub>
          <m:r>
            <m:rPr>
              <m:sty m:val="p"/>
            </m:rPr>
            <m:t>∈</m:t>
          </m:r>
          <m:sSup>
            <m:sSupPr/>
            <m:e>
              <m:r>
                <m:rPr>
                  <m:sty m:val="p"/>
                  <m:scr m:val="double-struck"/>
                </m:rPr>
                <m:t>ℝ</m:t>
              </m:r>
            </m:e>
            <m:sup>
              <m:sSub>
                <m:sSubPr/>
                <m:e>
                  <m:r>
                    <m:rPr/>
                    <m:t>N</m:t>
                  </m:r>
                </m:e>
                <m:sub>
                  <m:r>
                    <m:rPr/>
                    <m:t>w</m:t>
                  </m:r>
                </m:sub>
              </m:sSub>
              <m:r>
                <m:rPr>
                  <m:sty m:val="p"/>
                </m:rPr>
                <m:t>×</m:t>
              </m:r>
              <m:d>
                <m:dPr>
                  <m:sepChr m:val=""/>
                </m:dPr>
                <m:e>
                  <m:sSub>
                    <m:sSubPr/>
                    <m:e>
                      <m:r>
                        <m:rPr/>
                        <m:t>d</m:t>
                      </m:r>
                    </m:e>
                    <m:sub>
                      <m:r>
                        <m:rPr/>
                        <m:t>e</m:t>
                      </m:r>
                    </m:sub>
                  </m:sSub>
                  <m:r>
                    <m:rPr>
                      <m:sty m:val="p"/>
                    </m:rPr>
                    <m:t>+</m:t>
                  </m:r>
                  <m:r>
                    <m:rPr/>
                    <m:t>3</m:t>
                  </m:r>
                </m:e>
              </m:d>
            </m:sup>
          </m:sSup>
        </m:oMath>
      </m:oMathPara>
    </w:p>
    <w:p w14:paraId="1F73CEE0">
      <w:pPr>
        <w:pStyle w:val="23"/>
      </w:pPr>
      <w:r>
        <w:t>其中，</w:t>
      </w:r>
      <m:oMath>
        <m:sSub>
          <m:sSubPr/>
          <m:e>
            <m:r>
              <m:rPr/>
              <m:t>d</m:t>
            </m:r>
          </m:e>
          <m:sub>
            <m:r>
              <m:rPr/>
              <m:t>e</m:t>
            </m:r>
          </m:sub>
        </m:sSub>
      </m:oMath>
      <w:r>
        <w:t xml:space="preserve"> 为日志语义向量维度，额外的三个维度分别对应对数日志数量、错误日志比例和警告日志比例。每个窗口对应一个图快照，用于表示相应时间范围内的服务节点及调用关系。</w:t>
      </w:r>
    </w:p>
    <w:bookmarkEnd w:id="7"/>
    <w:p w14:paraId="25F3953D">
      <w:pPr>
        <w:pStyle w:val="5"/>
      </w:pPr>
      <w:bookmarkStart w:id="8" w:name="基于-trace-的调用关系提取"/>
      <w:r>
        <w:t>3.3.2 基于 Trace 的调用关系提取</w:t>
      </w:r>
    </w:p>
    <w:p w14:paraId="662FD76E">
      <w:pPr>
        <w:pStyle w:val="23"/>
      </w:pPr>
      <w:r>
        <w:t>当前实现从 Trace 数据中读取 Trace 标识、Span 标识、父 Span 标识、服务名称、开始时间和状态码等字段。程序首先根据 Span 标识建立服务映射，再根据父 Span 标识确定调用方服务。对于调用方与被调用方均可确定且二者不是同一服务的记录，程序保留相应的跨服务调用关系。</w:t>
      </w:r>
    </w:p>
    <w:p w14:paraId="195BCB2E">
      <w:pPr>
        <w:pStyle w:val="3"/>
      </w:pPr>
      <w:r>
        <w:t xml:space="preserve">设调用方为 </w:t>
      </w:r>
      <m:oMath>
        <m:sSub>
          <m:sSubPr/>
          <m:e>
            <m:r>
              <m:rPr/>
              <m:t>v</m:t>
            </m:r>
          </m:e>
          <m:sub>
            <m:r>
              <m:rPr/>
              <m:t>i</m:t>
            </m:r>
          </m:sub>
        </m:sSub>
      </m:oMath>
      <w:r>
        <w:t xml:space="preserve">，被调用方为 </w:t>
      </w:r>
      <m:oMath>
        <m:sSub>
          <m:sSubPr/>
          <m:e>
            <m:r>
              <m:rPr/>
              <m:t>v</m:t>
            </m:r>
          </m:e>
          <m:sub>
            <m:r>
              <m:rPr/>
              <m:t>j</m:t>
            </m:r>
          </m:sub>
        </m:sSub>
      </m:oMath>
      <w:r>
        <w:t xml:space="preserve">，则窗口 </w:t>
      </w:r>
      <m:oMath>
        <m:r>
          <m:rPr/>
          <m:t>w</m:t>
        </m:r>
      </m:oMath>
      <w:r>
        <w:t xml:space="preserve"> 中的调用边表示为：</w:t>
      </w:r>
    </w:p>
    <w:p w14:paraId="53E546D2">
      <w:pPr>
        <w:pStyle w:val="3"/>
      </w:pPr>
      <m:oMathPara>
        <m:oMathParaPr>
          <m:jc m:val="center"/>
        </m:oMathParaPr>
        <m:oMath>
          <m:sSub>
            <m:sSubPr/>
            <m:e>
              <m:r>
                <m:rPr/>
                <m:t>E</m:t>
              </m:r>
            </m:e>
            <m:sub>
              <m:r>
                <m:rPr/>
                <m:t>w</m:t>
              </m:r>
            </m:sub>
          </m:sSub>
          <m:r>
            <m:rPr>
              <m:sty m:val="p"/>
            </m:rPr>
            <m:t>={</m:t>
          </m:r>
          <m:d>
            <m:dPr>
              <m:sepChr m:val=""/>
            </m:dPr>
            <m:e>
              <m:sSub>
                <m:sSubPr/>
                <m:e>
                  <m:r>
                    <m:rPr/>
                    <m:t>v</m:t>
                  </m:r>
                </m:e>
                <m:sub>
                  <m:r>
                    <m:rPr/>
                    <m:t>i</m:t>
                  </m:r>
                </m:sub>
              </m:sSub>
              <m:r>
                <m:rPr>
                  <m:sty m:val="p"/>
                </m:rPr>
                <m:t>,</m:t>
              </m:r>
              <m:sSub>
                <m:sSubPr/>
                <m:e>
                  <m:r>
                    <m:rPr/>
                    <m:t>v</m:t>
                  </m:r>
                </m:e>
                <m:sub>
                  <m:r>
                    <m:rPr/>
                    <m:t>j</m:t>
                  </m:r>
                </m:sub>
              </m:sSub>
            </m:e>
          </m:d>
          <m:r>
            <m:rPr>
              <m:sty m:val="p"/>
            </m:rPr>
            <m:t>∣</m:t>
          </m:r>
          <m:sSub>
            <m:sSubPr/>
            <m:e>
              <m:r>
                <m:rPr/>
                <m:t>v</m:t>
              </m:r>
            </m:e>
            <m:sub>
              <m:r>
                <m:rPr/>
                <m:t>i</m:t>
              </m:r>
            </m:sub>
          </m:sSub>
          <m:r>
            <m:rPr>
              <m:nor/>
              <m:sty m:val="p"/>
            </m:rPr>
            <w:rPr>
              <w:b w:val="0"/>
              <w:i w:val="0"/>
            </w:rPr>
            <m:t>在窗口</m:t>
          </m:r>
          <m:r>
            <m:rPr/>
            <m:t>w</m:t>
          </m:r>
          <m:r>
            <m:rPr>
              <m:nor/>
              <m:sty m:val="p"/>
            </m:rPr>
            <w:rPr>
              <w:b w:val="0"/>
              <w:i w:val="0"/>
            </w:rPr>
            <m:t>中调用</m:t>
          </m:r>
          <m:sSub>
            <m:sSubPr/>
            <m:e>
              <m:r>
                <m:rPr/>
                <m:t>v</m:t>
              </m:r>
            </m:e>
            <m:sub>
              <m:r>
                <m:rPr/>
                <m:t>j</m:t>
              </m:r>
            </m:sub>
          </m:sSub>
          <m:r>
            <m:rPr>
              <m:sty m:val="p"/>
            </m:rPr>
            <m:t>}</m:t>
          </m:r>
        </m:oMath>
      </m:oMathPara>
    </w:p>
    <w:p w14:paraId="77482C33">
      <w:pPr>
        <w:pStyle w:val="23"/>
      </w:pPr>
      <w:r>
        <w:t xml:space="preserve">程序根据 Trace 的开始时间将调用记录分配到相应窗口，并按窗口、调用方及被调用方进行聚合。该过程生成的边表提供了构造图神经网络 </w:t>
      </w:r>
      <w:r>
        <w:rPr>
          <w:rStyle w:val="37"/>
        </w:rPr>
        <w:t>edge_index</w:t>
      </w:r>
      <w:r>
        <w:t xml:space="preserve"> 所需的源节点和目标节点。</w:t>
      </w:r>
    </w:p>
    <w:p w14:paraId="39AA5614">
      <w:pPr>
        <w:pStyle w:val="3"/>
      </w:pPr>
      <w:r>
        <w:t>虽然预处理程序还统计调用次数及部分错误状态码信息，但当前图模型没有将这些统计量作为显式边权重或边特征输入网络。因此，实际模型通过调用图的连接结构表达服务依赖关系，而不是采用带调用权重的边特征建模。</w:t>
      </w:r>
    </w:p>
    <w:bookmarkEnd w:id="8"/>
    <w:p w14:paraId="51C04538">
      <w:pPr>
        <w:pStyle w:val="5"/>
      </w:pPr>
      <w:bookmarkStart w:id="9" w:name="节点特征融合"/>
      <w:r>
        <w:t>3.3.3 节点特征融合</w:t>
      </w:r>
    </w:p>
    <w:p w14:paraId="4D8538DA">
      <w:pPr>
        <w:pStyle w:val="23"/>
      </w:pPr>
      <w:r>
        <w:t>在图构建完成后，程序将每个服务节点对应的日志语义向量与三项日志统计特征进行拼接，得到最终的节点输入特征：</w:t>
      </w:r>
    </w:p>
    <w:p w14:paraId="0446CBDE">
      <w:pPr>
        <w:pStyle w:val="3"/>
      </w:pPr>
      <m:oMathPara>
        <m:oMathParaPr>
          <m:jc m:val="center"/>
        </m:oMathParaPr>
        <m:oMath>
          <m:sSubSup>
            <m:sSubSupPr/>
            <m:e>
              <m:r>
                <m:rPr>
                  <m:sty m:val="b"/>
                </m:rPr>
                <m:t>x</m:t>
              </m:r>
            </m:e>
            <m:sub>
              <m:r>
                <m:rPr/>
                <m:t>i</m:t>
              </m:r>
            </m:sub>
            <m:sup>
              <m:r>
                <m:rPr/>
                <m:t>w</m:t>
              </m:r>
            </m:sup>
          </m:sSubSup>
          <m:r>
            <m:rPr>
              <m:sty m:val="p"/>
            </m:rPr>
            <m:t>=</m:t>
          </m:r>
          <m:d>
            <m:dPr>
              <m:begChr m:val="["/>
              <m:sepChr m:val=""/>
              <m:endChr m:val="]"/>
            </m:dPr>
            <m:e>
              <m:sSubSup>
                <m:sSubSupPr/>
                <m:e>
                  <m:r>
                    <m:rPr>
                      <m:sty m:val="b"/>
                    </m:rPr>
                    <m:t>e</m:t>
                  </m:r>
                </m:e>
                <m:sub>
                  <m:r>
                    <m:rPr/>
                    <m:t>i</m:t>
                  </m:r>
                </m:sub>
                <m:sup>
                  <m:r>
                    <m:rPr/>
                    <m:t>w</m:t>
                  </m:r>
                </m:sup>
              </m:sSubSup>
              <m:r>
                <m:rPr>
                  <m:sty m:val="p"/>
                </m:rPr>
                <m:t>‖log</m:t>
              </m:r>
              <m:d>
                <m:dPr>
                  <m:sepChr m:val=""/>
                </m:dPr>
                <m:e>
                  <m:r>
                    <m:rPr/>
                    <m:t>1</m:t>
                  </m:r>
                  <m:r>
                    <m:rPr>
                      <m:sty m:val="p"/>
                    </m:rPr>
                    <m:t>+</m:t>
                  </m:r>
                  <m:sSubSup>
                    <m:sSubSupPr/>
                    <m:e>
                      <m:r>
                        <m:rPr/>
                        <m:t>n</m:t>
                      </m:r>
                    </m:e>
                    <m:sub>
                      <m:r>
                        <m:rPr/>
                        <m:t>i</m:t>
                      </m:r>
                    </m:sub>
                    <m:sup>
                      <m:r>
                        <m:rPr/>
                        <m:t>w</m:t>
                      </m:r>
                    </m:sup>
                  </m:sSubSup>
                </m:e>
              </m:d>
              <m:r>
                <m:rPr>
                  <m:sty m:val="p"/>
                </m:rPr>
                <m:t>‖</m:t>
              </m:r>
              <m:sSubSup>
                <m:sSubSupPr/>
                <m:e>
                  <m:r>
                    <m:rPr/>
                    <m:t>r</m:t>
                  </m:r>
                </m:e>
                <m:sub>
                  <m:r>
                    <m:rPr/>
                    <m:t>i</m:t>
                  </m:r>
                  <m:r>
                    <m:rPr>
                      <m:sty m:val="p"/>
                    </m:rPr>
                    <m:t>,err</m:t>
                  </m:r>
                </m:sub>
                <m:sup>
                  <m:r>
                    <m:rPr/>
                    <m:t>w</m:t>
                  </m:r>
                </m:sup>
              </m:sSubSup>
              <m:r>
                <m:rPr>
                  <m:sty m:val="p"/>
                </m:rPr>
                <m:t>‖</m:t>
              </m:r>
              <m:sSubSup>
                <m:sSubSupPr/>
                <m:e>
                  <m:r>
                    <m:rPr/>
                    <m:t>r</m:t>
                  </m:r>
                </m:e>
                <m:sub>
                  <m:r>
                    <m:rPr/>
                    <m:t>i</m:t>
                  </m:r>
                  <m:r>
                    <m:rPr>
                      <m:sty m:val="p"/>
                    </m:rPr>
                    <m:t>,warn</m:t>
                  </m:r>
                </m:sub>
                <m:sup>
                  <m:r>
                    <m:rPr/>
                    <m:t>w</m:t>
                  </m:r>
                </m:sup>
              </m:sSubSup>
            </m:e>
          </m:d>
        </m:oMath>
      </m:oMathPara>
    </w:p>
    <w:p w14:paraId="7BC24E41">
      <w:pPr>
        <w:pStyle w:val="23"/>
      </w:pPr>
      <w:r>
        <w:t>其中，</w:t>
      </w:r>
      <m:oMath>
        <m:r>
          <m:rPr>
            <m:sty m:val="p"/>
          </m:rPr>
          <m:t>‖</m:t>
        </m:r>
      </m:oMath>
      <w:r>
        <w:t xml:space="preserve"> 表示向量拼接操作，</w:t>
      </w:r>
      <m:oMath>
        <m:r>
          <m:rPr>
            <m:sty m:val="p"/>
          </m:rPr>
          <m:t>log</m:t>
        </m:r>
        <m:d>
          <m:dPr>
            <m:sepChr m:val=""/>
          </m:dPr>
          <m:e>
            <m:r>
              <m:rPr/>
              <m:t>1</m:t>
            </m:r>
            <m:r>
              <m:rPr>
                <m:sty m:val="p"/>
              </m:rPr>
              <m:t>+</m:t>
            </m:r>
            <m:sSubSup>
              <m:sSubSupPr/>
              <m:e>
                <m:r>
                  <m:rPr/>
                  <m:t>n</m:t>
                </m:r>
              </m:e>
              <m:sub>
                <m:r>
                  <m:rPr/>
                  <m:t>i</m:t>
                </m:r>
              </m:sub>
              <m:sup>
                <m:r>
                  <m:rPr/>
                  <m:t>w</m:t>
                </m:r>
              </m:sup>
            </m:sSubSup>
          </m:e>
        </m:d>
      </m:oMath>
      <w:r>
        <w:t xml:space="preserve"> 用于减小日志数量较大时的数值尺度，错误日志比例与警告日志比例则补充服务在当前时间窗口内的日志统计信息。</w:t>
      </w:r>
    </w:p>
    <w:p w14:paraId="71F20EDF">
      <w:pPr>
        <w:pStyle w:val="3"/>
      </w:pPr>
      <w:r>
        <w:t xml:space="preserve">将窗口内所有节点的特征按节点顺序排列，得到节点特征矩阵 </w:t>
      </w:r>
      <m:oMath>
        <m:sSub>
          <m:sSubPr/>
          <m:e>
            <m:r>
              <m:rPr/>
              <m:t>X</m:t>
            </m:r>
          </m:e>
          <m:sub>
            <m:r>
              <m:rPr/>
              <m:t>w</m:t>
            </m:r>
          </m:sub>
        </m:sSub>
      </m:oMath>
      <w:r>
        <w:t>。随后，节点特征矩阵与调用边索引共同作为图神经网络的输入。由此，模型可以在学习服务自身日志特征的同时利用服务调用关系。</w:t>
      </w:r>
    </w:p>
    <w:bookmarkEnd w:id="6"/>
    <w:bookmarkEnd w:id="9"/>
    <w:p w14:paraId="3B088301">
      <w:pPr>
        <w:pStyle w:val="4"/>
      </w:pPr>
      <w:bookmarkStart w:id="10" w:name="基于图神经网络的联合建模方法"/>
      <w:r>
        <w:t>3.4 基于图神经网络的联合建模方法</w:t>
      </w:r>
    </w:p>
    <w:p w14:paraId="4B5DC4E0">
      <w:pPr>
        <w:pStyle w:val="5"/>
      </w:pPr>
      <w:bookmarkStart w:id="11" w:name="图神经网络编码器"/>
      <w:r>
        <w:t>3.4.1 图神经网络编码器</w:t>
      </w:r>
    </w:p>
    <w:p w14:paraId="2F14F5A8">
      <w:pPr>
        <w:pStyle w:val="23"/>
      </w:pPr>
      <w:r>
        <w:t>为比较不同图信息聚合机制在异常检测与根因定位任务中的表现，本文采用 GCN、GAT 和 GATv2 作为三种备选图编码器。GCN 通过图结构中的邻域信息传播更新节点表示 [8]；GAT 利用注意力机制对邻居信息进行加权聚合 [9]；GATv2 则采用改进的图注意力计算机制 [10]。</w:t>
      </w:r>
    </w:p>
    <w:p w14:paraId="6A7C153C">
      <w:pPr>
        <w:pStyle w:val="3"/>
      </w:pPr>
      <w:r>
        <w:t>首先，将输入节点特征映射到统一隐藏维度：</w:t>
      </w:r>
    </w:p>
    <w:p w14:paraId="42CFE105">
      <w:pPr>
        <w:pStyle w:val="3"/>
      </w:pPr>
      <m:oMathPara>
        <m:oMathParaPr>
          <m:jc m:val="center"/>
        </m:oMathParaPr>
        <m:oMath>
          <m:sSubSup>
            <m:sSubSupPr/>
            <m:e>
              <m:r>
                <m:rPr/>
                <m:t>H</m:t>
              </m:r>
            </m:e>
            <m:sub>
              <m:r>
                <m:rPr/>
                <m:t>w</m:t>
              </m:r>
            </m:sub>
            <m:sup>
              <m:d>
                <m:dPr>
                  <m:sepChr m:val=""/>
                </m:dPr>
                <m:e>
                  <m:r>
                    <m:rPr/>
                    <m:t>0</m:t>
                  </m:r>
                </m:e>
              </m:d>
            </m:sup>
          </m:sSubSup>
          <m:r>
            <m:rPr>
              <m:sty m:val="p"/>
            </m:rPr>
            <m:t>=ReLU</m:t>
          </m:r>
          <m:d>
            <m:dPr>
              <m:sepChr m:val=""/>
            </m:dPr>
            <m:e>
              <m:sSub>
                <m:sSubPr/>
                <m:e>
                  <m:r>
                    <m:rPr/>
                    <m:t>X</m:t>
                  </m:r>
                </m:e>
                <m:sub>
                  <m:r>
                    <m:rPr/>
                    <m:t>w</m:t>
                  </m:r>
                </m:sub>
              </m:sSub>
              <m:sSub>
                <m:sSubPr/>
                <m:e>
                  <m:r>
                    <m:rPr/>
                    <m:t>W</m:t>
                  </m:r>
                </m:e>
                <m:sub>
                  <m:r>
                    <m:rPr/>
                    <m:t>p</m:t>
                  </m:r>
                </m:sub>
              </m:sSub>
              <m:r>
                <m:rPr>
                  <m:sty m:val="p"/>
                </m:rPr>
                <m:t>+</m:t>
              </m:r>
              <m:sSub>
                <m:sSubPr/>
                <m:e>
                  <m:r>
                    <m:rPr/>
                    <m:t>b</m:t>
                  </m:r>
                </m:e>
                <m:sub>
                  <m:r>
                    <m:rPr/>
                    <m:t>p</m:t>
                  </m:r>
                </m:sub>
              </m:sSub>
            </m:e>
          </m:d>
        </m:oMath>
      </m:oMathPara>
    </w:p>
    <w:p w14:paraId="6E0D6F51">
      <w:pPr>
        <w:pStyle w:val="23"/>
      </w:pPr>
      <w:r>
        <w:t>其中，</w:t>
      </w:r>
      <m:oMath>
        <m:sSub>
          <m:sSubPr/>
          <m:e>
            <m:r>
              <m:rPr/>
              <m:t>W</m:t>
            </m:r>
          </m:e>
          <m:sub>
            <m:r>
              <m:rPr/>
              <m:t>p</m:t>
            </m:r>
          </m:sub>
        </m:sSub>
      </m:oMath>
      <w:r>
        <w:t xml:space="preserve"> 与 </w:t>
      </w:r>
      <m:oMath>
        <m:sSub>
          <m:sSubPr/>
          <m:e>
            <m:r>
              <m:rPr/>
              <m:t>b</m:t>
            </m:r>
          </m:e>
          <m:sub>
            <m:r>
              <m:rPr/>
              <m:t>p</m:t>
            </m:r>
          </m:sub>
        </m:sSub>
      </m:oMath>
      <w:r>
        <w:t xml:space="preserve"> 分别为线性投影层的权重和偏置。根据最终提供的配置文件，隐藏维度为 256，图神经网络层数为 2，注意力头数为 4，Dropout 比例为 0.2。</w:t>
      </w:r>
    </w:p>
    <w:p w14:paraId="17AAFE10">
      <w:pPr>
        <w:pStyle w:val="3"/>
      </w:pPr>
      <w:r>
        <w:t xml:space="preserve">在第 </w:t>
      </w:r>
      <m:oMath>
        <m:r>
          <m:rPr/>
          <m:t>l</m:t>
        </m:r>
      </m:oMath>
      <w:r>
        <w:t xml:space="preserve"> 层中，图卷积或图注意力操作根据节点特征及调用边更新节点表示：</w:t>
      </w:r>
    </w:p>
    <w:p w14:paraId="50823F20">
      <w:pPr>
        <w:pStyle w:val="3"/>
      </w:pPr>
      <m:oMathPara>
        <m:oMathParaPr>
          <m:jc m:val="center"/>
        </m:oMathParaPr>
        <m:oMath>
          <m:sSubSup>
            <m:sSubSupPr/>
            <m:e>
              <m:acc>
                <m:accPr>
                  <m:chr m:val="̃"/>
                </m:accPr>
                <m:e>
                  <m:r>
                    <m:rPr/>
                    <m:t>H</m:t>
                  </m:r>
                </m:e>
              </m:acc>
            </m:e>
            <m:sub>
              <m:r>
                <m:rPr/>
                <m:t>w</m:t>
              </m:r>
            </m:sub>
            <m:sup>
              <m:d>
                <m:dPr>
                  <m:sepChr m:val=""/>
                </m:dPr>
                <m:e>
                  <m:r>
                    <m:rPr/>
                    <m:t>l</m:t>
                  </m:r>
                </m:e>
              </m:d>
            </m:sup>
          </m:sSubSup>
          <m:r>
            <m:rPr>
              <m:sty m:val="p"/>
            </m:rPr>
            <m:t>=</m:t>
          </m:r>
          <m:sSup>
            <m:sSupPr/>
            <m:e>
              <m:r>
                <m:rPr>
                  <m:sty m:val="p"/>
                </m:rPr>
                <m:t>GraphConv</m:t>
              </m:r>
            </m:e>
            <m:sup>
              <m:d>
                <m:dPr>
                  <m:sepChr m:val=""/>
                </m:dPr>
                <m:e>
                  <m:r>
                    <m:rPr/>
                    <m:t>l</m:t>
                  </m:r>
                </m:e>
              </m:d>
            </m:sup>
          </m:sSup>
          <m:d>
            <m:dPr>
              <m:sepChr m:val=""/>
            </m:dPr>
            <m:e>
              <m:sSubSup>
                <m:sSubSupPr/>
                <m:e>
                  <m:r>
                    <m:rPr/>
                    <m:t>H</m:t>
                  </m:r>
                </m:e>
                <m:sub>
                  <m:r>
                    <m:rPr/>
                    <m:t>w</m:t>
                  </m:r>
                </m:sub>
                <m:sup>
                  <m:d>
                    <m:dPr>
                      <m:sepChr m:val=""/>
                    </m:dPr>
                    <m:e>
                      <m:r>
                        <m:rPr/>
                        <m:t>l</m:t>
                      </m:r>
                      <m:r>
                        <m:rPr>
                          <m:sty m:val="p"/>
                        </m:rPr>
                        <m:t>−</m:t>
                      </m:r>
                      <m:r>
                        <m:rPr/>
                        <m:t>1</m:t>
                      </m:r>
                    </m:e>
                  </m:d>
                </m:sup>
              </m:sSubSup>
              <m:r>
                <m:rPr>
                  <m:sty m:val="p"/>
                </m:rPr>
                <m:t>,</m:t>
              </m:r>
              <m:sSub>
                <m:sSubPr/>
                <m:e>
                  <m:r>
                    <m:rPr/>
                    <m:t>E</m:t>
                  </m:r>
                </m:e>
                <m:sub>
                  <m:r>
                    <m:rPr/>
                    <m:t>w</m:t>
                  </m:r>
                </m:sub>
              </m:sSub>
            </m:e>
          </m:d>
        </m:oMath>
      </m:oMathPara>
    </w:p>
    <w:p w14:paraId="0C280703">
      <w:pPr>
        <w:pStyle w:val="23"/>
      </w:pPr>
      <w:r>
        <w:t>随后，程序依次执行 ReLU、LayerNorm 和 Dropout：</w:t>
      </w:r>
    </w:p>
    <w:p w14:paraId="1FC30461">
      <w:pPr>
        <w:pStyle w:val="3"/>
      </w:pPr>
      <m:oMathPara>
        <m:oMathParaPr>
          <m:jc m:val="center"/>
        </m:oMathParaPr>
        <m:oMath>
          <m:sSubSup>
            <m:sSubSupPr/>
            <m:e>
              <m:r>
                <m:rPr/>
                <m:t>H</m:t>
              </m:r>
            </m:e>
            <m:sub>
              <m:r>
                <m:rPr/>
                <m:t>w</m:t>
              </m:r>
            </m:sub>
            <m:sup>
              <m:d>
                <m:dPr>
                  <m:sepChr m:val=""/>
                </m:dPr>
                <m:e>
                  <m:r>
                    <m:rPr/>
                    <m:t>l</m:t>
                  </m:r>
                </m:e>
              </m:d>
            </m:sup>
          </m:sSubSup>
          <m:r>
            <m:rPr>
              <m:sty m:val="p"/>
            </m:rPr>
            <m:t>=Dropout</m:t>
          </m:r>
          <m:d>
            <m:dPr>
              <m:sepChr m:val=""/>
            </m:dPr>
            <m:e>
              <m:r>
                <m:rPr>
                  <m:sty m:val="p"/>
                </m:rPr>
                <m:t>LayerNorm</m:t>
              </m:r>
              <m:d>
                <m:dPr>
                  <m:sepChr m:val=""/>
                </m:dPr>
                <m:e>
                  <m:r>
                    <m:rPr>
                      <m:sty m:val="p"/>
                    </m:rPr>
                    <m:t>ReLU</m:t>
                  </m:r>
                  <m:d>
                    <m:dPr>
                      <m:sepChr m:val=""/>
                    </m:dPr>
                    <m:e>
                      <m:sSubSup>
                        <m:sSubSupPr/>
                        <m:e>
                          <m:acc>
                            <m:accPr>
                              <m:chr m:val="̃"/>
                            </m:accPr>
                            <m:e>
                              <m:r>
                                <m:rPr/>
                                <m:t>H</m:t>
                              </m:r>
                            </m:e>
                          </m:acc>
                        </m:e>
                        <m:sub>
                          <m:r>
                            <m:rPr/>
                            <m:t>w</m:t>
                          </m:r>
                        </m:sub>
                        <m:sup>
                          <m:d>
                            <m:dPr>
                              <m:sepChr m:val=""/>
                            </m:dPr>
                            <m:e>
                              <m:r>
                                <m:rPr/>
                                <m:t>l</m:t>
                              </m:r>
                            </m:e>
                          </m:d>
                        </m:sup>
                      </m:sSubSup>
                    </m:e>
                  </m:d>
                </m:e>
              </m:d>
            </m:e>
          </m:d>
        </m:oMath>
      </m:oMathPara>
    </w:p>
    <w:p w14:paraId="20B88B6A">
      <w:pPr>
        <w:pStyle w:val="23"/>
      </w:pPr>
      <w:r>
        <w:t>其中，</w:t>
      </w:r>
      <m:oMath>
        <m:sSup>
          <m:sSupPr/>
          <m:e>
            <m:r>
              <m:rPr>
                <m:sty m:val="p"/>
              </m:rPr>
              <m:t>GraphConv</m:t>
            </m:r>
          </m:e>
          <m:sup>
            <m:d>
              <m:dPr>
                <m:sepChr m:val=""/>
              </m:dPr>
              <m:e>
                <m:r>
                  <m:rPr/>
                  <m:t>l</m:t>
                </m:r>
              </m:e>
            </m:d>
          </m:sup>
        </m:sSup>
      </m:oMath>
      <w:r>
        <w:t xml:space="preserve"> 根据模型类型对应 GCNConv、GATConv 或 GATv2Conv。对于 GAT 和 GATv2，代码使用 4 个注意力头，并设置 </w:t>
      </w:r>
      <w:r>
        <w:rPr>
          <w:rStyle w:val="37"/>
        </w:rPr>
        <w:t>concat=False</w:t>
      </w:r>
      <w:r>
        <w:t>，因此多头输出不会沿特征维度直接拼接。</w:t>
      </w:r>
    </w:p>
    <w:p w14:paraId="17821E05">
      <w:pPr>
        <w:pStyle w:val="3"/>
      </w:pPr>
      <w:r>
        <w:t>经过两层图信息传播后，节点表示包含服务自身的输入特征及其邻域信息，并被送入后续的图级异常检测头和节点级根因定位头。</w:t>
      </w:r>
    </w:p>
    <w:bookmarkEnd w:id="11"/>
    <w:p w14:paraId="0AE7671F">
      <w:pPr>
        <w:pStyle w:val="5"/>
      </w:pPr>
      <w:bookmarkStart w:id="12" w:name="图级异常检测分支"/>
      <w:r>
        <w:t>3.4.2 图级异常检测分支</w:t>
      </w:r>
    </w:p>
    <w:p w14:paraId="6EB3F9E0">
      <w:pPr>
        <w:pStyle w:val="23"/>
      </w:pPr>
      <w:r>
        <w:t>异常检测任务用于判断当前微服务图快照是否处于异常状态。经过图神经网络编码后，程序使用全局平均池化对同一图中的节点表示进行聚合：</w:t>
      </w:r>
    </w:p>
    <w:p w14:paraId="4CEDB666">
      <w:pPr>
        <w:pStyle w:val="3"/>
      </w:pPr>
      <m:oMathPara>
        <m:oMathParaPr>
          <m:jc m:val="center"/>
        </m:oMathParaPr>
        <m:oMath>
          <m:sSubSup>
            <m:sSubSupPr/>
            <m:e>
              <m:r>
                <m:rPr>
                  <m:sty m:val="b"/>
                </m:rPr>
                <m:t>h</m:t>
              </m:r>
            </m:e>
            <m:sub>
              <m:r>
                <m:rPr/>
                <m:t>w</m:t>
              </m:r>
            </m:sub>
            <m:sup>
              <m:r>
                <m:rPr/>
                <m:t>G</m:t>
              </m:r>
            </m:sup>
          </m:sSubSup>
          <m:r>
            <m:rPr>
              <m:sty m:val="p"/>
            </m:rPr>
            <m:t>=</m:t>
          </m:r>
          <m:f>
            <m:fPr/>
            <m:num>
              <m:r>
                <m:rPr/>
                <m:t>1</m:t>
              </m:r>
            </m:num>
            <m:den>
              <m:d>
                <m:dPr>
                  <m:begChr m:val="|"/>
                  <m:sepChr m:val=""/>
                  <m:endChr m:val="|"/>
                </m:dPr>
                <m:e>
                  <m:sSub>
                    <m:sSubPr/>
                    <m:e>
                      <m:r>
                        <m:rPr/>
                        <m:t>V</m:t>
                      </m:r>
                    </m:e>
                    <m:sub>
                      <m:r>
                        <m:rPr/>
                        <m:t>w</m:t>
                      </m:r>
                    </m:sub>
                  </m:sSub>
                </m:e>
              </m:d>
            </m:den>
          </m:f>
          <m:nary>
            <m:naryPr>
              <m:chr m:val="∑"/>
              <m:limLoc m:val="undOvr"/>
              <m:supHide m:val="1"/>
            </m:naryPr>
            <m:sub>
              <m:sSub>
                <m:sSubPr/>
                <m:e>
                  <m:r>
                    <m:rPr/>
                    <m:t>v</m:t>
                  </m:r>
                </m:e>
                <m:sub>
                  <m:r>
                    <m:rPr/>
                    <m:t>i</m:t>
                  </m:r>
                </m:sub>
              </m:sSub>
              <m:r>
                <m:rPr>
                  <m:sty m:val="p"/>
                </m:rPr>
                <m:t>∈</m:t>
              </m:r>
              <m:sSub>
                <m:sSubPr/>
                <m:e>
                  <m:r>
                    <m:rPr/>
                    <m:t>V</m:t>
                  </m:r>
                </m:e>
                <m:sub>
                  <m:r>
                    <m:rPr/>
                    <m:t>w</m:t>
                  </m:r>
                </m:sub>
              </m:sSub>
            </m:sub>
            <m:sup>
              <m:r>
                <m:rPr/>
                <m:t>​</m:t>
              </m:r>
            </m:sup>
            <m:e>
              <m:sSubSup>
                <m:sSubSupPr/>
                <m:e>
                  <m:r>
                    <m:rPr>
                      <m:sty m:val="b"/>
                    </m:rPr>
                    <m:t>h</m:t>
                  </m:r>
                </m:e>
                <m:sub>
                  <m:r>
                    <m:rPr/>
                    <m:t>i</m:t>
                  </m:r>
                </m:sub>
                <m:sup>
                  <m:r>
                    <m:rPr/>
                    <m:t>w</m:t>
                  </m:r>
                </m:sup>
              </m:sSubSup>
            </m:e>
          </m:nary>
        </m:oMath>
      </m:oMathPara>
    </w:p>
    <w:p w14:paraId="23C0A782">
      <w:pPr>
        <w:pStyle w:val="23"/>
      </w:pPr>
      <w:r>
        <w:t>其中，</w:t>
      </w:r>
      <m:oMath>
        <m:sSubSup>
          <m:sSubSupPr/>
          <m:e>
            <m:r>
              <m:rPr>
                <m:sty m:val="b"/>
              </m:rPr>
              <m:t>h</m:t>
            </m:r>
          </m:e>
          <m:sub>
            <m:r>
              <m:rPr/>
              <m:t>i</m:t>
            </m:r>
          </m:sub>
          <m:sup>
            <m:r>
              <m:rPr/>
              <m:t>w</m:t>
            </m:r>
          </m:sup>
        </m:sSubSup>
      </m:oMath>
      <w:r>
        <w:t xml:space="preserve"> 为服务节点 </w:t>
      </w:r>
      <m:oMath>
        <m:sSub>
          <m:sSubPr/>
          <m:e>
            <m:r>
              <m:rPr/>
              <m:t>v</m:t>
            </m:r>
          </m:e>
          <m:sub>
            <m:r>
              <m:rPr/>
              <m:t>i</m:t>
            </m:r>
          </m:sub>
        </m:sSub>
      </m:oMath>
      <w:r>
        <w:t xml:space="preserve"> 的最终隐藏表示，</w:t>
      </w:r>
      <m:oMath>
        <m:sSubSup>
          <m:sSubSupPr/>
          <m:e>
            <m:r>
              <m:rPr>
                <m:sty m:val="b"/>
              </m:rPr>
              <m:t>h</m:t>
            </m:r>
          </m:e>
          <m:sub>
            <m:r>
              <m:rPr/>
              <m:t>w</m:t>
            </m:r>
          </m:sub>
          <m:sup>
            <m:r>
              <m:rPr/>
              <m:t>G</m:t>
            </m:r>
          </m:sup>
        </m:sSubSup>
      </m:oMath>
      <w:r>
        <w:t xml:space="preserve"> 为图级表示。该过程对应代码中的 </w:t>
      </w:r>
      <w:r>
        <w:rPr>
          <w:rStyle w:val="37"/>
        </w:rPr>
        <w:t>global_mean_pool</w:t>
      </w:r>
      <w:r>
        <w:t>。</w:t>
      </w:r>
    </w:p>
    <w:p w14:paraId="2EA0F17E">
      <w:pPr>
        <w:pStyle w:val="3"/>
      </w:pPr>
      <w:r>
        <w:t>随后，使用线性输出头计算异常检测 logit：</w:t>
      </w:r>
    </w:p>
    <w:p w14:paraId="4C4DD64D">
      <w:pPr>
        <w:pStyle w:val="3"/>
      </w:pPr>
      <m:oMathPara>
        <m:oMathParaPr>
          <m:jc m:val="center"/>
        </m:oMathParaPr>
        <m:oMath>
          <m:sSubSup>
            <m:sSubSupPr/>
            <m:e>
              <m:r>
                <m:rPr/>
                <m:t>z</m:t>
              </m:r>
            </m:e>
            <m:sub>
              <m:r>
                <m:rPr/>
                <m:t>w</m:t>
              </m:r>
            </m:sub>
            <m:sup>
              <m:r>
                <m:rPr/>
                <m:t>A</m:t>
              </m:r>
            </m:sup>
          </m:sSubSup>
          <m:r>
            <m:rPr>
              <m:sty m:val="p"/>
            </m:rPr>
            <m:t>=</m:t>
          </m:r>
          <m:sSub>
            <m:sSubPr/>
            <m:e>
              <m:r>
                <m:rPr/>
                <m:t>W</m:t>
              </m:r>
            </m:e>
            <m:sub>
              <m:r>
                <m:rPr/>
                <m:t>A</m:t>
              </m:r>
            </m:sub>
          </m:sSub>
          <m:sSubSup>
            <m:sSubSupPr/>
            <m:e>
              <m:r>
                <m:rPr>
                  <m:sty m:val="b"/>
                </m:rPr>
                <m:t>h</m:t>
              </m:r>
            </m:e>
            <m:sub>
              <m:r>
                <m:rPr/>
                <m:t>w</m:t>
              </m:r>
            </m:sub>
            <m:sup>
              <m:r>
                <m:rPr/>
                <m:t>G</m:t>
              </m:r>
            </m:sup>
          </m:sSubSup>
          <m:r>
            <m:rPr>
              <m:sty m:val="p"/>
            </m:rPr>
            <m:t>+</m:t>
          </m:r>
          <m:sSub>
            <m:sSubPr/>
            <m:e>
              <m:r>
                <m:rPr/>
                <m:t>b</m:t>
              </m:r>
            </m:e>
            <m:sub>
              <m:r>
                <m:rPr/>
                <m:t>A</m:t>
              </m:r>
            </m:sub>
          </m:sSub>
        </m:oMath>
      </m:oMathPara>
    </w:p>
    <w:p w14:paraId="7AAB3D9B">
      <w:pPr>
        <w:pStyle w:val="23"/>
      </w:pPr>
      <w:r>
        <w:t>通过 Sigmoid 函数得到异常预测分数：</w:t>
      </w:r>
    </w:p>
    <w:p w14:paraId="01EAED75">
      <w:pPr>
        <w:pStyle w:val="3"/>
      </w:pPr>
      <m:oMathPara>
        <m:oMathParaPr>
          <m:jc m:val="center"/>
        </m:oMathParaPr>
        <m:oMath>
          <m:sSubSup>
            <m:sSubSupPr/>
            <m:e>
              <m:r>
                <m:rPr/>
                <m:t>p</m:t>
              </m:r>
            </m:e>
            <m:sub>
              <m:r>
                <m:rPr/>
                <m:t>w</m:t>
              </m:r>
            </m:sub>
            <m:sup>
              <m:r>
                <m:rPr/>
                <m:t>A</m:t>
              </m:r>
            </m:sup>
          </m:sSubSup>
          <m:r>
            <m:rPr>
              <m:sty m:val="p"/>
            </m:rPr>
            <m:t>=</m:t>
          </m:r>
          <m:r>
            <m:rPr/>
            <m:t>σ</m:t>
          </m:r>
          <m:d>
            <m:dPr>
              <m:sepChr m:val=""/>
            </m:dPr>
            <m:e>
              <m:sSubSup>
                <m:sSubSupPr/>
                <m:e>
                  <m:r>
                    <m:rPr/>
                    <m:t>z</m:t>
                  </m:r>
                </m:e>
                <m:sub>
                  <m:r>
                    <m:rPr/>
                    <m:t>w</m:t>
                  </m:r>
                </m:sub>
                <m:sup>
                  <m:r>
                    <m:rPr/>
                    <m:t>A</m:t>
                  </m:r>
                </m:sup>
              </m:sSubSup>
            </m:e>
          </m:d>
          <m:r>
            <m:rPr>
              <m:sty m:val="p"/>
            </m:rPr>
            <m:t>=</m:t>
          </m:r>
          <m:f>
            <m:fPr/>
            <m:num>
              <m:r>
                <m:rPr/>
                <m:t>1</m:t>
              </m:r>
            </m:num>
            <m:den>
              <m:r>
                <m:rPr/>
                <m:t>1</m:t>
              </m:r>
              <m:r>
                <m:rPr>
                  <m:sty m:val="p"/>
                </m:rPr>
                <m:t>+exp</m:t>
              </m:r>
              <m:d>
                <m:dPr>
                  <m:sepChr m:val=""/>
                </m:dPr>
                <m:e>
                  <m:r>
                    <m:rPr>
                      <m:sty m:val="p"/>
                    </m:rPr>
                    <m:t>−</m:t>
                  </m:r>
                  <m:sSubSup>
                    <m:sSubSupPr/>
                    <m:e>
                      <m:r>
                        <m:rPr/>
                        <m:t>z</m:t>
                      </m:r>
                    </m:e>
                    <m:sub>
                      <m:r>
                        <m:rPr/>
                        <m:t>w</m:t>
                      </m:r>
                    </m:sub>
                    <m:sup>
                      <m:r>
                        <m:rPr/>
                        <m:t>A</m:t>
                      </m:r>
                    </m:sup>
                  </m:sSubSup>
                </m:e>
              </m:d>
            </m:den>
          </m:f>
        </m:oMath>
      </m:oMathPara>
    </w:p>
    <w:p w14:paraId="0F2DAE91">
      <w:pPr>
        <w:pStyle w:val="23"/>
      </w:pPr>
      <w:r>
        <w:t>其中，</w:t>
      </w:r>
      <m:oMath>
        <m:sSubSup>
          <m:sSubSupPr/>
          <m:e>
            <m:r>
              <m:rPr/>
              <m:t>p</m:t>
            </m:r>
          </m:e>
          <m:sub>
            <m:r>
              <m:rPr/>
              <m:t>w</m:t>
            </m:r>
          </m:sub>
          <m:sup>
            <m:r>
              <m:rPr/>
              <m:t>A</m:t>
            </m:r>
          </m:sup>
        </m:sSubSup>
      </m:oMath>
      <w:r>
        <w:t xml:space="preserve"> 表示模型预测当前窗口为异常窗口的分数。评估程序依据所配置的分类阈值，将该分数转换为二分类预测结果，并计算相应的异常检测指标。</w:t>
      </w:r>
    </w:p>
    <w:bookmarkEnd w:id="12"/>
    <w:p w14:paraId="08F241CD">
      <w:pPr>
        <w:pStyle w:val="5"/>
      </w:pPr>
      <w:bookmarkStart w:id="13" w:name="节点级根因定位分支"/>
      <w:r>
        <w:t>3.4.3 节点级根因定位分支</w:t>
      </w:r>
    </w:p>
    <w:p w14:paraId="4683AA8C">
      <w:pPr>
        <w:pStyle w:val="23"/>
      </w:pPr>
      <w:r>
        <w:t>根因定位任务旨在对候选服务进行排序，使真实根因服务尽可能靠前。与图级异常检测不同，该任务需要为每个服务节点生成独立的根因定位分数。</w:t>
      </w:r>
    </w:p>
    <w:p w14:paraId="08B567E9">
      <w:pPr>
        <w:pStyle w:val="3"/>
      </w:pPr>
      <w:r>
        <w:t xml:space="preserve">对于服务节点 </w:t>
      </w:r>
      <m:oMath>
        <m:sSub>
          <m:sSubPr/>
          <m:e>
            <m:r>
              <m:rPr/>
              <m:t>v</m:t>
            </m:r>
          </m:e>
          <m:sub>
            <m:r>
              <m:rPr/>
              <m:t>i</m:t>
            </m:r>
          </m:sub>
        </m:sSub>
      </m:oMath>
      <w:r>
        <w:t>，节点级输出头计算：</w:t>
      </w:r>
    </w:p>
    <w:p w14:paraId="1F69C31A">
      <w:pPr>
        <w:pStyle w:val="3"/>
      </w:pPr>
      <m:oMathPara>
        <m:oMathParaPr>
          <m:jc m:val="center"/>
        </m:oMathParaPr>
        <m:oMath>
          <m:sSubSup>
            <m:sSubSupPr/>
            <m:e>
              <m:r>
                <m:rPr/>
                <m:t>z</m:t>
              </m:r>
            </m:e>
            <m:sub>
              <m:r>
                <m:rPr/>
                <m:t>i</m:t>
              </m:r>
              <m:r>
                <m:rPr>
                  <m:sty m:val="p"/>
                </m:rPr>
                <m:t>,</m:t>
              </m:r>
              <m:r>
                <m:rPr/>
                <m:t>w</m:t>
              </m:r>
            </m:sub>
            <m:sup>
              <m:r>
                <m:rPr/>
                <m:t>R</m:t>
              </m:r>
            </m:sup>
          </m:sSubSup>
          <m:r>
            <m:rPr>
              <m:sty m:val="p"/>
            </m:rPr>
            <m:t>=</m:t>
          </m:r>
          <m:sSub>
            <m:sSubPr/>
            <m:e>
              <m:r>
                <m:rPr/>
                <m:t>W</m:t>
              </m:r>
            </m:e>
            <m:sub>
              <m:r>
                <m:rPr/>
                <m:t>R</m:t>
              </m:r>
            </m:sub>
          </m:sSub>
          <m:sSubSup>
            <m:sSubSupPr/>
            <m:e>
              <m:r>
                <m:rPr>
                  <m:sty m:val="b"/>
                </m:rPr>
                <m:t>h</m:t>
              </m:r>
            </m:e>
            <m:sub>
              <m:r>
                <m:rPr/>
                <m:t>i</m:t>
              </m:r>
            </m:sub>
            <m:sup>
              <m:r>
                <m:rPr/>
                <m:t>w</m:t>
              </m:r>
            </m:sup>
          </m:sSubSup>
          <m:r>
            <m:rPr>
              <m:sty m:val="p"/>
            </m:rPr>
            <m:t>+</m:t>
          </m:r>
          <m:sSub>
            <m:sSubPr/>
            <m:e>
              <m:r>
                <m:rPr/>
                <m:t>b</m:t>
              </m:r>
            </m:e>
            <m:sub>
              <m:r>
                <m:rPr/>
                <m:t>R</m:t>
              </m:r>
            </m:sub>
          </m:sSub>
        </m:oMath>
      </m:oMathPara>
    </w:p>
    <w:p w14:paraId="2B7D6764">
      <w:pPr>
        <w:pStyle w:val="23"/>
      </w:pPr>
      <w:r>
        <w:t>并通过 Sigmoid 函数获得节点分数：</w:t>
      </w:r>
    </w:p>
    <w:p w14:paraId="23DDE07C">
      <w:pPr>
        <w:pStyle w:val="3"/>
      </w:pPr>
      <m:oMathPara>
        <m:oMathParaPr>
          <m:jc m:val="center"/>
        </m:oMathParaPr>
        <m:oMath>
          <m:sSubSup>
            <m:sSubSupPr/>
            <m:e>
              <m:r>
                <m:rPr/>
                <m:t>p</m:t>
              </m:r>
            </m:e>
            <m:sub>
              <m:r>
                <m:rPr/>
                <m:t>i</m:t>
              </m:r>
              <m:r>
                <m:rPr>
                  <m:sty m:val="p"/>
                </m:rPr>
                <m:t>,</m:t>
              </m:r>
              <m:r>
                <m:rPr/>
                <m:t>w</m:t>
              </m:r>
            </m:sub>
            <m:sup>
              <m:r>
                <m:rPr/>
                <m:t>R</m:t>
              </m:r>
            </m:sup>
          </m:sSubSup>
          <m:r>
            <m:rPr>
              <m:sty m:val="p"/>
            </m:rPr>
            <m:t>=</m:t>
          </m:r>
          <m:r>
            <m:rPr/>
            <m:t>σ</m:t>
          </m:r>
          <m:d>
            <m:dPr>
              <m:sepChr m:val=""/>
            </m:dPr>
            <m:e>
              <m:sSubSup>
                <m:sSubSupPr/>
                <m:e>
                  <m:r>
                    <m:rPr/>
                    <m:t>z</m:t>
                  </m:r>
                </m:e>
                <m:sub>
                  <m:r>
                    <m:rPr/>
                    <m:t>i</m:t>
                  </m:r>
                  <m:r>
                    <m:rPr>
                      <m:sty m:val="p"/>
                    </m:rPr>
                    <m:t>,</m:t>
                  </m:r>
                  <m:r>
                    <m:rPr/>
                    <m:t>w</m:t>
                  </m:r>
                </m:sub>
                <m:sup>
                  <m:r>
                    <m:rPr/>
                    <m:t>R</m:t>
                  </m:r>
                </m:sup>
              </m:sSubSup>
            </m:e>
          </m:d>
        </m:oMath>
      </m:oMathPara>
    </w:p>
    <w:p w14:paraId="56C4E23D">
      <w:pPr>
        <w:pStyle w:val="23"/>
      </w:pPr>
      <w:r>
        <w:t>其中，</w:t>
      </w:r>
      <m:oMath>
        <m:sSubSup>
          <m:sSubSupPr/>
          <m:e>
            <m:r>
              <m:rPr/>
              <m:t>p</m:t>
            </m:r>
          </m:e>
          <m:sub>
            <m:r>
              <m:rPr/>
              <m:t>i</m:t>
            </m:r>
            <m:r>
              <m:rPr>
                <m:sty m:val="p"/>
              </m:rPr>
              <m:t>,</m:t>
            </m:r>
            <m:r>
              <m:rPr/>
              <m:t>w</m:t>
            </m:r>
          </m:sub>
          <m:sup>
            <m:r>
              <m:rPr/>
              <m:t>R</m:t>
            </m:r>
          </m:sup>
        </m:sSubSup>
      </m:oMath>
      <w:r>
        <w:t xml:space="preserve"> 表示节点在窗口 </w:t>
      </w:r>
      <m:oMath>
        <m:r>
          <m:rPr/>
          <m:t>w</m:t>
        </m:r>
      </m:oMath>
      <w:r>
        <w:t xml:space="preserve"> 中对应的根因定位分数。该分数主要用于候选服务排序，不应直接解释为模型已确认该服务为真实根因。</w:t>
      </w:r>
    </w:p>
    <w:p w14:paraId="665AECC3">
      <w:pPr>
        <w:pStyle w:val="3"/>
      </w:pPr>
      <w:r>
        <w:t xml:space="preserve">节点监督标签由故障案例元数据中的真实根因服务生成。当节点服务名称与当前案例记录的 </w:t>
      </w:r>
      <w:r>
        <w:rPr>
          <w:rStyle w:val="37"/>
        </w:rPr>
        <w:t>root_cause_service</w:t>
      </w:r>
      <w:r>
        <w:t xml:space="preserve"> 相同时，标签设为 1，否则设为 0。根据当前训练程序，该标签会应用于训练数据中各图快照的全部服务节点，包括正常窗口与异常窗口。</w:t>
      </w:r>
    </w:p>
    <w:p w14:paraId="2FB39C7A">
      <w:pPr>
        <w:pStyle w:val="3"/>
      </w:pPr>
      <w:r>
        <w:t>图级异常检测头与节点级根因定位头共享图神经网络编码器，但使用不同的线性输出层，以分别完成图级二分类和节点级评分。</w:t>
      </w:r>
    </w:p>
    <w:p w14:paraId="6CFACB54">
      <w:pPr>
        <w:pStyle w:val="3"/>
      </w:pPr>
      <w:r>
        <w:t>对于 GATv2，推理程序还可以保存图注意力权重以供后续分析。不过，当前根因排名直接依据节点级根因输出分数计算，并不使用注意力权重替代节点分数。</w:t>
      </w:r>
    </w:p>
    <w:bookmarkEnd w:id="10"/>
    <w:bookmarkEnd w:id="13"/>
    <w:p w14:paraId="21F167B0">
      <w:pPr>
        <w:pStyle w:val="4"/>
      </w:pPr>
      <w:bookmarkStart w:id="14" w:name="多任务联合训练方法"/>
      <w:r>
        <w:t>3.5 多任务联合训练方法</w:t>
      </w:r>
    </w:p>
    <w:p w14:paraId="34A32553">
      <w:pPr>
        <w:pStyle w:val="5"/>
      </w:pPr>
      <w:bookmarkStart w:id="15" w:name="异常检测损失"/>
      <w:r>
        <w:t>3.5.1 异常检测损失</w:t>
      </w:r>
    </w:p>
    <w:p w14:paraId="150AEA50">
      <w:pPr>
        <w:pStyle w:val="23"/>
      </w:pPr>
      <w:r>
        <w:t>异常检测分支使用二元交叉熵损失进行训练。为处理训练图快照中正常样本与异常样本数量可能存在的不均衡，程序为损失函数设置正样本权重。</w:t>
      </w:r>
    </w:p>
    <w:p w14:paraId="57348F0E">
      <w:pPr>
        <w:pStyle w:val="3"/>
      </w:pPr>
      <w:r>
        <w:t xml:space="preserve">设训练数据中的异常图快照数量为 </w:t>
      </w:r>
      <m:oMath>
        <m:sSub>
          <m:sSubPr/>
          <m:e>
            <m:r>
              <m:rPr/>
              <m:t>N</m:t>
            </m:r>
          </m:e>
          <m:sub>
            <m:r>
              <m:rPr>
                <m:sty m:val="p"/>
              </m:rPr>
              <m:t>pos</m:t>
            </m:r>
          </m:sub>
        </m:sSub>
      </m:oMath>
      <w:r>
        <w:t xml:space="preserve">，正常图快照数量为 </w:t>
      </w:r>
      <m:oMath>
        <m:sSub>
          <m:sSubPr/>
          <m:e>
            <m:r>
              <m:rPr/>
              <m:t>N</m:t>
            </m:r>
          </m:e>
          <m:sub>
            <m:r>
              <m:rPr>
                <m:sty m:val="p"/>
              </m:rPr>
              <m:t>neg</m:t>
            </m:r>
          </m:sub>
        </m:sSub>
      </m:oMath>
      <w:r>
        <w:t>，则代码采用的正样本权重为：</w:t>
      </w:r>
    </w:p>
    <w:p w14:paraId="685DF328">
      <w:pPr>
        <w:pStyle w:val="3"/>
      </w:pPr>
      <m:oMathPara>
        <m:oMathParaPr>
          <m:jc m:val="center"/>
        </m:oMathParaPr>
        <m:oMath>
          <m:sSub>
            <m:sSubPr/>
            <m:e>
              <m:r>
                <m:rPr/>
                <m:t>α</m:t>
              </m:r>
            </m:e>
            <m:sub>
              <m:r>
                <m:rPr>
                  <m:sty m:val="p"/>
                </m:rPr>
                <m:t>pos</m:t>
              </m:r>
            </m:sub>
          </m:sSub>
          <m:r>
            <m:rPr>
              <m:sty m:val="p"/>
            </m:rPr>
            <m:t>=</m:t>
          </m:r>
          <m:f>
            <m:fPr/>
            <m:num>
              <m:r>
                <m:rPr>
                  <m:sty m:val="p"/>
                </m:rPr>
                <m:t>max</m:t>
              </m:r>
              <m:d>
                <m:dPr>
                  <m:sepChr m:val=""/>
                </m:dPr>
                <m:e>
                  <m:sSub>
                    <m:sSubPr/>
                    <m:e>
                      <m:r>
                        <m:rPr/>
                        <m:t>N</m:t>
                      </m:r>
                    </m:e>
                    <m:sub>
                      <m:r>
                        <m:rPr>
                          <m:sty m:val="p"/>
                        </m:rPr>
                        <m:t>neg</m:t>
                      </m:r>
                    </m:sub>
                  </m:sSub>
                  <m:r>
                    <m:rPr>
                      <m:sty m:val="p"/>
                    </m:rPr>
                    <m:t>,</m:t>
                  </m:r>
                  <m:r>
                    <m:rPr/>
                    <m:t>1</m:t>
                  </m:r>
                </m:e>
              </m:d>
            </m:num>
            <m:den>
              <m:r>
                <m:rPr>
                  <m:sty m:val="p"/>
                </m:rPr>
                <m:t>max</m:t>
              </m:r>
              <m:d>
                <m:dPr>
                  <m:sepChr m:val=""/>
                </m:dPr>
                <m:e>
                  <m:sSub>
                    <m:sSubPr/>
                    <m:e>
                      <m:r>
                        <m:rPr/>
                        <m:t>N</m:t>
                      </m:r>
                    </m:e>
                    <m:sub>
                      <m:r>
                        <m:rPr>
                          <m:sty m:val="p"/>
                        </m:rPr>
                        <m:t>pos</m:t>
                      </m:r>
                    </m:sub>
                  </m:sSub>
                  <m:r>
                    <m:rPr>
                      <m:sty m:val="p"/>
                    </m:rPr>
                    <m:t>,</m:t>
                  </m:r>
                  <m:r>
                    <m:rPr/>
                    <m:t>1</m:t>
                  </m:r>
                </m:e>
              </m:d>
            </m:den>
          </m:f>
        </m:oMath>
      </m:oMathPara>
    </w:p>
    <w:p w14:paraId="3B059C75">
      <w:pPr>
        <w:pStyle w:val="23"/>
      </w:pPr>
      <w:r>
        <w:t>其中，最小值保护用于避免类别计数为零时出现除零错误。</w:t>
      </w:r>
    </w:p>
    <w:p w14:paraId="56CA98A5">
      <w:pPr>
        <w:pStyle w:val="3"/>
      </w:pPr>
      <w:r>
        <w:t xml:space="preserve">设模型输出的图级异常 logit 为 </w:t>
      </w:r>
      <m:oMath>
        <m:sSubSup>
          <m:sSubSupPr/>
          <m:e>
            <m:r>
              <m:rPr/>
              <m:t>z</m:t>
            </m:r>
          </m:e>
          <m:sub>
            <m:r>
              <m:rPr/>
              <m:t>w</m:t>
            </m:r>
          </m:sub>
          <m:sup>
            <m:r>
              <m:rPr/>
              <m:t>A</m:t>
            </m:r>
          </m:sup>
        </m:sSubSup>
      </m:oMath>
      <w:r>
        <w:t xml:space="preserve">，真实窗口标签为 </w:t>
      </w:r>
      <m:oMath>
        <m:sSub>
          <m:sSubPr/>
          <m:e>
            <m:r>
              <m:rPr/>
              <m:t>y</m:t>
            </m:r>
          </m:e>
          <m:sub>
            <m:r>
              <m:rPr/>
              <m:t>w</m:t>
            </m:r>
          </m:sub>
        </m:sSub>
      </m:oMath>
      <w:r>
        <w:t>，则异常检测损失可表示为：</w:t>
      </w:r>
    </w:p>
    <w:p w14:paraId="549545CF">
      <w:pPr>
        <w:pStyle w:val="3"/>
      </w:pPr>
      <m:oMathPara>
        <m:oMathParaPr>
          <m:jc m:val="center"/>
        </m:oMathParaPr>
        <m:oMath>
          <m:sSub>
            <m:sSubPr/>
            <m:e>
              <m:r>
                <m:rPr>
                  <m:sty m:val="p"/>
                  <m:scr m:val="script"/>
                </m:rPr>
                <m:t>ℒ</m:t>
              </m:r>
            </m:e>
            <m:sub>
              <m:r>
                <m:rPr/>
                <m:t>A</m:t>
              </m:r>
            </m:sub>
          </m:sSub>
          <m:r>
            <m:rPr>
              <m:sty m:val="p"/>
            </m:rPr>
            <m:t>=BCEWithLogits</m:t>
          </m:r>
          <m:d>
            <m:dPr>
              <m:sepChr m:val=""/>
            </m:dPr>
            <m:e>
              <m:r>
                <m:rPr>
                  <m:sty m:val="p"/>
                </m:rPr>
                <m:t>{</m:t>
              </m:r>
              <m:sSubSup>
                <m:sSubSupPr/>
                <m:e>
                  <m:r>
                    <m:rPr/>
                    <m:t>z</m:t>
                  </m:r>
                </m:e>
                <m:sub>
                  <m:r>
                    <m:rPr/>
                    <m:t>w</m:t>
                  </m:r>
                </m:sub>
                <m:sup>
                  <m:r>
                    <m:rPr/>
                    <m:t>A</m:t>
                  </m:r>
                </m:sup>
              </m:sSubSup>
              <m:r>
                <m:rPr>
                  <m:sty m:val="p"/>
                </m:rPr>
                <m:t>},{</m:t>
              </m:r>
              <m:sSub>
                <m:sSubPr/>
                <m:e>
                  <m:r>
                    <m:rPr/>
                    <m:t>y</m:t>
                  </m:r>
                </m:e>
                <m:sub>
                  <m:r>
                    <m:rPr/>
                    <m:t>w</m:t>
                  </m:r>
                </m:sub>
              </m:sSub>
              <m:r>
                <m:rPr>
                  <m:sty m:val="p"/>
                </m:rPr>
                <m:t>};pos_weight=</m:t>
              </m:r>
              <m:sSub>
                <m:sSubPr/>
                <m:e>
                  <m:r>
                    <m:rPr/>
                    <m:t>α</m:t>
                  </m:r>
                </m:e>
                <m:sub>
                  <m:r>
                    <m:rPr>
                      <m:sty m:val="p"/>
                    </m:rPr>
                    <m:t>pos</m:t>
                  </m:r>
                </m:sub>
              </m:sSub>
            </m:e>
          </m:d>
        </m:oMath>
      </m:oMathPara>
    </w:p>
    <w:p w14:paraId="625A213F">
      <w:pPr>
        <w:pStyle w:val="23"/>
      </w:pPr>
      <w:r>
        <w:t xml:space="preserve">该过程对应代码中的 </w:t>
      </w:r>
      <w:r>
        <w:rPr>
          <w:rStyle w:val="37"/>
        </w:rPr>
        <w:t>BCEWithLogitsLoss</w:t>
      </w:r>
      <w:r>
        <w:t>，损失函数直接接收 logits，并通过正样本权重调整异常类样本对训练目标的贡献。</w:t>
      </w:r>
    </w:p>
    <w:bookmarkEnd w:id="15"/>
    <w:p w14:paraId="738B739E">
      <w:pPr>
        <w:pStyle w:val="5"/>
      </w:pPr>
      <w:bookmarkStart w:id="16" w:name="根因定位损失"/>
      <w:r>
        <w:t>3.5.2 根因定位损失</w:t>
      </w:r>
    </w:p>
    <w:p w14:paraId="58D3F769">
      <w:pPr>
        <w:pStyle w:val="23"/>
      </w:pPr>
      <w:r>
        <w:t xml:space="preserve">根因定位分支通过节点级监督进行训练。设节点 </w:t>
      </w:r>
      <m:oMath>
        <m:sSub>
          <m:sSubPr/>
          <m:e>
            <m:r>
              <m:rPr/>
              <m:t>v</m:t>
            </m:r>
          </m:e>
          <m:sub>
            <m:r>
              <m:rPr/>
              <m:t>i</m:t>
            </m:r>
          </m:sub>
        </m:sSub>
      </m:oMath>
      <w:r>
        <w:t xml:space="preserve"> 在窗口 </w:t>
      </w:r>
      <m:oMath>
        <m:r>
          <m:rPr/>
          <m:t>w</m:t>
        </m:r>
      </m:oMath>
      <w:r>
        <w:t xml:space="preserve"> 中的根因定位 logit 为 </w:t>
      </w:r>
      <m:oMath>
        <m:sSubSup>
          <m:sSubSupPr/>
          <m:e>
            <m:r>
              <m:rPr/>
              <m:t>z</m:t>
            </m:r>
          </m:e>
          <m:sub>
            <m:r>
              <m:rPr/>
              <m:t>i</m:t>
            </m:r>
            <m:r>
              <m:rPr>
                <m:sty m:val="p"/>
              </m:rPr>
              <m:t>,</m:t>
            </m:r>
            <m:r>
              <m:rPr/>
              <m:t>w</m:t>
            </m:r>
          </m:sub>
          <m:sup>
            <m:r>
              <m:rPr/>
              <m:t>R</m:t>
            </m:r>
          </m:sup>
        </m:sSubSup>
      </m:oMath>
      <w:r>
        <w:t xml:space="preserve">，相应的真实根因标签为 </w:t>
      </w:r>
      <m:oMath>
        <m:sSub>
          <m:sSubPr/>
          <m:e>
            <m:r>
              <m:rPr/>
              <m:t>r</m:t>
            </m:r>
          </m:e>
          <m:sub>
            <m:r>
              <m:rPr/>
              <m:t>i</m:t>
            </m:r>
            <m:r>
              <m:rPr>
                <m:sty m:val="p"/>
              </m:rPr>
              <m:t>,</m:t>
            </m:r>
            <m:r>
              <m:rPr/>
              <m:t>w</m:t>
            </m:r>
          </m:sub>
        </m:sSub>
      </m:oMath>
      <w:r>
        <w:t>。当该节点对应案例的真实根因服务时，标签为 1，否则为 0。</w:t>
      </w:r>
    </w:p>
    <w:p w14:paraId="1748F428">
      <w:pPr>
        <w:pStyle w:val="3"/>
      </w:pPr>
      <w:r>
        <w:t>根因定位损失采用二元交叉熵形式：</w:t>
      </w:r>
    </w:p>
    <w:p w14:paraId="302EE45C">
      <w:pPr>
        <w:pStyle w:val="3"/>
      </w:pPr>
      <m:oMathPara>
        <m:oMathParaPr>
          <m:jc m:val="center"/>
        </m:oMathParaPr>
        <m:oMath>
          <m:sSub>
            <m:sSubPr/>
            <m:e>
              <m:r>
                <m:rPr>
                  <m:sty m:val="p"/>
                  <m:scr m:val="script"/>
                </m:rPr>
                <m:t>ℒ</m:t>
              </m:r>
            </m:e>
            <m:sub>
              <m:r>
                <m:rPr/>
                <m:t>R</m:t>
              </m:r>
            </m:sub>
          </m:sSub>
          <m:r>
            <m:rPr>
              <m:sty m:val="p"/>
            </m:rPr>
            <m:t>=BCEWithLogits</m:t>
          </m:r>
          <m:d>
            <m:dPr>
              <m:sepChr m:val=""/>
            </m:dPr>
            <m:e>
              <m:r>
                <m:rPr>
                  <m:sty m:val="p"/>
                </m:rPr>
                <m:t>{</m:t>
              </m:r>
              <m:sSubSup>
                <m:sSubSupPr/>
                <m:e>
                  <m:r>
                    <m:rPr/>
                    <m:t>z</m:t>
                  </m:r>
                </m:e>
                <m:sub>
                  <m:r>
                    <m:rPr/>
                    <m:t>i</m:t>
                  </m:r>
                  <m:r>
                    <m:rPr>
                      <m:sty m:val="p"/>
                    </m:rPr>
                    <m:t>,</m:t>
                  </m:r>
                  <m:r>
                    <m:rPr/>
                    <m:t>w</m:t>
                  </m:r>
                </m:sub>
                <m:sup>
                  <m:r>
                    <m:rPr/>
                    <m:t>R</m:t>
                  </m:r>
                </m:sup>
              </m:sSubSup>
              <m:r>
                <m:rPr>
                  <m:sty m:val="p"/>
                </m:rPr>
                <m:t>},{</m:t>
              </m:r>
              <m:sSub>
                <m:sSubPr/>
                <m:e>
                  <m:r>
                    <m:rPr/>
                    <m:t>r</m:t>
                  </m:r>
                </m:e>
                <m:sub>
                  <m:r>
                    <m:rPr/>
                    <m:t>i</m:t>
                  </m:r>
                  <m:r>
                    <m:rPr>
                      <m:sty m:val="p"/>
                    </m:rPr>
                    <m:t>,</m:t>
                  </m:r>
                  <m:r>
                    <m:rPr/>
                    <m:t>w</m:t>
                  </m:r>
                </m:sub>
              </m:sSub>
              <m:r>
                <m:rPr>
                  <m:sty m:val="p"/>
                </m:rPr>
                <m:t>}</m:t>
              </m:r>
            </m:e>
          </m:d>
        </m:oMath>
      </m:oMathPara>
    </w:p>
    <w:p w14:paraId="3C2D07F4">
      <w:pPr>
        <w:pStyle w:val="23"/>
      </w:pPr>
      <w:r>
        <w:t>根据当前实现，该损失直接对训练批次中的节点分数及其标签计算，不会先筛选出异常窗口再进行损失计算。因此，论文中将该分支描述为基于故障案例真实根因服务的节点级监督，与代码实现相一致。</w:t>
      </w:r>
    </w:p>
    <w:bookmarkEnd w:id="16"/>
    <w:p w14:paraId="2CD1E85D">
      <w:pPr>
        <w:pStyle w:val="5"/>
      </w:pPr>
      <w:bookmarkStart w:id="17" w:name="联合损失函数"/>
      <w:r>
        <w:t>3.5.3 联合损失函数</w:t>
      </w:r>
    </w:p>
    <w:p w14:paraId="538ED67A">
      <w:pPr>
        <w:pStyle w:val="23"/>
      </w:pPr>
      <w:r>
        <w:t>为了同时优化异常检测与根因定位两个任务，本文采用加权联合损失：</w:t>
      </w:r>
    </w:p>
    <w:p w14:paraId="08C55A46">
      <w:pPr>
        <w:pStyle w:val="3"/>
      </w:pPr>
      <m:oMathPara>
        <m:oMathParaPr>
          <m:jc m:val="center"/>
        </m:oMathParaPr>
        <m:oMath>
          <m:sSub>
            <m:sSubPr/>
            <m:e>
              <m:r>
                <m:rPr>
                  <m:sty m:val="p"/>
                  <m:scr m:val="script"/>
                </m:rPr>
                <m:t>ℒ</m:t>
              </m:r>
            </m:e>
            <m:sub>
              <m:r>
                <m:rPr>
                  <m:sty m:val="p"/>
                </m:rPr>
                <m:t>total</m:t>
              </m:r>
            </m:sub>
          </m:sSub>
          <m:r>
            <m:rPr>
              <m:sty m:val="p"/>
            </m:rPr>
            <m:t>=</m:t>
          </m:r>
          <m:sSub>
            <m:sSubPr/>
            <m:e>
              <m:r>
                <m:rPr>
                  <m:sty m:val="p"/>
                  <m:scr m:val="script"/>
                </m:rPr>
                <m:t>ℒ</m:t>
              </m:r>
            </m:e>
            <m:sub>
              <m:r>
                <m:rPr/>
                <m:t>A</m:t>
              </m:r>
            </m:sub>
          </m:sSub>
          <m:r>
            <m:rPr>
              <m:sty m:val="p"/>
            </m:rPr>
            <m:t>+</m:t>
          </m:r>
          <m:sSub>
            <m:sSubPr/>
            <m:e>
              <m:r>
                <m:rPr/>
                <m:t>λ</m:t>
              </m:r>
            </m:e>
            <m:sub>
              <m:r>
                <m:rPr/>
                <m:t>R</m:t>
              </m:r>
            </m:sub>
          </m:sSub>
          <m:sSub>
            <m:sSubPr/>
            <m:e>
              <m:r>
                <m:rPr>
                  <m:sty m:val="p"/>
                  <m:scr m:val="script"/>
                </m:rPr>
                <m:t>ℒ</m:t>
              </m:r>
            </m:e>
            <m:sub>
              <m:r>
                <m:rPr/>
                <m:t>R</m:t>
              </m:r>
            </m:sub>
          </m:sSub>
        </m:oMath>
      </m:oMathPara>
    </w:p>
    <w:p w14:paraId="09AFBD4C">
      <w:pPr>
        <w:pStyle w:val="23"/>
      </w:pPr>
      <w:r>
        <w:t>其中，</w:t>
      </w:r>
      <m:oMath>
        <m:sSub>
          <m:sSubPr/>
          <m:e>
            <m:r>
              <m:rPr>
                <m:sty m:val="p"/>
                <m:scr m:val="script"/>
              </m:rPr>
              <m:t>ℒ</m:t>
            </m:r>
          </m:e>
          <m:sub>
            <m:r>
              <m:rPr/>
              <m:t>A</m:t>
            </m:r>
          </m:sub>
        </m:sSub>
      </m:oMath>
      <w:r>
        <w:t xml:space="preserve"> 表示异常检测损失，</w:t>
      </w:r>
      <m:oMath>
        <m:sSub>
          <m:sSubPr/>
          <m:e>
            <m:r>
              <m:rPr>
                <m:sty m:val="p"/>
                <m:scr m:val="script"/>
              </m:rPr>
              <m:t>ℒ</m:t>
            </m:r>
          </m:e>
          <m:sub>
            <m:r>
              <m:rPr/>
              <m:t>R</m:t>
            </m:r>
          </m:sub>
        </m:sSub>
      </m:oMath>
      <w:r>
        <w:t xml:space="preserve"> 表示根因定位损失，</w:t>
      </w:r>
      <m:oMath>
        <m:sSub>
          <m:sSubPr/>
          <m:e>
            <m:r>
              <m:rPr/>
              <m:t>λ</m:t>
            </m:r>
          </m:e>
          <m:sub>
            <m:r>
              <m:rPr/>
              <m:t>R</m:t>
            </m:r>
          </m:sub>
        </m:sSub>
      </m:oMath>
      <w:r>
        <w:t xml:space="preserve"> 为根因定位损失的权重系数，由训练脚本读取的 </w:t>
      </w:r>
      <w:r>
        <w:rPr>
          <w:rStyle w:val="37"/>
        </w:rPr>
        <w:t>rca_loss_weight</w:t>
      </w:r>
      <w:r>
        <w:t xml:space="preserve"> 参数确定。</w:t>
      </w:r>
    </w:p>
    <w:p w14:paraId="723E0139">
      <w:pPr>
        <w:pStyle w:val="3"/>
      </w:pPr>
      <w:r>
        <w:t>该联合目标使共享图编码器同时接受图级异常标签与节点级根因标签的监督，从而学习能够用于异常识别与根因排序的节点表示。</w:t>
      </w:r>
    </w:p>
    <w:p w14:paraId="4D473F89">
      <w:pPr>
        <w:pStyle w:val="3"/>
      </w:pPr>
      <w:r>
        <w:t xml:space="preserve">需要注意，当前提供的 </w:t>
      </w:r>
      <w:r>
        <w:rPr>
          <w:rStyle w:val="37"/>
        </w:rPr>
        <w:t>default.yaml</w:t>
      </w:r>
      <w:r>
        <w:t xml:space="preserve"> 没有展示训练脚本所读取的 </w:t>
      </w:r>
      <w:r>
        <w:rPr>
          <w:rStyle w:val="37"/>
        </w:rPr>
        <w:t>graph_experiments</w:t>
      </w:r>
      <w:r>
        <w:t xml:space="preserve"> 参数段。因此，联合损失的形式能够由代码确认，但具体的 </w:t>
      </w:r>
      <m:oMath>
        <m:sSub>
          <m:sSubPr/>
          <m:e>
            <m:r>
              <m:rPr/>
              <m:t>λ</m:t>
            </m:r>
          </m:e>
          <m:sub>
            <m:r>
              <m:rPr/>
              <m:t>R</m:t>
            </m:r>
          </m:sub>
        </m:sSub>
      </m:oMath>
      <w:r>
        <w:t xml:space="preserve"> 数值不能从目前提供的配置文件中确定，本文不填写未经核实的数值。</w:t>
      </w:r>
    </w:p>
    <w:bookmarkEnd w:id="17"/>
    <w:p w14:paraId="0127C633">
      <w:pPr>
        <w:pStyle w:val="5"/>
      </w:pPr>
      <w:bookmarkStart w:id="18" w:name="模型优化与数据划分"/>
      <w:r>
        <w:t>3.5.4 模型优化与数据划分</w:t>
      </w:r>
    </w:p>
    <w:p w14:paraId="7D1C7035">
      <w:pPr>
        <w:pStyle w:val="23"/>
      </w:pPr>
      <w:r>
        <w:t>当前训练程序采用 AdamW 优化器更新图神经网络参数。每次迭代先清除已有梯度，再完成前向计算、损失计算、反向传播及参数更新，并在每个训练轮次结束后记录平均训练损失。</w:t>
      </w:r>
    </w:p>
    <w:p w14:paraId="66091974">
      <w:pPr>
        <w:pStyle w:val="3"/>
      </w:pPr>
      <w:r>
        <w:t>数据划分根据预先生成的案例级划分文件进行。程序先确定每个故障案例所属的训练集、验证集或测试集，再将该案例对应的各个图快照分配到相同子集。该方式避免同一故障案例的不同窗口同时进入不同数据子集，有助于减少案例内相似窗口导致的数据泄漏风险。</w:t>
      </w:r>
    </w:p>
    <w:p w14:paraId="15908C20">
      <w:pPr>
        <w:pStyle w:val="3"/>
      </w:pPr>
      <w:r>
        <w:t>配置文件设置随机种子为 42，训练程序据此设置 Python、NumPy、PyTorch 及 CUDA 的随机种子。需要指出，当前代码没有实现基于验证集指标的自动早停，也没有根据验证集指标选择最佳训练轮次的模型。程序按照设定的训练轮数完成优化，随后保存模型并计算验证集及测试集指标。</w:t>
      </w:r>
    </w:p>
    <w:p w14:paraId="5B24BA4B">
      <w:pPr>
        <w:pStyle w:val="3"/>
      </w:pPr>
      <w:r>
        <w:t xml:space="preserve">虽然训练脚本从 </w:t>
      </w:r>
      <w:r>
        <w:rPr>
          <w:rStyle w:val="37"/>
        </w:rPr>
        <w:t>graph_experiments</w:t>
      </w:r>
      <w:r>
        <w:t xml:space="preserve"> 参数段读取学习率、权重衰减、图训练批大小、训练轮数和根因损失权重等参数，但这些具体值无法从目前提供的最终 </w:t>
      </w:r>
      <w:r>
        <w:rPr>
          <w:rStyle w:val="37"/>
        </w:rPr>
        <w:t>default.yaml</w:t>
      </w:r>
      <w:r>
        <w:t xml:space="preserve"> 中读取。因此，本章仅描述实际代码能够确认的优化过程，不补写未经证实的参数值。配置中的 </w:t>
      </w:r>
      <w:r>
        <w:rPr>
          <w:rStyle w:val="37"/>
        </w:rPr>
        <w:t>llm.batch_size=4</w:t>
      </w:r>
      <w:r>
        <w:t xml:space="preserve"> 对应嵌入生成配置，不应直接当作图神经网络训练批大小。</w:t>
      </w:r>
    </w:p>
    <w:bookmarkEnd w:id="14"/>
    <w:bookmarkEnd w:id="18"/>
    <w:p w14:paraId="46235C60">
      <w:pPr>
        <w:pStyle w:val="4"/>
      </w:pPr>
      <w:bookmarkStart w:id="19" w:name="评价指标"/>
      <w:r>
        <w:t>3.6 评价指标</w:t>
      </w:r>
    </w:p>
    <w:p w14:paraId="41B68790">
      <w:pPr>
        <w:pStyle w:val="5"/>
      </w:pPr>
      <w:bookmarkStart w:id="20" w:name="异常检测指标"/>
      <w:r>
        <w:t>3.6.1 异常检测指标</w:t>
      </w:r>
    </w:p>
    <w:p w14:paraId="23C15995">
      <w:pPr>
        <w:pStyle w:val="23"/>
      </w:pPr>
      <w:r>
        <w:t>本文使用 Precision、Recall、F1、ROC-AUC 和 PR-AUC 评价模型的异常检测能力。设真正例、真负例、假正例和假负例分别为 TP、TN、FP 和 FN。</w:t>
      </w:r>
    </w:p>
    <w:p w14:paraId="6FB3F0F9">
      <w:pPr>
        <w:pStyle w:val="3"/>
      </w:pPr>
      <w:r>
        <w:t>精确率表示被模型预测为异常的样本中真实异常样本所占的比例：</w:t>
      </w:r>
    </w:p>
    <w:p w14:paraId="0DCA9DF8">
      <w:pPr>
        <w:pStyle w:val="3"/>
      </w:pPr>
      <m:oMathPara>
        <m:oMathParaPr>
          <m:jc m:val="center"/>
        </m:oMathParaPr>
        <m:oMath>
          <m:r>
            <m:rPr>
              <m:sty m:val="p"/>
            </m:rPr>
            <m:t>Precision=</m:t>
          </m:r>
          <m:f>
            <m:fPr/>
            <m:num>
              <m:r>
                <m:rPr/>
                <m:t>TP</m:t>
              </m:r>
            </m:num>
            <m:den>
              <m:r>
                <m:rPr/>
                <m:t>TP</m:t>
              </m:r>
              <m:r>
                <m:rPr>
                  <m:sty m:val="p"/>
                </m:rPr>
                <m:t>+</m:t>
              </m:r>
              <m:r>
                <m:rPr/>
                <m:t>FP</m:t>
              </m:r>
            </m:den>
          </m:f>
        </m:oMath>
      </m:oMathPara>
    </w:p>
    <w:p w14:paraId="5DE98896">
      <w:pPr>
        <w:pStyle w:val="23"/>
      </w:pPr>
      <w:r>
        <w:t>召回率表示真实异常样本中被正确识别的比例：</w:t>
      </w:r>
    </w:p>
    <w:p w14:paraId="62A4A54A">
      <w:pPr>
        <w:pStyle w:val="3"/>
      </w:pPr>
      <m:oMathPara>
        <m:oMathParaPr>
          <m:jc m:val="center"/>
        </m:oMathParaPr>
        <m:oMath>
          <m:r>
            <m:rPr>
              <m:sty m:val="p"/>
            </m:rPr>
            <m:t>Recall=</m:t>
          </m:r>
          <m:f>
            <m:fPr/>
            <m:num>
              <m:r>
                <m:rPr/>
                <m:t>TP</m:t>
              </m:r>
            </m:num>
            <m:den>
              <m:r>
                <m:rPr/>
                <m:t>TP</m:t>
              </m:r>
              <m:r>
                <m:rPr>
                  <m:sty m:val="p"/>
                </m:rPr>
                <m:t>+</m:t>
              </m:r>
              <m:r>
                <m:rPr/>
                <m:t>FN</m:t>
              </m:r>
            </m:den>
          </m:f>
        </m:oMath>
      </m:oMathPara>
    </w:p>
    <w:p w14:paraId="2B37ADB6">
      <w:pPr>
        <w:pStyle w:val="23"/>
      </w:pPr>
      <w:r>
        <w:t>F1 值为精确率和召回率的调和平均数：</w:t>
      </w:r>
    </w:p>
    <w:p w14:paraId="237005FB">
      <w:pPr>
        <w:pStyle w:val="3"/>
      </w:pPr>
      <m:oMathPara>
        <m:oMathParaPr>
          <m:jc m:val="center"/>
        </m:oMathParaPr>
        <m:oMath>
          <m:r>
            <m:rPr/>
            <m:t>F1</m:t>
          </m:r>
          <m:r>
            <m:rPr>
              <m:sty m:val="p"/>
            </m:rPr>
            <m:t>=</m:t>
          </m:r>
          <m:r>
            <m:rPr/>
            <m:t>2</m:t>
          </m:r>
          <m:r>
            <m:rPr>
              <m:sty m:val="p"/>
            </m:rPr>
            <m:t>⋅</m:t>
          </m:r>
          <m:f>
            <m:fPr/>
            <m:num>
              <m:r>
                <m:rPr>
                  <m:sty m:val="p"/>
                </m:rPr>
                <m:t>Precision⋅Recall</m:t>
              </m:r>
            </m:num>
            <m:den>
              <m:r>
                <m:rPr>
                  <m:sty m:val="p"/>
                </m:rPr>
                <m:t>Precision+Recall</m:t>
              </m:r>
            </m:den>
          </m:f>
        </m:oMath>
      </m:oMathPara>
    </w:p>
    <w:p w14:paraId="4CF32210">
      <w:pPr>
        <w:pStyle w:val="23"/>
      </w:pPr>
      <w:r>
        <w:t xml:space="preserve">ROC-AUC 用于评价模型在不同分类阈值下区分正常与异常窗口的能力。PR-AUC 则通过精确率—召回率评价反映模型对异常类别的识别表现。当前程序使用 </w:t>
      </w:r>
      <w:r>
        <w:rPr>
          <w:rStyle w:val="37"/>
        </w:rPr>
        <w:t>average_precision_score</w:t>
      </w:r>
      <w:r>
        <w:t xml:space="preserve"> 计算并记录 </w:t>
      </w:r>
      <w:r>
        <w:rPr>
          <w:rStyle w:val="37"/>
        </w:rPr>
        <w:t>pr_auc</w:t>
      </w:r>
      <w:r>
        <w:t>，因此在解释结果时应明确其具体计算形式。</w:t>
      </w:r>
    </w:p>
    <w:p w14:paraId="370DE35F">
      <w:pPr>
        <w:pStyle w:val="3"/>
      </w:pPr>
      <w:r>
        <w:t>Precision、Recall 和 F1 根据分类阈值下的离散预测结果计算，而 ROC-AUC 和 PR-AUC 根据预测分数计算。当某个待评价子集只包含一个类别时，当前程序会将 ROC-AUC 记录为不可用值。</w:t>
      </w:r>
    </w:p>
    <w:bookmarkEnd w:id="20"/>
    <w:p w14:paraId="6663A805">
      <w:pPr>
        <w:pStyle w:val="5"/>
      </w:pPr>
      <w:bookmarkStart w:id="21" w:name="根因定位指标"/>
      <w:r>
        <w:t>3.6.2 根因定位指标</w:t>
      </w:r>
    </w:p>
    <w:p w14:paraId="4737C11F">
      <w:pPr>
        <w:pStyle w:val="23"/>
      </w:pPr>
      <w:r>
        <w:t>根因定位采用案例级排序进行评价。由于同一个故障案例可能包含多个时间窗口，当前程序首先汇总该案例中每个服务在不同窗口下的根因定位分数，并取其中的最大值：</w:t>
      </w:r>
    </w:p>
    <w:p w14:paraId="75FA5562">
      <w:pPr>
        <w:pStyle w:val="3"/>
      </w:pPr>
      <m:oMathPara>
        <m:oMathParaPr>
          <m:jc m:val="center"/>
        </m:oMathParaPr>
        <m:oMath>
          <m:sSub>
            <m:sSubPr/>
            <m:e>
              <m:r>
                <m:rPr/>
                <m:t>s</m:t>
              </m:r>
            </m:e>
            <m:sub>
              <m:r>
                <m:rPr/>
                <m:t>c</m:t>
              </m:r>
              <m:r>
                <m:rPr>
                  <m:sty m:val="p"/>
                </m:rPr>
                <m:t>,</m:t>
              </m:r>
              <m:r>
                <m:rPr/>
                <m:t>i</m:t>
              </m:r>
            </m:sub>
          </m:sSub>
          <m:r>
            <m:rPr>
              <m:sty m:val="p"/>
            </m:rPr>
            <m:t>=</m:t>
          </m:r>
          <m:limLow>
            <m:limLowPr/>
            <m:e>
              <m:r>
                <m:rPr>
                  <m:sty m:val="p"/>
                </m:rPr>
                <m:t>max</m:t>
              </m:r>
            </m:e>
            <m:lim>
              <m:r>
                <m:rPr/>
                <m:t>w</m:t>
              </m:r>
              <m:r>
                <m:rPr>
                  <m:sty m:val="p"/>
                </m:rPr>
                <m:t>∈</m:t>
              </m:r>
              <m:sSub>
                <m:sSubPr/>
                <m:e>
                  <m:r>
                    <m:rPr/>
                    <m:t>W</m:t>
                  </m:r>
                </m:e>
                <m:sub>
                  <m:r>
                    <m:rPr/>
                    <m:t>c</m:t>
                  </m:r>
                </m:sub>
              </m:sSub>
            </m:lim>
          </m:limLow>
          <m:sSubSup>
            <m:sSubSupPr/>
            <m:e>
              <m:r>
                <m:rPr/>
                <m:t>p</m:t>
              </m:r>
            </m:e>
            <m:sub>
              <m:r>
                <m:rPr/>
                <m:t>c</m:t>
              </m:r>
              <m:r>
                <m:rPr>
                  <m:sty m:val="p"/>
                </m:rPr>
                <m:t>,</m:t>
              </m:r>
              <m:r>
                <m:rPr/>
                <m:t>w</m:t>
              </m:r>
              <m:r>
                <m:rPr>
                  <m:sty m:val="p"/>
                </m:rPr>
                <m:t>,</m:t>
              </m:r>
              <m:r>
                <m:rPr/>
                <m:t>i</m:t>
              </m:r>
            </m:sub>
            <m:sup>
              <m:r>
                <m:rPr/>
                <m:t>R</m:t>
              </m:r>
            </m:sup>
          </m:sSubSup>
        </m:oMath>
      </m:oMathPara>
    </w:p>
    <w:p w14:paraId="48CCC679">
      <w:pPr>
        <w:pStyle w:val="23"/>
      </w:pPr>
      <w:r>
        <w:t>其中，</w:t>
      </w:r>
      <m:oMath>
        <m:sSub>
          <m:sSubPr/>
          <m:e>
            <m:r>
              <m:rPr/>
              <m:t>s</m:t>
            </m:r>
          </m:e>
          <m:sub>
            <m:r>
              <m:rPr/>
              <m:t>c</m:t>
            </m:r>
            <m:r>
              <m:rPr>
                <m:sty m:val="p"/>
              </m:rPr>
              <m:t>,</m:t>
            </m:r>
            <m:r>
              <m:rPr/>
              <m:t>i</m:t>
            </m:r>
          </m:sub>
        </m:sSub>
      </m:oMath>
      <w:r>
        <w:t xml:space="preserve"> 为案例 </w:t>
      </w:r>
      <m:oMath>
        <m:r>
          <m:rPr/>
          <m:t>c</m:t>
        </m:r>
      </m:oMath>
      <w:r>
        <w:t xml:space="preserve"> 中服务 </w:t>
      </w:r>
      <m:oMath>
        <m:sSub>
          <m:sSubPr/>
          <m:e>
            <m:r>
              <m:rPr/>
              <m:t>v</m:t>
            </m:r>
          </m:e>
          <m:sub>
            <m:r>
              <m:rPr/>
              <m:t>i</m:t>
            </m:r>
          </m:sub>
        </m:sSub>
      </m:oMath>
      <w:r>
        <w:t xml:space="preserve"> 的案例级分数，</w:t>
      </w:r>
      <m:oMath>
        <m:sSub>
          <m:sSubPr/>
          <m:e>
            <m:r>
              <m:rPr/>
              <m:t>W</m:t>
            </m:r>
          </m:e>
          <m:sub>
            <m:r>
              <m:rPr/>
              <m:t>c</m:t>
            </m:r>
          </m:sub>
        </m:sSub>
      </m:oMath>
      <w:r>
        <w:t xml:space="preserve"> 为该案例参与测试的窗口集合，</w:t>
      </w:r>
      <m:oMath>
        <m:sSubSup>
          <m:sSubSupPr/>
          <m:e>
            <m:r>
              <m:rPr/>
              <m:t>p</m:t>
            </m:r>
          </m:e>
          <m:sub>
            <m:r>
              <m:rPr/>
              <m:t>c</m:t>
            </m:r>
            <m:r>
              <m:rPr>
                <m:sty m:val="p"/>
              </m:rPr>
              <m:t>,</m:t>
            </m:r>
            <m:r>
              <m:rPr/>
              <m:t>w</m:t>
            </m:r>
            <m:r>
              <m:rPr>
                <m:sty m:val="p"/>
              </m:rPr>
              <m:t>,</m:t>
            </m:r>
            <m:r>
              <m:rPr/>
              <m:t>i</m:t>
            </m:r>
          </m:sub>
          <m:sup>
            <m:r>
              <m:rPr/>
              <m:t>R</m:t>
            </m:r>
          </m:sup>
        </m:sSubSup>
      </m:oMath>
      <w:r>
        <w:t xml:space="preserve"> 为服务在窗口 </w:t>
      </w:r>
      <m:oMath>
        <m:r>
          <m:rPr/>
          <m:t>w</m:t>
        </m:r>
      </m:oMath>
      <w:r>
        <w:t xml:space="preserve"> 中的根因定位分数。程序根据案例级分数对服务进行降序排序，并确定真实根因服务的排名。</w:t>
      </w:r>
    </w:p>
    <w:p w14:paraId="4954071E">
      <w:pPr>
        <w:pStyle w:val="3"/>
      </w:pPr>
      <w:r>
        <w:t>Top-</w:t>
      </w:r>
      <m:oMath>
        <m:r>
          <m:rPr/>
          <m:t>k</m:t>
        </m:r>
      </m:oMath>
      <w:r>
        <w:t xml:space="preserve"> 指标用于衡量真实根因服务是否进入排名前 </w:t>
      </w:r>
      <m:oMath>
        <m:r>
          <m:rPr/>
          <m:t>k</m:t>
        </m:r>
      </m:oMath>
      <w:r>
        <w:t xml:space="preserve"> 名：</w:t>
      </w:r>
    </w:p>
    <w:p w14:paraId="53D489AA">
      <w:pPr>
        <w:pStyle w:val="3"/>
      </w:pPr>
      <m:oMathPara>
        <m:oMathParaPr>
          <m:jc m:val="center"/>
        </m:oMathParaPr>
        <m:oMath>
          <m:r>
            <m:rPr>
              <m:sty m:val="p"/>
            </m:rPr>
            <m:t>Top</m:t>
          </m:r>
          <m:r>
            <m:rPr>
              <m:nor/>
              <m:sty m:val="p"/>
            </m:rPr>
            <m:t>-</m:t>
          </m:r>
          <m:r>
            <m:rPr>
              <m:sty m:val="p"/>
            </m:rPr>
            <m:t>k=</m:t>
          </m:r>
          <m:f>
            <m:fPr/>
            <m:num>
              <m:r>
                <m:rPr/>
                <m:t>1</m:t>
              </m:r>
            </m:num>
            <m:den>
              <m:r>
                <m:rPr/>
                <m:t>C</m:t>
              </m:r>
            </m:den>
          </m:f>
          <m:nary>
            <m:naryPr>
              <m:chr m:val="∑"/>
              <m:limLoc m:val="undOvr"/>
            </m:naryPr>
            <m:sub>
              <m:r>
                <m:rPr/>
                <m:t>c</m:t>
              </m:r>
              <m:r>
                <m:rPr>
                  <m:sty m:val="p"/>
                </m:rPr>
                <m:t>=</m:t>
              </m:r>
              <m:r>
                <m:rPr/>
                <m:t>1</m:t>
              </m:r>
            </m:sub>
            <m:sup>
              <m:r>
                <m:rPr/>
                <m:t>C</m:t>
              </m:r>
            </m:sup>
            <m:e>
              <m:r>
                <m:rPr>
                  <m:sty m:val="p"/>
                  <m:scr m:val="double-struck"/>
                </m:rPr>
                <m:t>I</m:t>
              </m:r>
            </m:e>
          </m:nary>
          <m:d>
            <m:dPr>
              <m:sepChr m:val=""/>
            </m:dPr>
            <m:e>
              <m:sSub>
                <m:sSubPr/>
                <m:e>
                  <m:r>
                    <m:rPr/>
                    <m:t>r</m:t>
                  </m:r>
                </m:e>
                <m:sub>
                  <m:r>
                    <m:rPr/>
                    <m:t>c</m:t>
                  </m:r>
                </m:sub>
              </m:sSub>
              <m:r>
                <m:rPr>
                  <m:sty m:val="p"/>
                </m:rPr>
                <m:t>≤</m:t>
              </m:r>
              <m:r>
                <m:rPr/>
                <m:t>k</m:t>
              </m:r>
            </m:e>
          </m:d>
        </m:oMath>
      </m:oMathPara>
    </w:p>
    <w:p w14:paraId="2E1B1CCE">
      <w:pPr>
        <w:pStyle w:val="23"/>
      </w:pPr>
      <w:r>
        <w:t>其中，</w:t>
      </w:r>
      <m:oMath>
        <m:r>
          <m:rPr/>
          <m:t>C</m:t>
        </m:r>
      </m:oMath>
      <w:r>
        <w:t xml:space="preserve"> 表示被评价的案例数量，</w:t>
      </w:r>
      <m:oMath>
        <m:sSub>
          <m:sSubPr/>
          <m:e>
            <m:r>
              <m:rPr/>
              <m:t>r</m:t>
            </m:r>
          </m:e>
          <m:sub>
            <m:r>
              <m:rPr/>
              <m:t>c</m:t>
            </m:r>
          </m:sub>
        </m:sSub>
      </m:oMath>
      <w:r>
        <w:t xml:space="preserve"> 表示案例 </w:t>
      </w:r>
      <m:oMath>
        <m:r>
          <m:rPr/>
          <m:t>c</m:t>
        </m:r>
      </m:oMath>
      <w:r>
        <w:t xml:space="preserve"> 中真实根因服务的排名，</w:t>
      </w:r>
      <m:oMath>
        <m:r>
          <m:rPr>
            <m:sty m:val="p"/>
            <m:scr m:val="double-struck"/>
          </m:rPr>
          <m:t>I</m:t>
        </m:r>
        <m:d>
          <m:dPr>
            <m:sepChr m:val=""/>
          </m:dPr>
          <m:e>
            <m:r>
              <m:rPr>
                <m:sty m:val="p"/>
              </m:rPr>
              <m:t>⋅</m:t>
            </m:r>
          </m:e>
        </m:d>
      </m:oMath>
      <w:r>
        <w:t xml:space="preserve"> 为指示函数。当前实现计算 Top-1、Top-3 和 Top-5。</w:t>
      </w:r>
    </w:p>
    <w:p w14:paraId="165491CA">
      <w:pPr>
        <w:pStyle w:val="3"/>
      </w:pPr>
      <w:r>
        <w:t>平均倒数排名（MRR）用于评价真实根因服务的排序位置：</w:t>
      </w:r>
    </w:p>
    <w:p w14:paraId="1A73D76C">
      <w:pPr>
        <w:pStyle w:val="3"/>
      </w:pPr>
      <m:oMathPara>
        <m:oMathParaPr>
          <m:jc m:val="center"/>
        </m:oMathParaPr>
        <m:oMath>
          <m:r>
            <m:rPr>
              <m:sty m:val="p"/>
            </m:rPr>
            <m:t>MRR=</m:t>
          </m:r>
          <m:f>
            <m:fPr/>
            <m:num>
              <m:r>
                <m:rPr/>
                <m:t>1</m:t>
              </m:r>
            </m:num>
            <m:den>
              <m:r>
                <m:rPr/>
                <m:t>C</m:t>
              </m:r>
            </m:den>
          </m:f>
          <m:nary>
            <m:naryPr>
              <m:chr m:val="∑"/>
              <m:limLoc m:val="undOvr"/>
            </m:naryPr>
            <m:sub>
              <m:r>
                <m:rPr/>
                <m:t>c</m:t>
              </m:r>
              <m:r>
                <m:rPr>
                  <m:sty m:val="p"/>
                </m:rPr>
                <m:t>=</m:t>
              </m:r>
              <m:r>
                <m:rPr/>
                <m:t>1</m:t>
              </m:r>
            </m:sub>
            <m:sup>
              <m:r>
                <m:rPr/>
                <m:t>C</m:t>
              </m:r>
            </m:sup>
            <m:e>
              <m:f>
                <m:fPr/>
                <m:num>
                  <m:r>
                    <m:rPr/>
                    <m:t>1</m:t>
                  </m:r>
                </m:num>
                <m:den>
                  <m:sSub>
                    <m:sSubPr/>
                    <m:e>
                      <m:r>
                        <m:rPr/>
                        <m:t>r</m:t>
                      </m:r>
                    </m:e>
                    <m:sub>
                      <m:r>
                        <m:rPr/>
                        <m:t>c</m:t>
                      </m:r>
                    </m:sub>
                  </m:sSub>
                </m:den>
              </m:f>
            </m:e>
          </m:nary>
        </m:oMath>
      </m:oMathPara>
    </w:p>
    <w:p w14:paraId="3EEFAB31">
      <w:pPr>
        <w:pStyle w:val="23"/>
      </w:pPr>
      <w:r>
        <w:t>如果真实根因服务未出现在候选排名中，当前程序将该案例的倒数排名记为 0。需要说明的是，这些指标由项目当前的案例级排序流程计算；在没有相应执行记录的情况下，不将其表述为已经通过 RCAEval 官方评估程序计算的结果。</w:t>
      </w:r>
    </w:p>
    <w:bookmarkEnd w:id="19"/>
    <w:bookmarkEnd w:id="21"/>
    <w:p w14:paraId="4E4E1EE4">
      <w:pPr>
        <w:pStyle w:val="4"/>
      </w:pPr>
      <w:bookmarkStart w:id="22" w:name="本章小结"/>
      <w:r>
        <w:t>3.7 本章小结</w:t>
      </w:r>
    </w:p>
    <w:p w14:paraId="25821AEE">
      <w:pPr>
        <w:pStyle w:val="23"/>
      </w:pPr>
      <w:r>
        <w:t>本章介绍了结合大语言模型语义表示与图神经网络的微服务日志异常检测及根因定位方法。首先，根据固定长度时间窗口组织日志，并依据故障注入时间生成窗口级异常标签；随后，利用 Qwen2.5-7B-Instruct 相关的语义表示流程获取日志嵌入，并与日志数量、错误日志比例和警告日志比例组合形成服务节点特征。基于 Trace 中的父子 Span 关系，进一步构建微服务调用图，以表达服务之间的调用依赖。</w:t>
      </w:r>
    </w:p>
    <w:p w14:paraId="3864337F">
      <w:pPr>
        <w:pStyle w:val="3"/>
      </w:pPr>
      <w:r>
        <w:t>在图模型方面，本文使用 GCN、GAT 和 GATv2 作为备选图编码器，并设置图级异常检测头和节点级根因定位头。模型通过加权联合损失进行训练，并分别采用 Precision、Recall、F1、ROC-AUC、PR-AUC 以及 Top-1、Top-3、Top-5 和 MRR 对两个任务进行评价。</w:t>
      </w:r>
    </w:p>
    <w:p w14:paraId="772BC177">
      <w:pPr>
        <w:pStyle w:val="3"/>
      </w:pPr>
      <w:r>
        <w:t>本章的模型描述以目前提供的实际代码和配置为依据。当前实现未将聚合后的监控指标作为节点输入特征，也未将 Trace 调用统计作为显式边特征输入图网络；Qwen 嵌入以预计算方式提供给图模型。上述实现范围将作为后续实验设置与结果分析的依据。</w:t>
      </w:r>
    </w:p>
    <w:bookmarkEnd w:id="22"/>
    <w:p w14:paraId="289231EC">
      <w:pPr>
        <w:pStyle w:val="4"/>
      </w:pPr>
      <w:bookmarkStart w:id="23" w:name="本章引用文献说明"/>
      <w:r>
        <w:t>本章引用文献说明</w:t>
      </w:r>
    </w:p>
    <w:p w14:paraId="055EFF9B">
      <w:pPr>
        <w:pStyle w:val="23"/>
      </w:pPr>
      <w:r>
        <w:t>本章引用编号沿用前文参考文献列表，没有新增文献：[6] 为 RCAEval 数据集相关文献，已在第一章使用；[8] 为 GCN 原始论文；[9] 为 GAT 原始论文；[10] 为 GATv2 相关论文，后三者已在第一章和第二章使用；[11] 为 Qwen2.5 Technical Report，已在第二章使用。</w:t>
      </w:r>
    </w:p>
    <w:p w14:paraId="2F6ADEC8">
      <w:pPr>
        <w:pStyle w:val="3"/>
      </w:pPr>
      <w:r>
        <w:t>本章没有加入实验结果或未经核实的超参数。第四章的实验设置与结果分析应依据实际生成的指标文件、预测文件和运行记录，并区分已完成的实验与仅在配置中声明支持的选项。</w:t>
      </w:r>
    </w:p>
    <w:bookmarkEnd w:id="0"/>
    <w:bookmarkEnd w:id="23"/>
    <w:p w14:paraId="07C01ACE">
      <w:pPr>
        <w:pStyle w:val="2"/>
      </w:pPr>
      <w:bookmarkStart w:id="24" w:name="chapter-3-methodology-and-model-design"/>
      <w:r>
        <w:t>Chapter 3 Methodology and Model Design</w:t>
      </w:r>
    </w:p>
    <w:p w14:paraId="0CF94C3C">
      <w:pPr>
        <w:pStyle w:val="4"/>
      </w:pPr>
      <w:bookmarkStart w:id="25" w:name="overall-framework"/>
      <w:r>
        <w:t>3.1 Overall Framework</w:t>
      </w:r>
    </w:p>
    <w:p w14:paraId="7BC9A862">
      <w:pPr>
        <w:pStyle w:val="23"/>
      </w:pPr>
      <w:r>
        <w:t>To address the complexity of microservice logs, the dependencies among service calls, and the different objectives of anomaly detection and root cause localization, this study develops a microservice log analysis method that combines large language model-based semantic representations with graph neural networks. The RE2-TT subset of the RCAEval dataset is used as one of the data sources [6]. Service-level semantic features are extracted from log messages, and Trace data are used to construct microservice call graphs. Graph neural networks are then applied to anomaly detection and root cause localization.</w:t>
      </w:r>
    </w:p>
    <w:p w14:paraId="0AD11D8B">
      <w:pPr>
        <w:pStyle w:val="3"/>
      </w:pPr>
      <w:r>
        <w:t>The overall method consists of several steps. First, logs are divided into time windows according to their timestamps and the fault injection time, and logs are aggregated by service within each window. Second, log embeddings are obtained using the semantic representation pipeline associated with Qwen2.5-7B-Instruct, while statistical features such as log counts, error-log ratios, and warning-log ratios are calculated. Third, service call graphs are constructed from parent-child Span relationships in Trace data. Finally, Graph Convolutional Networks (GCN), Graph Attention Networks (GAT), and the second-generation Graph Attention Network (GATv2) are employed as alternative graph encoders. A graph-level anomaly detection head and a node-level root cause localization head are used to perform the two tasks.</w:t>
      </w:r>
    </w:p>
    <w:p w14:paraId="044AD967">
      <w:pPr>
        <w:pStyle w:val="3"/>
      </w:pPr>
      <w:r>
        <w:t>The overall workflow is summarized as follows:</w:t>
      </w:r>
    </w:p>
    <w:p w14:paraId="7C7C1A5A">
      <w:pPr>
        <w:pStyle w:val="3"/>
      </w:pPr>
      <w:r>
        <w:rPr>
          <w:b/>
          <w:bCs/>
        </w:rPr>
        <w:t>Log and Trace data → Time-window partitioning and service-level aggregation → Log semantic representations and statistical features → Microservice call graph construction → GNN encoding → Anomaly detection and root cause localization → Performance evaluation.</w:t>
      </w:r>
    </w:p>
    <w:p w14:paraId="21CB3D6D">
      <w:pPr>
        <w:pStyle w:val="3"/>
      </w:pPr>
      <w:r>
        <w:t>It should be noted that the current graph-model training program directly loads precomputed log embeddings and does not update the Qwen model parameters during graph-network training. Therefore, the proposed approach combines large language model-based semantic representations with graph neural networks rather than performing end-to-end joint fine-tuning of both models.</w:t>
      </w:r>
    </w:p>
    <w:bookmarkEnd w:id="25"/>
    <w:p w14:paraId="260D6FF9">
      <w:pPr>
        <w:pStyle w:val="4"/>
      </w:pPr>
      <w:bookmarkStart w:id="26" w:name="X1745fad5f03847f61a375e4be58ba48f605949b"/>
      <w:r>
        <w:t>3.2 Log Preprocessing and Semantic Representation</w:t>
      </w:r>
    </w:p>
    <w:p w14:paraId="5AE9DEAC">
      <w:pPr>
        <w:pStyle w:val="5"/>
      </w:pPr>
      <w:bookmarkStart w:id="27" w:name="time-window-based-log-partitioning"/>
      <w:r>
        <w:t>3.2.1 Time-Window-Based Log Partitioning</w:t>
      </w:r>
    </w:p>
    <w:p w14:paraId="2BBFF34C">
      <w:pPr>
        <w:pStyle w:val="23"/>
      </w:pPr>
      <w:r>
        <w:t>Microservice logs are generated continuously, and messages from different services may be interleaved. To establish a temporal relationship between log data and system fault states, this study organizes the data into fixed-length time windows.</w:t>
      </w:r>
    </w:p>
    <w:p w14:paraId="1480E731">
      <w:pPr>
        <w:pStyle w:val="3"/>
      </w:pPr>
      <w:r>
        <w:t xml:space="preserve">Let </w:t>
      </w:r>
      <m:oMath>
        <m:r>
          <m:rPr/>
          <m:t>t</m:t>
        </m:r>
      </m:oMath>
      <w:r>
        <w:t xml:space="preserve"> denote a log timestamp, </w:t>
      </w:r>
      <m:oMath>
        <m:sSub>
          <m:sSubPr/>
          <m:e>
            <m:r>
              <m:rPr/>
              <m:t>t</m:t>
            </m:r>
          </m:e>
          <m:sub>
            <m:r>
              <m:rPr/>
              <m:t>0</m:t>
            </m:r>
          </m:sub>
        </m:sSub>
      </m:oMath>
      <w:r>
        <w:t xml:space="preserve"> the reference start time, and </w:t>
      </w:r>
      <m:oMath>
        <m:r>
          <m:rPr/>
          <m:t>Δt</m:t>
        </m:r>
      </m:oMath>
      <w:r>
        <w:t xml:space="preserve"> the window width. The time-window index is defined as:</w:t>
      </w:r>
    </w:p>
    <w:p w14:paraId="5E1E7559">
      <w:pPr>
        <w:pStyle w:val="3"/>
      </w:pPr>
      <m:oMathPara>
        <m:oMathParaPr>
          <m:jc m:val="center"/>
        </m:oMathParaPr>
        <m:oMath>
          <m:r>
            <m:rPr/>
            <m:t>w</m:t>
          </m:r>
          <m:d>
            <m:dPr>
              <m:sepChr m:val=""/>
            </m:dPr>
            <m:e>
              <m:r>
                <m:rPr/>
                <m:t>t</m:t>
              </m:r>
            </m:e>
          </m:d>
          <m:r>
            <m:rPr>
              <m:sty m:val="p"/>
            </m:rPr>
            <m:t>=floor</m:t>
          </m:r>
          <m:d>
            <m:dPr>
              <m:sepChr m:val=""/>
            </m:dPr>
            <m:e>
              <m:f>
                <m:fPr/>
                <m:num>
                  <m:r>
                    <m:rPr/>
                    <m:t>t</m:t>
                  </m:r>
                  <m:r>
                    <m:rPr>
                      <m:sty m:val="p"/>
                    </m:rPr>
                    <m:t>−</m:t>
                  </m:r>
                  <m:sSub>
                    <m:sSubPr/>
                    <m:e>
                      <m:r>
                        <m:rPr/>
                        <m:t>t</m:t>
                      </m:r>
                    </m:e>
                    <m:sub>
                      <m:r>
                        <m:rPr/>
                        <m:t>0</m:t>
                      </m:r>
                    </m:sub>
                  </m:sSub>
                </m:num>
                <m:den>
                  <m:r>
                    <m:rPr/>
                    <m:t>Δt</m:t>
                  </m:r>
                </m:den>
              </m:f>
            </m:e>
          </m:d>
        </m:oMath>
      </m:oMathPara>
    </w:p>
    <w:p w14:paraId="3FFB30C3">
      <w:pPr>
        <w:pStyle w:val="23"/>
      </w:pPr>
      <w:r>
        <w:t xml:space="preserve">Here, </w:t>
      </w:r>
      <m:oMath>
        <m:r>
          <m:rPr/>
          <m:t>Δt</m:t>
        </m:r>
      </m:oMath>
      <w:r>
        <w:t xml:space="preserve"> represents the time-window width. According to the final configuration file provided, the default window length is 60 seconds, while 30-second and 120-second windows are also listed as supported alternatives. These settings indicate that the pipeline supports the corresponding window widths; they do not, by themselves, establish that experiments using all three widths have been completed.</w:t>
      </w:r>
    </w:p>
    <w:p w14:paraId="342E447B">
      <w:pPr>
        <w:pStyle w:val="3"/>
      </w:pPr>
      <w:r>
        <w:t>After window partitioning, the program aggregates logs by window and service identifier and retains metadata such as window boundaries, relative time to fault injection, service names, and case identifiers. Window-level anomaly labels are generated according to the fault injection time.</w:t>
      </w:r>
    </w:p>
    <w:p w14:paraId="6228BCD7">
      <w:pPr>
        <w:pStyle w:val="3"/>
      </w:pPr>
      <w:r>
        <w:t xml:space="preserve">Let </w:t>
      </w:r>
      <m:oMath>
        <m:sSub>
          <m:sSubPr/>
          <m:e>
            <m:r>
              <m:rPr/>
              <m:t>t</m:t>
            </m:r>
          </m:e>
          <m:sub>
            <m:r>
              <m:rPr/>
              <m:t>f</m:t>
            </m:r>
          </m:sub>
        </m:sSub>
      </m:oMath>
      <w:r>
        <w:t xml:space="preserve"> be the fault injection time and </w:t>
      </w:r>
      <m:oMath>
        <m:sSubSup>
          <m:sSubSupPr/>
          <m:e>
            <m:r>
              <m:rPr/>
              <m:t>t</m:t>
            </m:r>
          </m:e>
          <m:sub>
            <m:r>
              <m:rPr/>
              <m:t>w</m:t>
            </m:r>
          </m:sub>
          <m:sup>
            <m:r>
              <m:rPr/>
              <m:t>end</m:t>
            </m:r>
          </m:sup>
        </m:sSubSup>
      </m:oMath>
      <w:r>
        <w:t xml:space="preserve"> the end time of a window. The window-level label is defined as:</w:t>
      </w:r>
    </w:p>
    <w:p w14:paraId="3040C102">
      <w:pPr>
        <w:pStyle w:val="3"/>
      </w:pPr>
      <m:oMathPara>
        <m:oMathParaPr>
          <m:jc m:val="center"/>
        </m:oMathParaPr>
        <m:oMath>
          <m:sSub>
            <m:sSubPr/>
            <m:e>
              <m:r>
                <m:rPr/>
                <m:t>y</m:t>
              </m:r>
            </m:e>
            <m:sub>
              <m:r>
                <m:rPr/>
                <m:t>w</m:t>
              </m:r>
            </m:sub>
          </m:sSub>
          <m:r>
            <m:rPr>
              <m:sty m:val="p"/>
            </m:rPr>
            <m:t>=</m:t>
          </m:r>
          <m:d>
            <m:dPr>
              <m:begChr m:val="{"/>
              <m:sepChr m:val=""/>
              <m:endChr m:val=""/>
            </m:dPr>
            <m:e>
              <m:m>
                <m:mPr>
                  <m:mcs>
                    <m:mc>
                      <m:mcPr>
                        <m:count m:val="2"/>
                        <m:mcJc m:val="left"/>
                      </m:mcPr>
                    </m:mc>
                  </m:mcs>
                  <m:plcHide m:val="1"/>
                </m:mPr>
                <m:mr>
                  <m:e>
                    <m:r>
                      <m:rPr/>
                      <m:t>0</m:t>
                    </m:r>
                    <m:r>
                      <m:rPr>
                        <m:sty m:val="p"/>
                      </m:rPr>
                      <m:t>,</m:t>
                    </m:r>
                  </m:e>
                  <m:e>
                    <m:sSubSup>
                      <m:sSubSupPr/>
                      <m:e>
                        <m:r>
                          <m:rPr/>
                          <m:t>t</m:t>
                        </m:r>
                      </m:e>
                      <m:sub>
                        <m:r>
                          <m:rPr/>
                          <m:t>w</m:t>
                        </m:r>
                      </m:sub>
                      <m:sup>
                        <m:r>
                          <m:rPr/>
                          <m:t>end</m:t>
                        </m:r>
                      </m:sup>
                    </m:sSubSup>
                    <m:r>
                      <m:rPr>
                        <m:sty m:val="p"/>
                      </m:rPr>
                      <m:t>&lt;</m:t>
                    </m:r>
                    <m:sSub>
                      <m:sSubPr/>
                      <m:e>
                        <m:r>
                          <m:rPr/>
                          <m:t>t</m:t>
                        </m:r>
                      </m:e>
                      <m:sub>
                        <m:r>
                          <m:rPr/>
                          <m:t>f</m:t>
                        </m:r>
                      </m:sub>
                    </m:sSub>
                  </m:e>
                </m:mr>
                <m:mr>
                  <m:e>
                    <m:r>
                      <m:rPr/>
                      <m:t>1</m:t>
                    </m:r>
                    <m:r>
                      <m:rPr>
                        <m:sty m:val="p"/>
                      </m:rPr>
                      <m:t>,</m:t>
                    </m:r>
                  </m:e>
                  <m:e>
                    <m:sSubSup>
                      <m:sSubSupPr/>
                      <m:e>
                        <m:r>
                          <m:rPr/>
                          <m:t>t</m:t>
                        </m:r>
                      </m:e>
                      <m:sub>
                        <m:r>
                          <m:rPr/>
                          <m:t>w</m:t>
                        </m:r>
                      </m:sub>
                      <m:sup>
                        <m:r>
                          <m:rPr/>
                          <m:t>end</m:t>
                        </m:r>
                      </m:sup>
                    </m:sSubSup>
                    <m:r>
                      <m:rPr>
                        <m:sty m:val="p"/>
                      </m:rPr>
                      <m:t>≥</m:t>
                    </m:r>
                    <m:sSub>
                      <m:sSubPr/>
                      <m:e>
                        <m:r>
                          <m:rPr/>
                          <m:t>t</m:t>
                        </m:r>
                      </m:e>
                      <m:sub>
                        <m:r>
                          <m:rPr/>
                          <m:t>f</m:t>
                        </m:r>
                      </m:sub>
                    </m:sSub>
                  </m:e>
                </m:mr>
              </m:m>
            </m:e>
          </m:d>
        </m:oMath>
      </m:oMathPara>
    </w:p>
    <w:p w14:paraId="52CA550E">
      <w:pPr>
        <w:pStyle w:val="23"/>
      </w:pPr>
      <w:r>
        <w:t xml:space="preserve">Here, </w:t>
      </w:r>
      <m:oMath>
        <m:sSub>
          <m:sSubPr/>
          <m:e>
            <m:r>
              <m:rPr/>
              <m:t>y</m:t>
            </m:r>
          </m:e>
          <m:sub>
            <m:r>
              <m:rPr/>
              <m:t>w</m:t>
            </m:r>
          </m:sub>
        </m:sSub>
        <m:r>
          <m:rPr>
            <m:sty m:val="p"/>
          </m:rPr>
          <m:t>=</m:t>
        </m:r>
        <m:r>
          <m:rPr/>
          <m:t>0</m:t>
        </m:r>
      </m:oMath>
      <w:r>
        <w:t xml:space="preserve"> denotes a normal window and </w:t>
      </w:r>
      <m:oMath>
        <m:sSub>
          <m:sSubPr/>
          <m:e>
            <m:r>
              <m:rPr/>
              <m:t>y</m:t>
            </m:r>
          </m:e>
          <m:sub>
            <m:r>
              <m:rPr/>
              <m:t>w</m:t>
            </m:r>
          </m:sub>
        </m:sSub>
        <m:r>
          <m:rPr>
            <m:sty m:val="p"/>
          </m:rPr>
          <m:t>=</m:t>
        </m:r>
        <m:r>
          <m:rPr/>
          <m:t>1</m:t>
        </m:r>
      </m:oMath>
      <w:r>
        <w:t xml:space="preserve"> denotes an anomalous window. Under the current preprocessing implementation, a window that crosses the fault injection time is labeled as mixed and assigned to the anomalous class for binary classification. This label describes the temporal relationship between a window and the fault injection time; it does not mean that every log message within the window has been individually classified as anomalous.</w:t>
      </w:r>
    </w:p>
    <w:bookmarkEnd w:id="27"/>
    <w:p w14:paraId="085F8F8C">
      <w:pPr>
        <w:pStyle w:val="5"/>
      </w:pPr>
      <w:bookmarkStart w:id="28" w:name="service-level-log-statistics"/>
      <w:r>
        <w:t>3.2.2 Service-Level Log Statistics</w:t>
      </w:r>
    </w:p>
    <w:p w14:paraId="496C078F">
      <w:pPr>
        <w:pStyle w:val="23"/>
      </w:pPr>
      <w:r>
        <w:t>After time-window partitioning, the program groups logs by window and service and calculates the total number of logs, error logs, and warning logs for each service within the corresponding window.</w:t>
      </w:r>
    </w:p>
    <w:p w14:paraId="353C6D4B">
      <w:pPr>
        <w:pStyle w:val="3"/>
      </w:pPr>
      <w:r>
        <w:t xml:space="preserve">Let </w:t>
      </w:r>
      <m:oMath>
        <m:sSubSup>
          <m:sSubSupPr/>
          <m:e>
            <m:r>
              <m:rPr/>
              <m:t>n</m:t>
            </m:r>
          </m:e>
          <m:sub>
            <m:r>
              <m:rPr/>
              <m:t>i</m:t>
            </m:r>
          </m:sub>
          <m:sup>
            <m:r>
              <m:rPr/>
              <m:t>w</m:t>
            </m:r>
          </m:sup>
        </m:sSubSup>
      </m:oMath>
      <w:r>
        <w:t xml:space="preserve"> denote the total number of logs generated by service </w:t>
      </w:r>
      <m:oMath>
        <m:sSub>
          <m:sSubPr/>
          <m:e>
            <m:r>
              <m:rPr/>
              <m:t>v</m:t>
            </m:r>
          </m:e>
          <m:sub>
            <m:r>
              <m:rPr/>
              <m:t>i</m:t>
            </m:r>
          </m:sub>
        </m:sSub>
      </m:oMath>
      <w:r>
        <w:t xml:space="preserve"> in window </w:t>
      </w:r>
      <m:oMath>
        <m:r>
          <m:rPr/>
          <m:t>w</m:t>
        </m:r>
      </m:oMath>
      <w:r>
        <w:t xml:space="preserve">, while </w:t>
      </w:r>
      <m:oMath>
        <m:sSubSup>
          <m:sSubSupPr/>
          <m:e>
            <m:r>
              <m:rPr/>
              <m:t>n</m:t>
            </m:r>
          </m:e>
          <m:sub>
            <m:r>
              <m:rPr/>
              <m:t>i</m:t>
            </m:r>
            <m:r>
              <m:rPr>
                <m:sty m:val="p"/>
              </m:rPr>
              <m:t>,err</m:t>
            </m:r>
          </m:sub>
          <m:sup>
            <m:r>
              <m:rPr/>
              <m:t>w</m:t>
            </m:r>
          </m:sup>
        </m:sSubSup>
      </m:oMath>
      <w:r>
        <w:t xml:space="preserve"> and </w:t>
      </w:r>
      <m:oMath>
        <m:sSubSup>
          <m:sSubSupPr/>
          <m:e>
            <m:r>
              <m:rPr/>
              <m:t>n</m:t>
            </m:r>
          </m:e>
          <m:sub>
            <m:r>
              <m:rPr/>
              <m:t>i</m:t>
            </m:r>
            <m:r>
              <m:rPr>
                <m:sty m:val="p"/>
              </m:rPr>
              <m:t>,warn</m:t>
            </m:r>
          </m:sub>
          <m:sup>
            <m:r>
              <m:rPr/>
              <m:t>w</m:t>
            </m:r>
          </m:sup>
        </m:sSubSup>
      </m:oMath>
      <w:r>
        <w:t xml:space="preserve"> denote the numbers of error and warning logs, respectively. The error-log ratio and warning-log ratio are defined as:</w:t>
      </w:r>
    </w:p>
    <w:p w14:paraId="4A94A7E0">
      <w:pPr>
        <w:pStyle w:val="3"/>
      </w:pPr>
      <m:oMathPara>
        <m:oMathParaPr>
          <m:jc m:val="center"/>
        </m:oMathParaPr>
        <m:oMath>
          <m:sSubSup>
            <m:sSubSupPr/>
            <m:e>
              <m:r>
                <m:rPr/>
                <m:t>r</m:t>
              </m:r>
            </m:e>
            <m:sub>
              <m:r>
                <m:rPr/>
                <m:t>i</m:t>
              </m:r>
              <m:r>
                <m:rPr>
                  <m:sty m:val="p"/>
                </m:rPr>
                <m:t>,err</m:t>
              </m:r>
            </m:sub>
            <m:sup>
              <m:r>
                <m:rPr/>
                <m:t>w</m:t>
              </m:r>
            </m:sup>
          </m:sSubSup>
          <m:r>
            <m:rPr>
              <m:sty m:val="p"/>
            </m:rPr>
            <m:t>=</m:t>
          </m:r>
          <m:f>
            <m:fPr/>
            <m:num>
              <m:sSubSup>
                <m:sSubSupPr/>
                <m:e>
                  <m:r>
                    <m:rPr/>
                    <m:t>n</m:t>
                  </m:r>
                </m:e>
                <m:sub>
                  <m:r>
                    <m:rPr/>
                    <m:t>i</m:t>
                  </m:r>
                  <m:r>
                    <m:rPr>
                      <m:sty m:val="p"/>
                    </m:rPr>
                    <m:t>,err</m:t>
                  </m:r>
                </m:sub>
                <m:sup>
                  <m:r>
                    <m:rPr/>
                    <m:t>w</m:t>
                  </m:r>
                </m:sup>
              </m:sSubSup>
            </m:num>
            <m:den>
              <m:r>
                <m:rPr>
                  <m:sty m:val="p"/>
                </m:rPr>
                <m:t>max</m:t>
              </m:r>
              <m:d>
                <m:dPr>
                  <m:sepChr m:val=""/>
                </m:dPr>
                <m:e>
                  <m:sSubSup>
                    <m:sSubSupPr/>
                    <m:e>
                      <m:r>
                        <m:rPr/>
                        <m:t>n</m:t>
                      </m:r>
                    </m:e>
                    <m:sub>
                      <m:r>
                        <m:rPr/>
                        <m:t>i</m:t>
                      </m:r>
                    </m:sub>
                    <m:sup>
                      <m:r>
                        <m:rPr/>
                        <m:t>w</m:t>
                      </m:r>
                    </m:sup>
                  </m:sSubSup>
                  <m:r>
                    <m:rPr>
                      <m:sty m:val="p"/>
                    </m:rPr>
                    <m:t>,</m:t>
                  </m:r>
                  <m:r>
                    <m:rPr/>
                    <m:t>1</m:t>
                  </m:r>
                </m:e>
              </m:d>
            </m:den>
          </m:f>
        </m:oMath>
      </m:oMathPara>
    </w:p>
    <w:p w14:paraId="5F8D9456">
      <w:pPr>
        <w:pStyle w:val="23"/>
      </w:pPr>
      <m:oMathPara>
        <m:oMathParaPr>
          <m:jc m:val="center"/>
        </m:oMathParaPr>
        <m:oMath>
          <m:sSubSup>
            <m:sSubSupPr/>
            <m:e>
              <m:r>
                <m:rPr/>
                <m:t>r</m:t>
              </m:r>
            </m:e>
            <m:sub>
              <m:r>
                <m:rPr/>
                <m:t>i</m:t>
              </m:r>
              <m:r>
                <m:rPr>
                  <m:sty m:val="p"/>
                </m:rPr>
                <m:t>,warn</m:t>
              </m:r>
            </m:sub>
            <m:sup>
              <m:r>
                <m:rPr/>
                <m:t>w</m:t>
              </m:r>
            </m:sup>
          </m:sSubSup>
          <m:r>
            <m:rPr>
              <m:sty m:val="p"/>
            </m:rPr>
            <m:t>=</m:t>
          </m:r>
          <m:f>
            <m:fPr/>
            <m:num>
              <m:sSubSup>
                <m:sSubSupPr/>
                <m:e>
                  <m:r>
                    <m:rPr/>
                    <m:t>n</m:t>
                  </m:r>
                </m:e>
                <m:sub>
                  <m:r>
                    <m:rPr/>
                    <m:t>i</m:t>
                  </m:r>
                  <m:r>
                    <m:rPr>
                      <m:sty m:val="p"/>
                    </m:rPr>
                    <m:t>,warn</m:t>
                  </m:r>
                </m:sub>
                <m:sup>
                  <m:r>
                    <m:rPr/>
                    <m:t>w</m:t>
                  </m:r>
                </m:sup>
              </m:sSubSup>
            </m:num>
            <m:den>
              <m:r>
                <m:rPr>
                  <m:sty m:val="p"/>
                </m:rPr>
                <m:t>max</m:t>
              </m:r>
              <m:d>
                <m:dPr>
                  <m:sepChr m:val=""/>
                </m:dPr>
                <m:e>
                  <m:sSubSup>
                    <m:sSubSupPr/>
                    <m:e>
                      <m:r>
                        <m:rPr/>
                        <m:t>n</m:t>
                      </m:r>
                    </m:e>
                    <m:sub>
                      <m:r>
                        <m:rPr/>
                        <m:t>i</m:t>
                      </m:r>
                    </m:sub>
                    <m:sup>
                      <m:r>
                        <m:rPr/>
                        <m:t>w</m:t>
                      </m:r>
                    </m:sup>
                  </m:sSubSup>
                  <m:r>
                    <m:rPr>
                      <m:sty m:val="p"/>
                    </m:rPr>
                    <m:t>,</m:t>
                  </m:r>
                  <m:r>
                    <m:rPr/>
                    <m:t>1</m:t>
                  </m:r>
                </m:e>
              </m:d>
            </m:den>
          </m:f>
        </m:oMath>
      </m:oMathPara>
    </w:p>
    <w:p w14:paraId="6EBE9894">
      <w:pPr>
        <w:pStyle w:val="23"/>
      </w:pPr>
      <w:r>
        <w:t xml:space="preserve">The denominator </w:t>
      </w:r>
      <m:oMath>
        <m:r>
          <m:rPr>
            <m:sty m:val="p"/>
          </m:rPr>
          <m:t>max</m:t>
        </m:r>
        <m:d>
          <m:dPr>
            <m:sepChr m:val=""/>
          </m:dPr>
          <m:e>
            <m:sSubSup>
              <m:sSubSupPr/>
              <m:e>
                <m:r>
                  <m:rPr/>
                  <m:t>n</m:t>
                </m:r>
              </m:e>
              <m:sub>
                <m:r>
                  <m:rPr/>
                  <m:t>i</m:t>
                </m:r>
              </m:sub>
              <m:sup>
                <m:r>
                  <m:rPr/>
                  <m:t>w</m:t>
                </m:r>
              </m:sup>
            </m:sSubSup>
            <m:r>
              <m:rPr>
                <m:sty m:val="p"/>
              </m:rPr>
              <m:t>,</m:t>
            </m:r>
            <m:r>
              <m:rPr/>
              <m:t>1</m:t>
            </m:r>
          </m:e>
        </m:d>
      </m:oMath>
      <w:r>
        <w:t xml:space="preserve"> prevents division by zero when a service has no logs in a window.</w:t>
      </w:r>
    </w:p>
    <w:p w14:paraId="26999677">
      <w:pPr>
        <w:pStyle w:val="3"/>
      </w:pPr>
      <w:r>
        <w:t xml:space="preserve">In the current implementation, error logs are identified using case-insensitive regular-expression matching for </w:t>
      </w:r>
      <w:r>
        <w:rPr>
          <w:rStyle w:val="37"/>
        </w:rPr>
        <w:t>ERROR</w:t>
      </w:r>
      <w:r>
        <w:t xml:space="preserve"> or </w:t>
      </w:r>
      <w:r>
        <w:rPr>
          <w:rStyle w:val="37"/>
        </w:rPr>
        <w:t>EXCEPTION</w:t>
      </w:r>
      <w:r>
        <w:t xml:space="preserve">. Warning logs are identified using </w:t>
      </w:r>
      <w:r>
        <w:rPr>
          <w:rStyle w:val="37"/>
        </w:rPr>
        <w:t>WARN</w:t>
      </w:r>
      <w:r>
        <w:t xml:space="preserve"> or </w:t>
      </w:r>
      <w:r>
        <w:rPr>
          <w:rStyle w:val="37"/>
        </w:rPr>
        <w:t>WARNING</w:t>
      </w:r>
      <w:r>
        <w:t>. These ratios are therefore statistical features derived from keyword-based rules rather than probabilities predicted by a separate classification model.</w:t>
      </w:r>
    </w:p>
    <w:p w14:paraId="4967956B">
      <w:pPr>
        <w:pStyle w:val="3"/>
      </w:pPr>
      <w:r>
        <w:t>The preprocessing program also aggregates monitoring metrics by time window. However, the current graph-model loading program does not concatenate the aggregated monitoring metrics into the node input features. Consequently, the statistical features used by the subsequent model are derived from logs rather than from direct fusion of log and monitoring-metric features.</w:t>
      </w:r>
    </w:p>
    <w:bookmarkEnd w:id="28"/>
    <w:p w14:paraId="040D151B">
      <w:pPr>
        <w:pStyle w:val="5"/>
      </w:pPr>
      <w:bookmarkStart w:id="29" w:name="qwen-based-log-semantic-representation"/>
      <w:r>
        <w:t>3.2.3 Qwen-Based Log Semantic Representation</w:t>
      </w:r>
    </w:p>
    <w:p w14:paraId="1F6B7A85">
      <w:pPr>
        <w:pStyle w:val="23"/>
      </w:pPr>
      <w:r>
        <w:t>Anomalous information in logs is not necessarily expressed through fixed keywords alone. It may also involve operation semantics, exception descriptions, and service-processing behavior. To complement the semantic information that cannot be fully represented by keyword statistics, this study uses large language model-based semantic representations as part of the service-node input features.</w:t>
      </w:r>
    </w:p>
    <w:p w14:paraId="0AA762AC">
      <w:pPr>
        <w:pStyle w:val="3"/>
      </w:pPr>
      <w:r>
        <w:t>According to the configuration file, the semantic representation pipeline uses Qwen2.5-7B-Instruct with Mean Pooling, a maximum input length of 512 tokens, the bfloat16 data type, and an embedding-generation batch size of 4. The configuration also specifies the local model path and revision identifier [11].</w:t>
      </w:r>
    </w:p>
    <w:p w14:paraId="615680EC">
      <w:pPr>
        <w:pStyle w:val="3"/>
      </w:pPr>
      <w:r>
        <w:t xml:space="preserve">Let the log semantic vector for service </w:t>
      </w:r>
      <m:oMath>
        <m:sSub>
          <m:sSubPr/>
          <m:e>
            <m:r>
              <m:rPr/>
              <m:t>v</m:t>
            </m:r>
          </m:e>
          <m:sub>
            <m:r>
              <m:rPr/>
              <m:t>i</m:t>
            </m:r>
          </m:sub>
        </m:sSub>
      </m:oMath>
      <w:r>
        <w:t xml:space="preserve"> in window </w:t>
      </w:r>
      <m:oMath>
        <m:r>
          <m:rPr/>
          <m:t>w</m:t>
        </m:r>
      </m:oMath>
      <w:r>
        <w:t xml:space="preserve"> be:</w:t>
      </w:r>
    </w:p>
    <w:p w14:paraId="6DCC74BA">
      <w:pPr>
        <w:pStyle w:val="3"/>
      </w:pPr>
      <m:oMathPara>
        <m:oMathParaPr>
          <m:jc m:val="center"/>
        </m:oMathParaPr>
        <m:oMath>
          <m:sSubSup>
            <m:sSubSupPr/>
            <m:e>
              <m:r>
                <m:rPr>
                  <m:sty m:val="b"/>
                </m:rPr>
                <m:t>e</m:t>
              </m:r>
            </m:e>
            <m:sub>
              <m:r>
                <m:rPr/>
                <m:t>i</m:t>
              </m:r>
            </m:sub>
            <m:sup>
              <m:r>
                <m:rPr/>
                <m:t>w</m:t>
              </m:r>
            </m:sup>
          </m:sSubSup>
          <m:r>
            <m:rPr>
              <m:sty m:val="p"/>
            </m:rPr>
            <m:t>∈</m:t>
          </m:r>
          <m:sSup>
            <m:sSupPr/>
            <m:e>
              <m:r>
                <m:rPr>
                  <m:sty m:val="p"/>
                  <m:scr m:val="double-struck"/>
                </m:rPr>
                <m:t>ℝ</m:t>
              </m:r>
            </m:e>
            <m:sup>
              <m:sSub>
                <m:sSubPr/>
                <m:e>
                  <m:r>
                    <m:rPr/>
                    <m:t>d</m:t>
                  </m:r>
                </m:e>
                <m:sub>
                  <m:r>
                    <m:rPr/>
                    <m:t>e</m:t>
                  </m:r>
                </m:sub>
              </m:sSub>
            </m:sup>
          </m:sSup>
        </m:oMath>
      </m:oMathPara>
    </w:p>
    <w:p w14:paraId="275EDB2F">
      <w:pPr>
        <w:pStyle w:val="23"/>
      </w:pPr>
      <w:r>
        <w:t xml:space="preserve">Here, </w:t>
      </w:r>
      <m:oMath>
        <m:sSub>
          <m:sSubPr/>
          <m:e>
            <m:r>
              <m:rPr/>
              <m:t>d</m:t>
            </m:r>
          </m:e>
          <m:sub>
            <m:r>
              <m:rPr/>
              <m:t>e</m:t>
            </m:r>
          </m:sub>
        </m:sSub>
      </m:oMath>
      <w:r>
        <w:t xml:space="preserve"> denotes the embedding dimension. According to the project implementation description, the semantic representation is obtained by mean pooling model hidden states. The graph-model loading program directly reads the precomputed embedding array. When the array is available, its shape determines the embedding dimension. If the embedding array is absent, the code uses 3584 as the default dimension and initializes unfilled semantic features to zero.</w:t>
      </w:r>
    </w:p>
    <w:p w14:paraId="4C106F29">
      <w:pPr>
        <w:pStyle w:val="3"/>
      </w:pPr>
      <w:r>
        <w:t>Therefore, 3584 is the default dimension used by the current loading code. Whether the embeddings used in a particular experiment are complete and have the expected dimension must be verified from the corresponding embedding files. Since the complete embedding-generation script has not been provided, this study does not make further assumptions about the specific hidden-state layer or the handling of special tokens.</w:t>
      </w:r>
    </w:p>
    <w:bookmarkEnd w:id="26"/>
    <w:bookmarkEnd w:id="29"/>
    <w:p w14:paraId="4D32CA72">
      <w:pPr>
        <w:pStyle w:val="4"/>
      </w:pPr>
      <w:bookmarkStart w:id="30" w:name="microservice-call-graph-construction"/>
      <w:r>
        <w:t>3.3 Microservice Call Graph Construction</w:t>
      </w:r>
    </w:p>
    <w:p w14:paraId="6FBF2B94">
      <w:pPr>
        <w:pStyle w:val="5"/>
      </w:pPr>
      <w:bookmarkStart w:id="31" w:name="graph-representation"/>
      <w:r>
        <w:t>3.3.1 Graph Representation</w:t>
      </w:r>
    </w:p>
    <w:p w14:paraId="7DC0C6CB">
      <w:pPr>
        <w:pStyle w:val="23"/>
      </w:pPr>
      <w:r>
        <w:t>Services in a microservice system typically cooperate through request-based calls. When a service becomes faulty, its effects may propagate along service-call relationships. This study therefore uses a service call graph to represent the structural relationships among microservices and uses service-level log information as node features.</w:t>
      </w:r>
    </w:p>
    <w:p w14:paraId="78DECD2C">
      <w:pPr>
        <w:pStyle w:val="3"/>
      </w:pPr>
      <w:r>
        <w:t xml:space="preserve">For time window </w:t>
      </w:r>
      <m:oMath>
        <m:r>
          <m:rPr/>
          <m:t>w</m:t>
        </m:r>
      </m:oMath>
      <w:r>
        <w:t>, the graph is represented as:</w:t>
      </w:r>
    </w:p>
    <w:p w14:paraId="3A15B12D">
      <w:pPr>
        <w:pStyle w:val="3"/>
      </w:pPr>
      <m:oMathPara>
        <m:oMathParaPr>
          <m:jc m:val="center"/>
        </m:oMathParaPr>
        <m:oMath>
          <m:sSub>
            <m:sSubPr/>
            <m:e>
              <m:r>
                <m:rPr/>
                <m:t>G</m:t>
              </m:r>
            </m:e>
            <m:sub>
              <m:r>
                <m:rPr/>
                <m:t>w</m:t>
              </m:r>
            </m:sub>
          </m:sSub>
          <m:r>
            <m:rPr>
              <m:sty m:val="p"/>
            </m:rPr>
            <m:t>=</m:t>
          </m:r>
          <m:d>
            <m:dPr>
              <m:sepChr m:val=""/>
            </m:dPr>
            <m:e>
              <m:sSub>
                <m:sSubPr/>
                <m:e>
                  <m:r>
                    <m:rPr/>
                    <m:t>V</m:t>
                  </m:r>
                </m:e>
                <m:sub>
                  <m:r>
                    <m:rPr/>
                    <m:t>w</m:t>
                  </m:r>
                </m:sub>
              </m:sSub>
              <m:r>
                <m:rPr>
                  <m:sty m:val="p"/>
                </m:rPr>
                <m:t>,</m:t>
              </m:r>
              <m:sSub>
                <m:sSubPr/>
                <m:e>
                  <m:r>
                    <m:rPr/>
                    <m:t>E</m:t>
                  </m:r>
                </m:e>
                <m:sub>
                  <m:r>
                    <m:rPr/>
                    <m:t>w</m:t>
                  </m:r>
                </m:sub>
              </m:sSub>
              <m:r>
                <m:rPr>
                  <m:sty m:val="p"/>
                </m:rPr>
                <m:t>,</m:t>
              </m:r>
              <m:sSub>
                <m:sSubPr/>
                <m:e>
                  <m:r>
                    <m:rPr/>
                    <m:t>X</m:t>
                  </m:r>
                </m:e>
                <m:sub>
                  <m:r>
                    <m:rPr/>
                    <m:t>w</m:t>
                  </m:r>
                </m:sub>
              </m:sSub>
            </m:e>
          </m:d>
        </m:oMath>
      </m:oMathPara>
    </w:p>
    <w:p w14:paraId="61A3496B">
      <w:pPr>
        <w:pStyle w:val="23"/>
      </w:pPr>
      <w:r>
        <w:t xml:space="preserve">Here, </w:t>
      </w:r>
      <m:oMath>
        <m:sSub>
          <m:sSubPr/>
          <m:e>
            <m:r>
              <m:rPr/>
              <m:t>V</m:t>
            </m:r>
          </m:e>
          <m:sub>
            <m:r>
              <m:rPr/>
              <m:t>w</m:t>
            </m:r>
          </m:sub>
        </m:sSub>
      </m:oMath>
      <w:r>
        <w:t xml:space="preserve"> is the set of service nodes in the current window, </w:t>
      </w:r>
      <m:oMath>
        <m:sSub>
          <m:sSubPr/>
          <m:e>
            <m:r>
              <m:rPr/>
              <m:t>E</m:t>
            </m:r>
          </m:e>
          <m:sub>
            <m:r>
              <m:rPr/>
              <m:t>w</m:t>
            </m:r>
          </m:sub>
        </m:sSub>
      </m:oMath>
      <w:r>
        <w:t xml:space="preserve"> is the set of service-call edges, and </w:t>
      </w:r>
      <m:oMath>
        <m:sSub>
          <m:sSubPr/>
          <m:e>
            <m:r>
              <m:rPr/>
              <m:t>X</m:t>
            </m:r>
          </m:e>
          <m:sub>
            <m:r>
              <m:rPr/>
              <m:t>w</m:t>
            </m:r>
          </m:sub>
        </m:sSub>
      </m:oMath>
      <w:r>
        <w:t xml:space="preserve"> is the node feature matrix.</w:t>
      </w:r>
    </w:p>
    <w:p w14:paraId="143824E3">
      <w:pPr>
        <w:pStyle w:val="3"/>
      </w:pPr>
      <w:r>
        <w:t xml:space="preserve">If the window contains </w:t>
      </w:r>
      <m:oMath>
        <m:sSub>
          <m:sSubPr/>
          <m:e>
            <m:r>
              <m:rPr/>
              <m:t>N</m:t>
            </m:r>
          </m:e>
          <m:sub>
            <m:r>
              <m:rPr/>
              <m:t>w</m:t>
            </m:r>
          </m:sub>
        </m:sSub>
      </m:oMath>
      <w:r>
        <w:t xml:space="preserve"> service nodes, then:</w:t>
      </w:r>
    </w:p>
    <w:p w14:paraId="5E470A9A">
      <w:pPr>
        <w:pStyle w:val="3"/>
      </w:pPr>
      <m:oMathPara>
        <m:oMathParaPr>
          <m:jc m:val="center"/>
        </m:oMathParaPr>
        <m:oMath>
          <m:sSub>
            <m:sSubPr/>
            <m:e>
              <m:r>
                <m:rPr/>
                <m:t>X</m:t>
              </m:r>
            </m:e>
            <m:sub>
              <m:r>
                <m:rPr/>
                <m:t>w</m:t>
              </m:r>
            </m:sub>
          </m:sSub>
          <m:r>
            <m:rPr>
              <m:sty m:val="p"/>
            </m:rPr>
            <m:t>∈</m:t>
          </m:r>
          <m:sSup>
            <m:sSupPr/>
            <m:e>
              <m:r>
                <m:rPr>
                  <m:sty m:val="p"/>
                  <m:scr m:val="double-struck"/>
                </m:rPr>
                <m:t>ℝ</m:t>
              </m:r>
            </m:e>
            <m:sup>
              <m:sSub>
                <m:sSubPr/>
                <m:e>
                  <m:r>
                    <m:rPr/>
                    <m:t>N</m:t>
                  </m:r>
                </m:e>
                <m:sub>
                  <m:r>
                    <m:rPr/>
                    <m:t>w</m:t>
                  </m:r>
                </m:sub>
              </m:sSub>
              <m:r>
                <m:rPr>
                  <m:sty m:val="p"/>
                </m:rPr>
                <m:t>×</m:t>
              </m:r>
              <m:d>
                <m:dPr>
                  <m:sepChr m:val=""/>
                </m:dPr>
                <m:e>
                  <m:sSub>
                    <m:sSubPr/>
                    <m:e>
                      <m:r>
                        <m:rPr/>
                        <m:t>d</m:t>
                      </m:r>
                    </m:e>
                    <m:sub>
                      <m:r>
                        <m:rPr/>
                        <m:t>e</m:t>
                      </m:r>
                    </m:sub>
                  </m:sSub>
                  <m:r>
                    <m:rPr>
                      <m:sty m:val="p"/>
                    </m:rPr>
                    <m:t>+</m:t>
                  </m:r>
                  <m:r>
                    <m:rPr/>
                    <m:t>3</m:t>
                  </m:r>
                </m:e>
              </m:d>
            </m:sup>
          </m:sSup>
        </m:oMath>
      </m:oMathPara>
    </w:p>
    <w:p w14:paraId="7BAA0A4A">
      <w:pPr>
        <w:pStyle w:val="23"/>
      </w:pPr>
      <w:r>
        <w:t xml:space="preserve">Here, </w:t>
      </w:r>
      <m:oMath>
        <m:sSub>
          <m:sSubPr/>
          <m:e>
            <m:r>
              <m:rPr/>
              <m:t>d</m:t>
            </m:r>
          </m:e>
          <m:sub>
            <m:r>
              <m:rPr/>
              <m:t>e</m:t>
            </m:r>
          </m:sub>
        </m:sSub>
      </m:oMath>
      <w:r>
        <w:t xml:space="preserve"> is the dimension of the log semantic vector. The additional three dimensions represent the logarithmically transformed log count, error-log ratio, and warning-log ratio. Each window corresponds to a graph snapshot representing the services and their call relationships within that time interval.</w:t>
      </w:r>
    </w:p>
    <w:bookmarkEnd w:id="31"/>
    <w:p w14:paraId="7CA4C858">
      <w:pPr>
        <w:pStyle w:val="5"/>
      </w:pPr>
      <w:bookmarkStart w:id="32" w:name="Xec1554ab1b168c0524c8bc8ed4c4d723d76e474"/>
      <w:r>
        <w:t>3.3.2 Extracting Call Relationships from Trace Data</w:t>
      </w:r>
    </w:p>
    <w:p w14:paraId="55073943">
      <w:pPr>
        <w:pStyle w:val="23"/>
      </w:pPr>
      <w:r>
        <w:t>The current implementation reads fields from Trace data, including trace identifiers, Span identifiers, parent Span identifiers, service names, start times, and status codes. The program first maps Span identifiers to service names and then uses parent Span identifiers to identify caller services. Cross-service calls are retained when both the caller and callee are known and represent different services.</w:t>
      </w:r>
    </w:p>
    <w:p w14:paraId="5BA349C0">
      <w:pPr>
        <w:pStyle w:val="3"/>
      </w:pPr>
      <w:r>
        <w:t xml:space="preserve">Let </w:t>
      </w:r>
      <m:oMath>
        <m:sSub>
          <m:sSubPr/>
          <m:e>
            <m:r>
              <m:rPr/>
              <m:t>v</m:t>
            </m:r>
          </m:e>
          <m:sub>
            <m:r>
              <m:rPr/>
              <m:t>i</m:t>
            </m:r>
          </m:sub>
        </m:sSub>
      </m:oMath>
      <w:r>
        <w:t xml:space="preserve"> be the caller and </w:t>
      </w:r>
      <m:oMath>
        <m:sSub>
          <m:sSubPr/>
          <m:e>
            <m:r>
              <m:rPr/>
              <m:t>v</m:t>
            </m:r>
          </m:e>
          <m:sub>
            <m:r>
              <m:rPr/>
              <m:t>j</m:t>
            </m:r>
          </m:sub>
        </m:sSub>
      </m:oMath>
      <w:r>
        <w:t xml:space="preserve"> the callee. A call edge in window </w:t>
      </w:r>
      <m:oMath>
        <m:r>
          <m:rPr/>
          <m:t>w</m:t>
        </m:r>
      </m:oMath>
      <w:r>
        <w:t xml:space="preserve"> is represented as:</w:t>
      </w:r>
    </w:p>
    <w:p w14:paraId="6B2C3C56">
      <w:pPr>
        <w:pStyle w:val="3"/>
      </w:pPr>
      <m:oMathPara>
        <m:oMathParaPr>
          <m:jc m:val="center"/>
        </m:oMathParaPr>
        <m:oMath>
          <m:sSub>
            <m:sSubPr/>
            <m:e>
              <m:r>
                <m:rPr/>
                <m:t>E</m:t>
              </m:r>
            </m:e>
            <m:sub>
              <m:r>
                <m:rPr/>
                <m:t>w</m:t>
              </m:r>
            </m:sub>
          </m:sSub>
          <m:r>
            <m:rPr>
              <m:sty m:val="p"/>
            </m:rPr>
            <m:t>={</m:t>
          </m:r>
          <m:d>
            <m:dPr>
              <m:sepChr m:val=""/>
            </m:dPr>
            <m:e>
              <m:sSub>
                <m:sSubPr/>
                <m:e>
                  <m:r>
                    <m:rPr/>
                    <m:t>v</m:t>
                  </m:r>
                </m:e>
                <m:sub>
                  <m:r>
                    <m:rPr/>
                    <m:t>i</m:t>
                  </m:r>
                </m:sub>
              </m:sSub>
              <m:r>
                <m:rPr>
                  <m:sty m:val="p"/>
                </m:rPr>
                <m:t>,</m:t>
              </m:r>
              <m:sSub>
                <m:sSubPr/>
                <m:e>
                  <m:r>
                    <m:rPr/>
                    <m:t>v</m:t>
                  </m:r>
                </m:e>
                <m:sub>
                  <m:r>
                    <m:rPr/>
                    <m:t>j</m:t>
                  </m:r>
                </m:sub>
              </m:sSub>
            </m:e>
          </m:d>
          <m:r>
            <m:rPr>
              <m:sty m:val="p"/>
            </m:rPr>
            <m:t>∣</m:t>
          </m:r>
          <m:sSub>
            <m:sSubPr/>
            <m:e>
              <m:r>
                <m:rPr/>
                <m:t>v</m:t>
              </m:r>
            </m:e>
            <m:sub>
              <m:r>
                <m:rPr/>
                <m:t>i</m:t>
              </m:r>
            </m:sub>
          </m:sSub>
          <m:r>
            <m:rPr>
              <m:nor/>
              <m:sty m:val="p"/>
            </m:rPr>
            <w:rPr>
              <w:b w:val="0"/>
              <w:i w:val="0"/>
            </w:rPr>
            <m:t>calls</m:t>
          </m:r>
          <m:sSub>
            <m:sSubPr/>
            <m:e>
              <m:r>
                <m:rPr/>
                <m:t>v</m:t>
              </m:r>
            </m:e>
            <m:sub>
              <m:r>
                <m:rPr/>
                <m:t>j</m:t>
              </m:r>
            </m:sub>
          </m:sSub>
          <m:r>
            <m:rPr>
              <m:nor/>
              <m:sty m:val="p"/>
            </m:rPr>
            <w:rPr>
              <w:b w:val="0"/>
              <w:i w:val="0"/>
            </w:rPr>
            <m:t>in window</m:t>
          </m:r>
          <m:r>
            <m:rPr/>
            <m:t>w</m:t>
          </m:r>
          <m:r>
            <m:rPr>
              <m:sty m:val="p"/>
            </m:rPr>
            <m:t>}</m:t>
          </m:r>
        </m:oMath>
      </m:oMathPara>
    </w:p>
    <w:p w14:paraId="65167BD3">
      <w:pPr>
        <w:pStyle w:val="23"/>
      </w:pPr>
      <w:r>
        <w:t xml:space="preserve">The program assigns call records to time windows according to Trace start times and aggregates them by window, caller, and callee. The resulting edge table provides the source and target nodes required to construct the graph neural network’s </w:t>
      </w:r>
      <w:r>
        <w:rPr>
          <w:rStyle w:val="37"/>
        </w:rPr>
        <w:t>edge_index</w:t>
      </w:r>
      <w:r>
        <w:t>.</w:t>
      </w:r>
    </w:p>
    <w:p w14:paraId="65212F6A">
      <w:pPr>
        <w:pStyle w:val="3"/>
      </w:pPr>
      <w:r>
        <w:t>Although the preprocessing program also calculates call counts and statistics related to certain error status codes, the current graph model does not use these statistics as explicit edge weights or edge features. The implemented model therefore represents service dependencies through graph connectivity rather than through weighted-edge feature modeling.</w:t>
      </w:r>
    </w:p>
    <w:bookmarkEnd w:id="32"/>
    <w:p w14:paraId="1A08F2FD">
      <w:pPr>
        <w:pStyle w:val="5"/>
      </w:pPr>
      <w:bookmarkStart w:id="33" w:name="node-feature-integration"/>
      <w:r>
        <w:t>3.3.3 Node Feature Integration</w:t>
      </w:r>
    </w:p>
    <w:p w14:paraId="72563851">
      <w:pPr>
        <w:pStyle w:val="23"/>
      </w:pPr>
      <w:r>
        <w:t>After graph construction, the program concatenates each service’s log semantic vector with three statistical features to obtain the final node input representation:</w:t>
      </w:r>
    </w:p>
    <w:p w14:paraId="2242266A">
      <w:pPr>
        <w:pStyle w:val="3"/>
      </w:pPr>
      <m:oMathPara>
        <m:oMathParaPr>
          <m:jc m:val="center"/>
        </m:oMathParaPr>
        <m:oMath>
          <m:sSubSup>
            <m:sSubSupPr/>
            <m:e>
              <m:r>
                <m:rPr>
                  <m:sty m:val="b"/>
                </m:rPr>
                <m:t>x</m:t>
              </m:r>
            </m:e>
            <m:sub>
              <m:r>
                <m:rPr/>
                <m:t>i</m:t>
              </m:r>
            </m:sub>
            <m:sup>
              <m:r>
                <m:rPr/>
                <m:t>w</m:t>
              </m:r>
            </m:sup>
          </m:sSubSup>
          <m:r>
            <m:rPr>
              <m:sty m:val="p"/>
            </m:rPr>
            <m:t>=</m:t>
          </m:r>
          <m:d>
            <m:dPr>
              <m:begChr m:val="["/>
              <m:sepChr m:val=""/>
              <m:endChr m:val="]"/>
            </m:dPr>
            <m:e>
              <m:sSubSup>
                <m:sSubSupPr/>
                <m:e>
                  <m:r>
                    <m:rPr>
                      <m:sty m:val="b"/>
                    </m:rPr>
                    <m:t>e</m:t>
                  </m:r>
                </m:e>
                <m:sub>
                  <m:r>
                    <m:rPr/>
                    <m:t>i</m:t>
                  </m:r>
                </m:sub>
                <m:sup>
                  <m:r>
                    <m:rPr/>
                    <m:t>w</m:t>
                  </m:r>
                </m:sup>
              </m:sSubSup>
              <m:r>
                <m:rPr>
                  <m:sty m:val="p"/>
                </m:rPr>
                <m:t>‖log</m:t>
              </m:r>
              <m:d>
                <m:dPr>
                  <m:sepChr m:val=""/>
                </m:dPr>
                <m:e>
                  <m:r>
                    <m:rPr/>
                    <m:t>1</m:t>
                  </m:r>
                  <m:r>
                    <m:rPr>
                      <m:sty m:val="p"/>
                    </m:rPr>
                    <m:t>+</m:t>
                  </m:r>
                  <m:sSubSup>
                    <m:sSubSupPr/>
                    <m:e>
                      <m:r>
                        <m:rPr/>
                        <m:t>n</m:t>
                      </m:r>
                    </m:e>
                    <m:sub>
                      <m:r>
                        <m:rPr/>
                        <m:t>i</m:t>
                      </m:r>
                    </m:sub>
                    <m:sup>
                      <m:r>
                        <m:rPr/>
                        <m:t>w</m:t>
                      </m:r>
                    </m:sup>
                  </m:sSubSup>
                </m:e>
              </m:d>
              <m:r>
                <m:rPr>
                  <m:sty m:val="p"/>
                </m:rPr>
                <m:t>‖</m:t>
              </m:r>
              <m:sSubSup>
                <m:sSubSupPr/>
                <m:e>
                  <m:r>
                    <m:rPr/>
                    <m:t>r</m:t>
                  </m:r>
                </m:e>
                <m:sub>
                  <m:r>
                    <m:rPr/>
                    <m:t>i</m:t>
                  </m:r>
                  <m:r>
                    <m:rPr>
                      <m:sty m:val="p"/>
                    </m:rPr>
                    <m:t>,err</m:t>
                  </m:r>
                </m:sub>
                <m:sup>
                  <m:r>
                    <m:rPr/>
                    <m:t>w</m:t>
                  </m:r>
                </m:sup>
              </m:sSubSup>
              <m:r>
                <m:rPr>
                  <m:sty m:val="p"/>
                </m:rPr>
                <m:t>‖</m:t>
              </m:r>
              <m:sSubSup>
                <m:sSubSupPr/>
                <m:e>
                  <m:r>
                    <m:rPr/>
                    <m:t>r</m:t>
                  </m:r>
                </m:e>
                <m:sub>
                  <m:r>
                    <m:rPr/>
                    <m:t>i</m:t>
                  </m:r>
                  <m:r>
                    <m:rPr>
                      <m:sty m:val="p"/>
                    </m:rPr>
                    <m:t>,warn</m:t>
                  </m:r>
                </m:sub>
                <m:sup>
                  <m:r>
                    <m:rPr/>
                    <m:t>w</m:t>
                  </m:r>
                </m:sup>
              </m:sSubSup>
            </m:e>
          </m:d>
        </m:oMath>
      </m:oMathPara>
    </w:p>
    <w:p w14:paraId="3D74DB86">
      <w:pPr>
        <w:pStyle w:val="23"/>
      </w:pPr>
      <w:r>
        <w:t xml:space="preserve">Here, </w:t>
      </w:r>
      <m:oMath>
        <m:r>
          <m:rPr>
            <m:sty m:val="p"/>
          </m:rPr>
          <m:t>‖</m:t>
        </m:r>
      </m:oMath>
      <w:r>
        <w:t xml:space="preserve"> denotes vector concatenation. The term </w:t>
      </w:r>
      <m:oMath>
        <m:r>
          <m:rPr>
            <m:sty m:val="p"/>
          </m:rPr>
          <m:t>log</m:t>
        </m:r>
        <m:d>
          <m:dPr>
            <m:sepChr m:val=""/>
          </m:dPr>
          <m:e>
            <m:r>
              <m:rPr/>
              <m:t>1</m:t>
            </m:r>
            <m:r>
              <m:rPr>
                <m:sty m:val="p"/>
              </m:rPr>
              <m:t>+</m:t>
            </m:r>
            <m:sSubSup>
              <m:sSubSupPr/>
              <m:e>
                <m:r>
                  <m:rPr/>
                  <m:t>n</m:t>
                </m:r>
              </m:e>
              <m:sub>
                <m:r>
                  <m:rPr/>
                  <m:t>i</m:t>
                </m:r>
              </m:sub>
              <m:sup>
                <m:r>
                  <m:rPr/>
                  <m:t>w</m:t>
                </m:r>
              </m:sup>
            </m:sSubSup>
          </m:e>
        </m:d>
      </m:oMath>
      <w:r>
        <w:t xml:space="preserve"> reduces the numerical scale associated with large log counts, while the error-log and warning-log ratios provide additional statistics about the service’s logging activity in the current window.</w:t>
      </w:r>
    </w:p>
    <w:p w14:paraId="679ADBF7">
      <w:pPr>
        <w:pStyle w:val="3"/>
      </w:pPr>
      <w:r>
        <w:t xml:space="preserve">The node feature vectors are arranged in node order to form the feature matrix </w:t>
      </w:r>
      <m:oMath>
        <m:sSub>
          <m:sSubPr/>
          <m:e>
            <m:r>
              <m:rPr/>
              <m:t>X</m:t>
            </m:r>
          </m:e>
          <m:sub>
            <m:r>
              <m:rPr/>
              <m:t>w</m:t>
            </m:r>
          </m:sub>
        </m:sSub>
      </m:oMath>
      <w:r>
        <w:t>. The node feature matrix and call-edge index are then jointly supplied to the graph neural network. This representation enables the model to learn from both service-level log characteristics and service-call relationships.</w:t>
      </w:r>
    </w:p>
    <w:bookmarkEnd w:id="30"/>
    <w:bookmarkEnd w:id="33"/>
    <w:p w14:paraId="21667262">
      <w:pPr>
        <w:pStyle w:val="4"/>
      </w:pPr>
      <w:bookmarkStart w:id="34" w:name="X834cc6d715275aac900b617ef9bd7a1d23a51ab"/>
      <w:r>
        <w:t>3.4 Joint Modeling with Graph Neural Networks</w:t>
      </w:r>
    </w:p>
    <w:p w14:paraId="014CAAFF">
      <w:pPr>
        <w:pStyle w:val="5"/>
      </w:pPr>
      <w:bookmarkStart w:id="35" w:name="graph-neural-network-encoder"/>
      <w:r>
        <w:t>3.4.1 Graph Neural Network Encoder</w:t>
      </w:r>
    </w:p>
    <w:p w14:paraId="2A40B192">
      <w:pPr>
        <w:pStyle w:val="23"/>
      </w:pPr>
      <w:r>
        <w:t>To compare different graph information aggregation mechanisms for anomaly detection and root cause localization, this study uses GCN, GAT, and GATv2 as alternative graph encoders. GCN updates node representations by propagating neighborhood information through the graph structure [8]. GAT performs weighted aggregation of neighboring information through an attention mechanism [9]. GATv2 employs a modified graph-attention calculation mechanism [10].</w:t>
      </w:r>
    </w:p>
    <w:p w14:paraId="4391DE06">
      <w:pPr>
        <w:pStyle w:val="3"/>
      </w:pPr>
      <w:r>
        <w:t>First, the input node features are projected into a common hidden dimension:</w:t>
      </w:r>
    </w:p>
    <w:p w14:paraId="4163799C">
      <w:pPr>
        <w:pStyle w:val="3"/>
      </w:pPr>
      <m:oMathPara>
        <m:oMathParaPr>
          <m:jc m:val="center"/>
        </m:oMathParaPr>
        <m:oMath>
          <m:sSubSup>
            <m:sSubSupPr/>
            <m:e>
              <m:r>
                <m:rPr/>
                <m:t>H</m:t>
              </m:r>
            </m:e>
            <m:sub>
              <m:r>
                <m:rPr/>
                <m:t>w</m:t>
              </m:r>
            </m:sub>
            <m:sup>
              <m:d>
                <m:dPr>
                  <m:sepChr m:val=""/>
                </m:dPr>
                <m:e>
                  <m:r>
                    <m:rPr/>
                    <m:t>0</m:t>
                  </m:r>
                </m:e>
              </m:d>
            </m:sup>
          </m:sSubSup>
          <m:r>
            <m:rPr>
              <m:sty m:val="p"/>
            </m:rPr>
            <m:t>=ReLU</m:t>
          </m:r>
          <m:d>
            <m:dPr>
              <m:sepChr m:val=""/>
            </m:dPr>
            <m:e>
              <m:sSub>
                <m:sSubPr/>
                <m:e>
                  <m:r>
                    <m:rPr/>
                    <m:t>X</m:t>
                  </m:r>
                </m:e>
                <m:sub>
                  <m:r>
                    <m:rPr/>
                    <m:t>w</m:t>
                  </m:r>
                </m:sub>
              </m:sSub>
              <m:sSub>
                <m:sSubPr/>
                <m:e>
                  <m:r>
                    <m:rPr/>
                    <m:t>W</m:t>
                  </m:r>
                </m:e>
                <m:sub>
                  <m:r>
                    <m:rPr/>
                    <m:t>p</m:t>
                  </m:r>
                </m:sub>
              </m:sSub>
              <m:r>
                <m:rPr>
                  <m:sty m:val="p"/>
                </m:rPr>
                <m:t>+</m:t>
              </m:r>
              <m:sSub>
                <m:sSubPr/>
                <m:e>
                  <m:r>
                    <m:rPr/>
                    <m:t>b</m:t>
                  </m:r>
                </m:e>
                <m:sub>
                  <m:r>
                    <m:rPr/>
                    <m:t>p</m:t>
                  </m:r>
                </m:sub>
              </m:sSub>
            </m:e>
          </m:d>
        </m:oMath>
      </m:oMathPara>
    </w:p>
    <w:p w14:paraId="2C8076B7">
      <w:pPr>
        <w:pStyle w:val="23"/>
      </w:pPr>
      <w:r>
        <w:t xml:space="preserve">Here, </w:t>
      </w:r>
      <m:oMath>
        <m:sSub>
          <m:sSubPr/>
          <m:e>
            <m:r>
              <m:rPr/>
              <m:t>W</m:t>
            </m:r>
          </m:e>
          <m:sub>
            <m:r>
              <m:rPr/>
              <m:t>p</m:t>
            </m:r>
          </m:sub>
        </m:sSub>
      </m:oMath>
      <w:r>
        <w:t xml:space="preserve"> and </w:t>
      </w:r>
      <m:oMath>
        <m:sSub>
          <m:sSubPr/>
          <m:e>
            <m:r>
              <m:rPr/>
              <m:t>b</m:t>
            </m:r>
          </m:e>
          <m:sub>
            <m:r>
              <m:rPr/>
              <m:t>p</m:t>
            </m:r>
          </m:sub>
        </m:sSub>
      </m:oMath>
      <w:r>
        <w:t xml:space="preserve"> denote the weight matrix and bias of the linear projection layer, respectively. According to the final configuration file provided, the hidden dimension is 256, the number of graph neural network layers is 2, the number of attention heads is 4, and the dropout rate is 0.2.</w:t>
      </w:r>
    </w:p>
    <w:p w14:paraId="446D63BA">
      <w:pPr>
        <w:pStyle w:val="3"/>
      </w:pPr>
      <w:r>
        <w:t xml:space="preserve">At layer </w:t>
      </w:r>
      <m:oMath>
        <m:r>
          <m:rPr/>
          <m:t>l</m:t>
        </m:r>
      </m:oMath>
      <w:r>
        <w:t>, a graph convolution or graph attention operation updates the node representations using node features and call edges:</w:t>
      </w:r>
    </w:p>
    <w:p w14:paraId="2C90DA7D">
      <w:pPr>
        <w:pStyle w:val="3"/>
      </w:pPr>
      <m:oMathPara>
        <m:oMathParaPr>
          <m:jc m:val="center"/>
        </m:oMathParaPr>
        <m:oMath>
          <m:sSubSup>
            <m:sSubSupPr/>
            <m:e>
              <m:acc>
                <m:accPr>
                  <m:chr m:val="̃"/>
                </m:accPr>
                <m:e>
                  <m:r>
                    <m:rPr/>
                    <m:t>H</m:t>
                  </m:r>
                </m:e>
              </m:acc>
            </m:e>
            <m:sub>
              <m:r>
                <m:rPr/>
                <m:t>w</m:t>
              </m:r>
            </m:sub>
            <m:sup>
              <m:d>
                <m:dPr>
                  <m:sepChr m:val=""/>
                </m:dPr>
                <m:e>
                  <m:r>
                    <m:rPr/>
                    <m:t>l</m:t>
                  </m:r>
                </m:e>
              </m:d>
            </m:sup>
          </m:sSubSup>
          <m:r>
            <m:rPr>
              <m:sty m:val="p"/>
            </m:rPr>
            <m:t>=</m:t>
          </m:r>
          <m:sSup>
            <m:sSupPr/>
            <m:e>
              <m:r>
                <m:rPr>
                  <m:sty m:val="p"/>
                </m:rPr>
                <m:t>GraphConv</m:t>
              </m:r>
            </m:e>
            <m:sup>
              <m:d>
                <m:dPr>
                  <m:sepChr m:val=""/>
                </m:dPr>
                <m:e>
                  <m:r>
                    <m:rPr/>
                    <m:t>l</m:t>
                  </m:r>
                </m:e>
              </m:d>
            </m:sup>
          </m:sSup>
          <m:d>
            <m:dPr>
              <m:sepChr m:val=""/>
            </m:dPr>
            <m:e>
              <m:sSubSup>
                <m:sSubSupPr/>
                <m:e>
                  <m:r>
                    <m:rPr/>
                    <m:t>H</m:t>
                  </m:r>
                </m:e>
                <m:sub>
                  <m:r>
                    <m:rPr/>
                    <m:t>w</m:t>
                  </m:r>
                </m:sub>
                <m:sup>
                  <m:d>
                    <m:dPr>
                      <m:sepChr m:val=""/>
                    </m:dPr>
                    <m:e>
                      <m:r>
                        <m:rPr/>
                        <m:t>l</m:t>
                      </m:r>
                      <m:r>
                        <m:rPr>
                          <m:sty m:val="p"/>
                        </m:rPr>
                        <m:t>−</m:t>
                      </m:r>
                      <m:r>
                        <m:rPr/>
                        <m:t>1</m:t>
                      </m:r>
                    </m:e>
                  </m:d>
                </m:sup>
              </m:sSubSup>
              <m:r>
                <m:rPr>
                  <m:sty m:val="p"/>
                </m:rPr>
                <m:t>,</m:t>
              </m:r>
              <m:sSub>
                <m:sSubPr/>
                <m:e>
                  <m:r>
                    <m:rPr/>
                    <m:t>E</m:t>
                  </m:r>
                </m:e>
                <m:sub>
                  <m:r>
                    <m:rPr/>
                    <m:t>w</m:t>
                  </m:r>
                </m:sub>
              </m:sSub>
            </m:e>
          </m:d>
        </m:oMath>
      </m:oMathPara>
    </w:p>
    <w:p w14:paraId="36AACE1F">
      <w:pPr>
        <w:pStyle w:val="23"/>
      </w:pPr>
      <w:r>
        <w:t>The program then applies ReLU, LayerNorm, and Dropout in sequence:</w:t>
      </w:r>
    </w:p>
    <w:p w14:paraId="3588B55B">
      <w:pPr>
        <w:pStyle w:val="3"/>
      </w:pPr>
      <m:oMathPara>
        <m:oMathParaPr>
          <m:jc m:val="center"/>
        </m:oMathParaPr>
        <m:oMath>
          <m:sSubSup>
            <m:sSubSupPr/>
            <m:e>
              <m:r>
                <m:rPr/>
                <m:t>H</m:t>
              </m:r>
            </m:e>
            <m:sub>
              <m:r>
                <m:rPr/>
                <m:t>w</m:t>
              </m:r>
            </m:sub>
            <m:sup>
              <m:d>
                <m:dPr>
                  <m:sepChr m:val=""/>
                </m:dPr>
                <m:e>
                  <m:r>
                    <m:rPr/>
                    <m:t>l</m:t>
                  </m:r>
                </m:e>
              </m:d>
            </m:sup>
          </m:sSubSup>
          <m:r>
            <m:rPr>
              <m:sty m:val="p"/>
            </m:rPr>
            <m:t>=Dropout</m:t>
          </m:r>
          <m:d>
            <m:dPr>
              <m:sepChr m:val=""/>
            </m:dPr>
            <m:e>
              <m:r>
                <m:rPr>
                  <m:sty m:val="p"/>
                </m:rPr>
                <m:t>LayerNorm</m:t>
              </m:r>
              <m:d>
                <m:dPr>
                  <m:sepChr m:val=""/>
                </m:dPr>
                <m:e>
                  <m:r>
                    <m:rPr>
                      <m:sty m:val="p"/>
                    </m:rPr>
                    <m:t>ReLU</m:t>
                  </m:r>
                  <m:d>
                    <m:dPr>
                      <m:sepChr m:val=""/>
                    </m:dPr>
                    <m:e>
                      <m:sSubSup>
                        <m:sSubSupPr/>
                        <m:e>
                          <m:acc>
                            <m:accPr>
                              <m:chr m:val="̃"/>
                            </m:accPr>
                            <m:e>
                              <m:r>
                                <m:rPr/>
                                <m:t>H</m:t>
                              </m:r>
                            </m:e>
                          </m:acc>
                        </m:e>
                        <m:sub>
                          <m:r>
                            <m:rPr/>
                            <m:t>w</m:t>
                          </m:r>
                        </m:sub>
                        <m:sup>
                          <m:d>
                            <m:dPr>
                              <m:sepChr m:val=""/>
                            </m:dPr>
                            <m:e>
                              <m:r>
                                <m:rPr/>
                                <m:t>l</m:t>
                              </m:r>
                            </m:e>
                          </m:d>
                        </m:sup>
                      </m:sSubSup>
                    </m:e>
                  </m:d>
                </m:e>
              </m:d>
            </m:e>
          </m:d>
        </m:oMath>
      </m:oMathPara>
    </w:p>
    <w:p w14:paraId="0D004537">
      <w:pPr>
        <w:pStyle w:val="23"/>
      </w:pPr>
      <w:r>
        <w:t xml:space="preserve">Here, </w:t>
      </w:r>
      <m:oMath>
        <m:sSup>
          <m:sSupPr/>
          <m:e>
            <m:r>
              <m:rPr>
                <m:sty m:val="p"/>
              </m:rPr>
              <m:t>GraphConv</m:t>
            </m:r>
          </m:e>
          <m:sup>
            <m:d>
              <m:dPr>
                <m:sepChr m:val=""/>
              </m:dPr>
              <m:e>
                <m:r>
                  <m:rPr/>
                  <m:t>l</m:t>
                </m:r>
              </m:e>
            </m:d>
          </m:sup>
        </m:sSup>
      </m:oMath>
      <w:r>
        <w:t xml:space="preserve"> corresponds to GCNConv, GATConv, or GATv2Conv according to the selected model. For GAT and GATv2, the code uses four attention heads and sets </w:t>
      </w:r>
      <w:r>
        <w:rPr>
          <w:rStyle w:val="37"/>
        </w:rPr>
        <w:t>concat=False</w:t>
      </w:r>
      <w:r>
        <w:t>; thus, the multi-head outputs are not concatenated directly along the feature dimension.</w:t>
      </w:r>
    </w:p>
    <w:p w14:paraId="55E8BE6B">
      <w:pPr>
        <w:pStyle w:val="3"/>
      </w:pPr>
      <w:r>
        <w:t>After two layers of graph information propagation, the node representations contain both the services’ own input features and neighborhood information. These representations are passed to the graph-level anomaly detection head and the node-level root cause localization head.</w:t>
      </w:r>
    </w:p>
    <w:bookmarkEnd w:id="35"/>
    <w:p w14:paraId="4B29A19C">
      <w:pPr>
        <w:pStyle w:val="5"/>
      </w:pPr>
      <w:bookmarkStart w:id="36" w:name="graph-level-anomaly-detection-branch"/>
      <w:r>
        <w:t>3.4.2 Graph-Level Anomaly Detection Branch</w:t>
      </w:r>
    </w:p>
    <w:p w14:paraId="2542C3C8">
      <w:pPr>
        <w:pStyle w:val="23"/>
      </w:pPr>
      <w:r>
        <w:t>The anomaly detection task determines whether the current microservice graph snapshot is anomalous. After graph encoding, the program aggregates the node representations within each graph using global mean pooling:</w:t>
      </w:r>
    </w:p>
    <w:p w14:paraId="4143F450">
      <w:pPr>
        <w:pStyle w:val="3"/>
      </w:pPr>
      <m:oMathPara>
        <m:oMathParaPr>
          <m:jc m:val="center"/>
        </m:oMathParaPr>
        <m:oMath>
          <m:sSubSup>
            <m:sSubSupPr/>
            <m:e>
              <m:r>
                <m:rPr>
                  <m:sty m:val="b"/>
                </m:rPr>
                <m:t>h</m:t>
              </m:r>
            </m:e>
            <m:sub>
              <m:r>
                <m:rPr/>
                <m:t>w</m:t>
              </m:r>
            </m:sub>
            <m:sup>
              <m:r>
                <m:rPr/>
                <m:t>G</m:t>
              </m:r>
            </m:sup>
          </m:sSubSup>
          <m:r>
            <m:rPr>
              <m:sty m:val="p"/>
            </m:rPr>
            <m:t>=</m:t>
          </m:r>
          <m:f>
            <m:fPr/>
            <m:num>
              <m:r>
                <m:rPr/>
                <m:t>1</m:t>
              </m:r>
            </m:num>
            <m:den>
              <m:d>
                <m:dPr>
                  <m:begChr m:val="|"/>
                  <m:sepChr m:val=""/>
                  <m:endChr m:val="|"/>
                </m:dPr>
                <m:e>
                  <m:sSub>
                    <m:sSubPr/>
                    <m:e>
                      <m:r>
                        <m:rPr/>
                        <m:t>V</m:t>
                      </m:r>
                    </m:e>
                    <m:sub>
                      <m:r>
                        <m:rPr/>
                        <m:t>w</m:t>
                      </m:r>
                    </m:sub>
                  </m:sSub>
                </m:e>
              </m:d>
            </m:den>
          </m:f>
          <m:nary>
            <m:naryPr>
              <m:chr m:val="∑"/>
              <m:limLoc m:val="undOvr"/>
              <m:supHide m:val="1"/>
            </m:naryPr>
            <m:sub>
              <m:sSub>
                <m:sSubPr/>
                <m:e>
                  <m:r>
                    <m:rPr/>
                    <m:t>v</m:t>
                  </m:r>
                </m:e>
                <m:sub>
                  <m:r>
                    <m:rPr/>
                    <m:t>i</m:t>
                  </m:r>
                </m:sub>
              </m:sSub>
              <m:r>
                <m:rPr>
                  <m:sty m:val="p"/>
                </m:rPr>
                <m:t>∈</m:t>
              </m:r>
              <m:sSub>
                <m:sSubPr/>
                <m:e>
                  <m:r>
                    <m:rPr/>
                    <m:t>V</m:t>
                  </m:r>
                </m:e>
                <m:sub>
                  <m:r>
                    <m:rPr/>
                    <m:t>w</m:t>
                  </m:r>
                </m:sub>
              </m:sSub>
            </m:sub>
            <m:sup>
              <m:r>
                <m:rPr/>
                <m:t>​</m:t>
              </m:r>
            </m:sup>
            <m:e>
              <m:sSubSup>
                <m:sSubSupPr/>
                <m:e>
                  <m:r>
                    <m:rPr>
                      <m:sty m:val="b"/>
                    </m:rPr>
                    <m:t>h</m:t>
                  </m:r>
                </m:e>
                <m:sub>
                  <m:r>
                    <m:rPr/>
                    <m:t>i</m:t>
                  </m:r>
                </m:sub>
                <m:sup>
                  <m:r>
                    <m:rPr/>
                    <m:t>w</m:t>
                  </m:r>
                </m:sup>
              </m:sSubSup>
            </m:e>
          </m:nary>
        </m:oMath>
      </m:oMathPara>
    </w:p>
    <w:p w14:paraId="51A06937">
      <w:pPr>
        <w:pStyle w:val="23"/>
      </w:pPr>
      <w:r>
        <w:t xml:space="preserve">Here, </w:t>
      </w:r>
      <m:oMath>
        <m:sSubSup>
          <m:sSubSupPr/>
          <m:e>
            <m:r>
              <m:rPr>
                <m:sty m:val="b"/>
              </m:rPr>
              <m:t>h</m:t>
            </m:r>
          </m:e>
          <m:sub>
            <m:r>
              <m:rPr/>
              <m:t>i</m:t>
            </m:r>
          </m:sub>
          <m:sup>
            <m:r>
              <m:rPr/>
              <m:t>w</m:t>
            </m:r>
          </m:sup>
        </m:sSubSup>
      </m:oMath>
      <w:r>
        <w:t xml:space="preserve"> is the final hidden representation of service node </w:t>
      </w:r>
      <m:oMath>
        <m:sSub>
          <m:sSubPr/>
          <m:e>
            <m:r>
              <m:rPr/>
              <m:t>v</m:t>
            </m:r>
          </m:e>
          <m:sub>
            <m:r>
              <m:rPr/>
              <m:t>i</m:t>
            </m:r>
          </m:sub>
        </m:sSub>
      </m:oMath>
      <w:r>
        <w:t xml:space="preserve">, and </w:t>
      </w:r>
      <m:oMath>
        <m:sSubSup>
          <m:sSubSupPr/>
          <m:e>
            <m:r>
              <m:rPr>
                <m:sty m:val="b"/>
              </m:rPr>
              <m:t>h</m:t>
            </m:r>
          </m:e>
          <m:sub>
            <m:r>
              <m:rPr/>
              <m:t>w</m:t>
            </m:r>
          </m:sub>
          <m:sup>
            <m:r>
              <m:rPr/>
              <m:t>G</m:t>
            </m:r>
          </m:sup>
        </m:sSubSup>
      </m:oMath>
      <w:r>
        <w:t xml:space="preserve"> is the graph-level representation. This operation corresponds to </w:t>
      </w:r>
      <w:r>
        <w:rPr>
          <w:rStyle w:val="37"/>
        </w:rPr>
        <w:t>global_mean_pool</w:t>
      </w:r>
      <w:r>
        <w:t xml:space="preserve"> in the implementation.</w:t>
      </w:r>
    </w:p>
    <w:p w14:paraId="1F14C666">
      <w:pPr>
        <w:pStyle w:val="3"/>
      </w:pPr>
      <w:r>
        <w:t>A linear output head then computes the anomaly detection logit:</w:t>
      </w:r>
    </w:p>
    <w:p w14:paraId="62412DFF">
      <w:pPr>
        <w:pStyle w:val="3"/>
      </w:pPr>
      <m:oMathPara>
        <m:oMathParaPr>
          <m:jc m:val="center"/>
        </m:oMathParaPr>
        <m:oMath>
          <m:sSubSup>
            <m:sSubSupPr/>
            <m:e>
              <m:r>
                <m:rPr/>
                <m:t>z</m:t>
              </m:r>
            </m:e>
            <m:sub>
              <m:r>
                <m:rPr/>
                <m:t>w</m:t>
              </m:r>
            </m:sub>
            <m:sup>
              <m:r>
                <m:rPr/>
                <m:t>A</m:t>
              </m:r>
            </m:sup>
          </m:sSubSup>
          <m:r>
            <m:rPr>
              <m:sty m:val="p"/>
            </m:rPr>
            <m:t>=</m:t>
          </m:r>
          <m:sSub>
            <m:sSubPr/>
            <m:e>
              <m:r>
                <m:rPr/>
                <m:t>W</m:t>
              </m:r>
            </m:e>
            <m:sub>
              <m:r>
                <m:rPr/>
                <m:t>A</m:t>
              </m:r>
            </m:sub>
          </m:sSub>
          <m:sSubSup>
            <m:sSubSupPr/>
            <m:e>
              <m:r>
                <m:rPr>
                  <m:sty m:val="b"/>
                </m:rPr>
                <m:t>h</m:t>
              </m:r>
            </m:e>
            <m:sub>
              <m:r>
                <m:rPr/>
                <m:t>w</m:t>
              </m:r>
            </m:sub>
            <m:sup>
              <m:r>
                <m:rPr/>
                <m:t>G</m:t>
              </m:r>
            </m:sup>
          </m:sSubSup>
          <m:r>
            <m:rPr>
              <m:sty m:val="p"/>
            </m:rPr>
            <m:t>+</m:t>
          </m:r>
          <m:sSub>
            <m:sSubPr/>
            <m:e>
              <m:r>
                <m:rPr/>
                <m:t>b</m:t>
              </m:r>
            </m:e>
            <m:sub>
              <m:r>
                <m:rPr/>
                <m:t>A</m:t>
              </m:r>
            </m:sub>
          </m:sSub>
        </m:oMath>
      </m:oMathPara>
    </w:p>
    <w:p w14:paraId="4C596415">
      <w:pPr>
        <w:pStyle w:val="23"/>
      </w:pPr>
      <w:r>
        <w:t>The anomaly score is obtained using the Sigmoid function:</w:t>
      </w:r>
    </w:p>
    <w:p w14:paraId="48A76A30">
      <w:pPr>
        <w:pStyle w:val="3"/>
      </w:pPr>
      <m:oMathPara>
        <m:oMathParaPr>
          <m:jc m:val="center"/>
        </m:oMathParaPr>
        <m:oMath>
          <m:sSubSup>
            <m:sSubSupPr/>
            <m:e>
              <m:r>
                <m:rPr/>
                <m:t>p</m:t>
              </m:r>
            </m:e>
            <m:sub>
              <m:r>
                <m:rPr/>
                <m:t>w</m:t>
              </m:r>
            </m:sub>
            <m:sup>
              <m:r>
                <m:rPr/>
                <m:t>A</m:t>
              </m:r>
            </m:sup>
          </m:sSubSup>
          <m:r>
            <m:rPr>
              <m:sty m:val="p"/>
            </m:rPr>
            <m:t>=</m:t>
          </m:r>
          <m:r>
            <m:rPr/>
            <m:t>σ</m:t>
          </m:r>
          <m:d>
            <m:dPr>
              <m:sepChr m:val=""/>
            </m:dPr>
            <m:e>
              <m:sSubSup>
                <m:sSubSupPr/>
                <m:e>
                  <m:r>
                    <m:rPr/>
                    <m:t>z</m:t>
                  </m:r>
                </m:e>
                <m:sub>
                  <m:r>
                    <m:rPr/>
                    <m:t>w</m:t>
                  </m:r>
                </m:sub>
                <m:sup>
                  <m:r>
                    <m:rPr/>
                    <m:t>A</m:t>
                  </m:r>
                </m:sup>
              </m:sSubSup>
            </m:e>
          </m:d>
          <m:r>
            <m:rPr>
              <m:sty m:val="p"/>
            </m:rPr>
            <m:t>=</m:t>
          </m:r>
          <m:f>
            <m:fPr/>
            <m:num>
              <m:r>
                <m:rPr/>
                <m:t>1</m:t>
              </m:r>
            </m:num>
            <m:den>
              <m:r>
                <m:rPr/>
                <m:t>1</m:t>
              </m:r>
              <m:r>
                <m:rPr>
                  <m:sty m:val="p"/>
                </m:rPr>
                <m:t>+exp</m:t>
              </m:r>
              <m:d>
                <m:dPr>
                  <m:sepChr m:val=""/>
                </m:dPr>
                <m:e>
                  <m:r>
                    <m:rPr>
                      <m:sty m:val="p"/>
                    </m:rPr>
                    <m:t>−</m:t>
                  </m:r>
                  <m:sSubSup>
                    <m:sSubSupPr/>
                    <m:e>
                      <m:r>
                        <m:rPr/>
                        <m:t>z</m:t>
                      </m:r>
                    </m:e>
                    <m:sub>
                      <m:r>
                        <m:rPr/>
                        <m:t>w</m:t>
                      </m:r>
                    </m:sub>
                    <m:sup>
                      <m:r>
                        <m:rPr/>
                        <m:t>A</m:t>
                      </m:r>
                    </m:sup>
                  </m:sSubSup>
                </m:e>
              </m:d>
            </m:den>
          </m:f>
        </m:oMath>
      </m:oMathPara>
    </w:p>
    <w:p w14:paraId="01440A1B">
      <w:pPr>
        <w:pStyle w:val="23"/>
      </w:pPr>
      <w:r>
        <w:t xml:space="preserve">Here, </w:t>
      </w:r>
      <m:oMath>
        <m:sSubSup>
          <m:sSubSupPr/>
          <m:e>
            <m:r>
              <m:rPr/>
              <m:t>p</m:t>
            </m:r>
          </m:e>
          <m:sub>
            <m:r>
              <m:rPr/>
              <m:t>w</m:t>
            </m:r>
          </m:sub>
          <m:sup>
            <m:r>
              <m:rPr/>
              <m:t>A</m:t>
            </m:r>
          </m:sup>
        </m:sSubSup>
      </m:oMath>
      <w:r>
        <w:t xml:space="preserve"> represents the model’s score for classifying the current window as anomalous. The evaluation program converts this score into a binary prediction using the configured classification threshold and calculates the corresponding anomaly detection metrics.</w:t>
      </w:r>
    </w:p>
    <w:bookmarkEnd w:id="36"/>
    <w:p w14:paraId="63525A5F">
      <w:pPr>
        <w:pStyle w:val="5"/>
      </w:pPr>
      <w:bookmarkStart w:id="37" w:name="Xec02da87aefde21dcf3488e2bbefc3bbe1600b1"/>
      <w:r>
        <w:t>3.4.3 Node-Level Root Cause Localization Branch</w:t>
      </w:r>
    </w:p>
    <w:p w14:paraId="263EB44F">
      <w:pPr>
        <w:pStyle w:val="23"/>
      </w:pPr>
      <w:r>
        <w:t>The root cause localization task aims to rank candidate services so that the true root cause appears as high as possible in the ranking. Unlike graph-level anomaly detection, this task requires a separate root cause score for each service node.</w:t>
      </w:r>
    </w:p>
    <w:p w14:paraId="502ED904">
      <w:pPr>
        <w:pStyle w:val="3"/>
      </w:pPr>
      <w:r>
        <w:t xml:space="preserve">For service node </w:t>
      </w:r>
      <m:oMath>
        <m:sSub>
          <m:sSubPr/>
          <m:e>
            <m:r>
              <m:rPr/>
              <m:t>v</m:t>
            </m:r>
          </m:e>
          <m:sub>
            <m:r>
              <m:rPr/>
              <m:t>i</m:t>
            </m:r>
          </m:sub>
        </m:sSub>
      </m:oMath>
      <w:r>
        <w:t>, the node-level output head computes:</w:t>
      </w:r>
    </w:p>
    <w:p w14:paraId="02E9C981">
      <w:pPr>
        <w:pStyle w:val="3"/>
      </w:pPr>
      <m:oMathPara>
        <m:oMathParaPr>
          <m:jc m:val="center"/>
        </m:oMathParaPr>
        <m:oMath>
          <m:sSubSup>
            <m:sSubSupPr/>
            <m:e>
              <m:r>
                <m:rPr/>
                <m:t>z</m:t>
              </m:r>
            </m:e>
            <m:sub>
              <m:r>
                <m:rPr/>
                <m:t>i</m:t>
              </m:r>
              <m:r>
                <m:rPr>
                  <m:sty m:val="p"/>
                </m:rPr>
                <m:t>,</m:t>
              </m:r>
              <m:r>
                <m:rPr/>
                <m:t>w</m:t>
              </m:r>
            </m:sub>
            <m:sup>
              <m:r>
                <m:rPr/>
                <m:t>R</m:t>
              </m:r>
            </m:sup>
          </m:sSubSup>
          <m:r>
            <m:rPr>
              <m:sty m:val="p"/>
            </m:rPr>
            <m:t>=</m:t>
          </m:r>
          <m:sSub>
            <m:sSubPr/>
            <m:e>
              <m:r>
                <m:rPr/>
                <m:t>W</m:t>
              </m:r>
            </m:e>
            <m:sub>
              <m:r>
                <m:rPr/>
                <m:t>R</m:t>
              </m:r>
            </m:sub>
          </m:sSub>
          <m:sSubSup>
            <m:sSubSupPr/>
            <m:e>
              <m:r>
                <m:rPr>
                  <m:sty m:val="b"/>
                </m:rPr>
                <m:t>h</m:t>
              </m:r>
            </m:e>
            <m:sub>
              <m:r>
                <m:rPr/>
                <m:t>i</m:t>
              </m:r>
            </m:sub>
            <m:sup>
              <m:r>
                <m:rPr/>
                <m:t>w</m:t>
              </m:r>
            </m:sup>
          </m:sSubSup>
          <m:r>
            <m:rPr>
              <m:sty m:val="p"/>
            </m:rPr>
            <m:t>+</m:t>
          </m:r>
          <m:sSub>
            <m:sSubPr/>
            <m:e>
              <m:r>
                <m:rPr/>
                <m:t>b</m:t>
              </m:r>
            </m:e>
            <m:sub>
              <m:r>
                <m:rPr/>
                <m:t>R</m:t>
              </m:r>
            </m:sub>
          </m:sSub>
        </m:oMath>
      </m:oMathPara>
    </w:p>
    <w:p w14:paraId="55C9D235">
      <w:pPr>
        <w:pStyle w:val="23"/>
      </w:pPr>
      <w:r>
        <w:t>The node score is then obtained using the Sigmoid function:</w:t>
      </w:r>
    </w:p>
    <w:p w14:paraId="0ECCC972">
      <w:pPr>
        <w:pStyle w:val="3"/>
      </w:pPr>
      <m:oMathPara>
        <m:oMathParaPr>
          <m:jc m:val="center"/>
        </m:oMathParaPr>
        <m:oMath>
          <m:sSubSup>
            <m:sSubSupPr/>
            <m:e>
              <m:r>
                <m:rPr/>
                <m:t>p</m:t>
              </m:r>
            </m:e>
            <m:sub>
              <m:r>
                <m:rPr/>
                <m:t>i</m:t>
              </m:r>
              <m:r>
                <m:rPr>
                  <m:sty m:val="p"/>
                </m:rPr>
                <m:t>,</m:t>
              </m:r>
              <m:r>
                <m:rPr/>
                <m:t>w</m:t>
              </m:r>
            </m:sub>
            <m:sup>
              <m:r>
                <m:rPr/>
                <m:t>R</m:t>
              </m:r>
            </m:sup>
          </m:sSubSup>
          <m:r>
            <m:rPr>
              <m:sty m:val="p"/>
            </m:rPr>
            <m:t>=</m:t>
          </m:r>
          <m:r>
            <m:rPr/>
            <m:t>σ</m:t>
          </m:r>
          <m:d>
            <m:dPr>
              <m:sepChr m:val=""/>
            </m:dPr>
            <m:e>
              <m:sSubSup>
                <m:sSubSupPr/>
                <m:e>
                  <m:r>
                    <m:rPr/>
                    <m:t>z</m:t>
                  </m:r>
                </m:e>
                <m:sub>
                  <m:r>
                    <m:rPr/>
                    <m:t>i</m:t>
                  </m:r>
                  <m:r>
                    <m:rPr>
                      <m:sty m:val="p"/>
                    </m:rPr>
                    <m:t>,</m:t>
                  </m:r>
                  <m:r>
                    <m:rPr/>
                    <m:t>w</m:t>
                  </m:r>
                </m:sub>
                <m:sup>
                  <m:r>
                    <m:rPr/>
                    <m:t>R</m:t>
                  </m:r>
                </m:sup>
              </m:sSubSup>
            </m:e>
          </m:d>
        </m:oMath>
      </m:oMathPara>
    </w:p>
    <w:p w14:paraId="10CF2E85">
      <w:pPr>
        <w:pStyle w:val="23"/>
      </w:pPr>
      <w:r>
        <w:t xml:space="preserve">Here, </w:t>
      </w:r>
      <m:oMath>
        <m:sSubSup>
          <m:sSubSupPr/>
          <m:e>
            <m:r>
              <m:rPr/>
              <m:t>p</m:t>
            </m:r>
          </m:e>
          <m:sub>
            <m:r>
              <m:rPr/>
              <m:t>i</m:t>
            </m:r>
            <m:r>
              <m:rPr>
                <m:sty m:val="p"/>
              </m:rPr>
              <m:t>,</m:t>
            </m:r>
            <m:r>
              <m:rPr/>
              <m:t>w</m:t>
            </m:r>
          </m:sub>
          <m:sup>
            <m:r>
              <m:rPr/>
              <m:t>R</m:t>
            </m:r>
          </m:sup>
        </m:sSubSup>
      </m:oMath>
      <w:r>
        <w:t xml:space="preserve"> is the root cause localization score for the node in window </w:t>
      </w:r>
      <m:oMath>
        <m:r>
          <m:rPr/>
          <m:t>w</m:t>
        </m:r>
      </m:oMath>
      <w:r>
        <w:t>. This score is primarily used to rank candidate services and should not be interpreted as confirmation that the service is the actual root cause.</w:t>
      </w:r>
    </w:p>
    <w:p w14:paraId="2C9462EE">
      <w:pPr>
        <w:pStyle w:val="3"/>
      </w:pPr>
      <w:r>
        <w:t xml:space="preserve">Node supervision labels are generated from the true root cause service recorded in the fault-case metadata. A node receives a label of 1 if its service name matches the case’s </w:t>
      </w:r>
      <w:r>
        <w:rPr>
          <w:rStyle w:val="37"/>
        </w:rPr>
        <w:t>root_cause_service</w:t>
      </w:r>
      <w:r>
        <w:t>; otherwise, the label is 0. According to the current training program, these labels are applied to all service nodes in the training graph snapshots, including nodes in normal and anomalous windows.</w:t>
      </w:r>
    </w:p>
    <w:p w14:paraId="592FCE21">
      <w:pPr>
        <w:pStyle w:val="3"/>
      </w:pPr>
      <w:r>
        <w:t>The graph-level anomaly detection head and the node-level root cause localization head share the graph neural network encoder but use separate linear output layers to perform graph-level binary classification and node-level scoring, respectively.</w:t>
      </w:r>
    </w:p>
    <w:p w14:paraId="5BF4E14C">
      <w:pPr>
        <w:pStyle w:val="3"/>
      </w:pPr>
      <w:r>
        <w:t>For GATv2, the inference program can also save graph attention weights for subsequent analysis. However, the current root cause ranking is calculated directly from the node-level root cause scores rather than from the attention weights.</w:t>
      </w:r>
    </w:p>
    <w:bookmarkEnd w:id="34"/>
    <w:bookmarkEnd w:id="37"/>
    <w:p w14:paraId="00AF2AA2">
      <w:pPr>
        <w:pStyle w:val="4"/>
      </w:pPr>
      <w:bookmarkStart w:id="38" w:name="multi-task-joint-training"/>
      <w:r>
        <w:t>3.5 Multi-Task Joint Training</w:t>
      </w:r>
    </w:p>
    <w:p w14:paraId="11DE6F33">
      <w:pPr>
        <w:pStyle w:val="5"/>
      </w:pPr>
      <w:bookmarkStart w:id="39" w:name="anomaly-detection-loss"/>
      <w:r>
        <w:t>3.5.1 Anomaly Detection Loss</w:t>
      </w:r>
    </w:p>
    <w:p w14:paraId="42A44FA8">
      <w:pPr>
        <w:pStyle w:val="23"/>
      </w:pPr>
      <w:r>
        <w:t>The anomaly detection branch is trained using binary cross-entropy loss. To account for a possible imbalance between normal and anomalous graph snapshots in the training data, the program assigns a positive-class weight to the loss function.</w:t>
      </w:r>
    </w:p>
    <w:p w14:paraId="1CA9BD3E">
      <w:pPr>
        <w:pStyle w:val="3"/>
      </w:pPr>
      <w:r>
        <w:t xml:space="preserve">Let </w:t>
      </w:r>
      <m:oMath>
        <m:sSub>
          <m:sSubPr/>
          <m:e>
            <m:r>
              <m:rPr/>
              <m:t>N</m:t>
            </m:r>
          </m:e>
          <m:sub>
            <m:r>
              <m:rPr>
                <m:sty m:val="p"/>
              </m:rPr>
              <m:t>pos</m:t>
            </m:r>
          </m:sub>
        </m:sSub>
      </m:oMath>
      <w:r>
        <w:t xml:space="preserve"> be the number of anomalous graph snapshots in the training data and </w:t>
      </w:r>
      <m:oMath>
        <m:sSub>
          <m:sSubPr/>
          <m:e>
            <m:r>
              <m:rPr/>
              <m:t>N</m:t>
            </m:r>
          </m:e>
          <m:sub>
            <m:r>
              <m:rPr>
                <m:sty m:val="p"/>
              </m:rPr>
              <m:t>neg</m:t>
            </m:r>
          </m:sub>
        </m:sSub>
      </m:oMath>
      <w:r>
        <w:t xml:space="preserve"> the number of normal graph snapshots. The positive-class weight used by the code is:</w:t>
      </w:r>
    </w:p>
    <w:p w14:paraId="3482825D">
      <w:pPr>
        <w:pStyle w:val="3"/>
      </w:pPr>
      <m:oMathPara>
        <m:oMathParaPr>
          <m:jc m:val="center"/>
        </m:oMathParaPr>
        <m:oMath>
          <m:sSub>
            <m:sSubPr/>
            <m:e>
              <m:r>
                <m:rPr/>
                <m:t>α</m:t>
              </m:r>
            </m:e>
            <m:sub>
              <m:r>
                <m:rPr>
                  <m:sty m:val="p"/>
                </m:rPr>
                <m:t>pos</m:t>
              </m:r>
            </m:sub>
          </m:sSub>
          <m:r>
            <m:rPr>
              <m:sty m:val="p"/>
            </m:rPr>
            <m:t>=</m:t>
          </m:r>
          <m:f>
            <m:fPr/>
            <m:num>
              <m:r>
                <m:rPr>
                  <m:sty m:val="p"/>
                </m:rPr>
                <m:t>max</m:t>
              </m:r>
              <m:d>
                <m:dPr>
                  <m:sepChr m:val=""/>
                </m:dPr>
                <m:e>
                  <m:sSub>
                    <m:sSubPr/>
                    <m:e>
                      <m:r>
                        <m:rPr/>
                        <m:t>N</m:t>
                      </m:r>
                    </m:e>
                    <m:sub>
                      <m:r>
                        <m:rPr>
                          <m:sty m:val="p"/>
                        </m:rPr>
                        <m:t>neg</m:t>
                      </m:r>
                    </m:sub>
                  </m:sSub>
                  <m:r>
                    <m:rPr>
                      <m:sty m:val="p"/>
                    </m:rPr>
                    <m:t>,</m:t>
                  </m:r>
                  <m:r>
                    <m:rPr/>
                    <m:t>1</m:t>
                  </m:r>
                </m:e>
              </m:d>
            </m:num>
            <m:den>
              <m:r>
                <m:rPr>
                  <m:sty m:val="p"/>
                </m:rPr>
                <m:t>max</m:t>
              </m:r>
              <m:d>
                <m:dPr>
                  <m:sepChr m:val=""/>
                </m:dPr>
                <m:e>
                  <m:sSub>
                    <m:sSubPr/>
                    <m:e>
                      <m:r>
                        <m:rPr/>
                        <m:t>N</m:t>
                      </m:r>
                    </m:e>
                    <m:sub>
                      <m:r>
                        <m:rPr>
                          <m:sty m:val="p"/>
                        </m:rPr>
                        <m:t>pos</m:t>
                      </m:r>
                    </m:sub>
                  </m:sSub>
                  <m:r>
                    <m:rPr>
                      <m:sty m:val="p"/>
                    </m:rPr>
                    <m:t>,</m:t>
                  </m:r>
                  <m:r>
                    <m:rPr/>
                    <m:t>1</m:t>
                  </m:r>
                </m:e>
              </m:d>
            </m:den>
          </m:f>
        </m:oMath>
      </m:oMathPara>
    </w:p>
    <w:p w14:paraId="257AAD1D">
      <w:pPr>
        <w:pStyle w:val="23"/>
      </w:pPr>
      <w:r>
        <w:t>The minimum-value safeguards prevent division by zero if either class count is zero.</w:t>
      </w:r>
    </w:p>
    <w:p w14:paraId="4E694906">
      <w:pPr>
        <w:pStyle w:val="3"/>
      </w:pPr>
      <w:r>
        <w:t xml:space="preserve">Let </w:t>
      </w:r>
      <m:oMath>
        <m:sSubSup>
          <m:sSubSupPr/>
          <m:e>
            <m:r>
              <m:rPr/>
              <m:t>z</m:t>
            </m:r>
          </m:e>
          <m:sub>
            <m:r>
              <m:rPr/>
              <m:t>w</m:t>
            </m:r>
          </m:sub>
          <m:sup>
            <m:r>
              <m:rPr/>
              <m:t>A</m:t>
            </m:r>
          </m:sup>
        </m:sSubSup>
      </m:oMath>
      <w:r>
        <w:t xml:space="preserve"> denote the graph-level anomaly logit and </w:t>
      </w:r>
      <m:oMath>
        <m:sSub>
          <m:sSubPr/>
          <m:e>
            <m:r>
              <m:rPr/>
              <m:t>y</m:t>
            </m:r>
          </m:e>
          <m:sub>
            <m:r>
              <m:rPr/>
              <m:t>w</m:t>
            </m:r>
          </m:sub>
        </m:sSub>
      </m:oMath>
      <w:r>
        <w:t xml:space="preserve"> the ground-truth window label. The anomaly detection loss is expressed as:</w:t>
      </w:r>
    </w:p>
    <w:p w14:paraId="195BA11D">
      <w:pPr>
        <w:pStyle w:val="3"/>
      </w:pPr>
      <m:oMathPara>
        <m:oMathParaPr>
          <m:jc m:val="center"/>
        </m:oMathParaPr>
        <m:oMath>
          <m:sSub>
            <m:sSubPr/>
            <m:e>
              <m:r>
                <m:rPr>
                  <m:sty m:val="p"/>
                  <m:scr m:val="script"/>
                </m:rPr>
                <m:t>ℒ</m:t>
              </m:r>
            </m:e>
            <m:sub>
              <m:r>
                <m:rPr/>
                <m:t>A</m:t>
              </m:r>
            </m:sub>
          </m:sSub>
          <m:r>
            <m:rPr>
              <m:sty m:val="p"/>
            </m:rPr>
            <m:t>=BCEWithLogits</m:t>
          </m:r>
          <m:d>
            <m:dPr>
              <m:sepChr m:val=""/>
            </m:dPr>
            <m:e>
              <m:r>
                <m:rPr>
                  <m:sty m:val="p"/>
                </m:rPr>
                <m:t>{</m:t>
              </m:r>
              <m:sSubSup>
                <m:sSubSupPr/>
                <m:e>
                  <m:r>
                    <m:rPr/>
                    <m:t>z</m:t>
                  </m:r>
                </m:e>
                <m:sub>
                  <m:r>
                    <m:rPr/>
                    <m:t>w</m:t>
                  </m:r>
                </m:sub>
                <m:sup>
                  <m:r>
                    <m:rPr/>
                    <m:t>A</m:t>
                  </m:r>
                </m:sup>
              </m:sSubSup>
              <m:r>
                <m:rPr>
                  <m:sty m:val="p"/>
                </m:rPr>
                <m:t>},{</m:t>
              </m:r>
              <m:sSub>
                <m:sSubPr/>
                <m:e>
                  <m:r>
                    <m:rPr/>
                    <m:t>y</m:t>
                  </m:r>
                </m:e>
                <m:sub>
                  <m:r>
                    <m:rPr/>
                    <m:t>w</m:t>
                  </m:r>
                </m:sub>
              </m:sSub>
              <m:r>
                <m:rPr>
                  <m:sty m:val="p"/>
                </m:rPr>
                <m:t>};pos_weight=</m:t>
              </m:r>
              <m:sSub>
                <m:sSubPr/>
                <m:e>
                  <m:r>
                    <m:rPr/>
                    <m:t>α</m:t>
                  </m:r>
                </m:e>
                <m:sub>
                  <m:r>
                    <m:rPr>
                      <m:sty m:val="p"/>
                    </m:rPr>
                    <m:t>pos</m:t>
                  </m:r>
                </m:sub>
              </m:sSub>
            </m:e>
          </m:d>
        </m:oMath>
      </m:oMathPara>
    </w:p>
    <w:p w14:paraId="4BA00F90">
      <w:pPr>
        <w:pStyle w:val="23"/>
      </w:pPr>
      <w:r>
        <w:t xml:space="preserve">This corresponds to </w:t>
      </w:r>
      <w:r>
        <w:rPr>
          <w:rStyle w:val="37"/>
        </w:rPr>
        <w:t>BCEWithLogitsLoss</w:t>
      </w:r>
      <w:r>
        <w:t xml:space="preserve"> in the code. The loss function takes logits directly and uses the positive-class weight to adjust the contribution of anomalous samples to the training objective.</w:t>
      </w:r>
    </w:p>
    <w:bookmarkEnd w:id="39"/>
    <w:p w14:paraId="55C237EF">
      <w:pPr>
        <w:pStyle w:val="5"/>
      </w:pPr>
      <w:bookmarkStart w:id="40" w:name="root-cause-localization-loss"/>
      <w:r>
        <w:t>3.5.2 Root Cause Localization Loss</w:t>
      </w:r>
    </w:p>
    <w:p w14:paraId="7CDAB096">
      <w:pPr>
        <w:pStyle w:val="23"/>
      </w:pPr>
      <w:r>
        <w:t xml:space="preserve">The root cause localization branch is trained through node-level supervision. Let </w:t>
      </w:r>
      <m:oMath>
        <m:sSubSup>
          <m:sSubSupPr/>
          <m:e>
            <m:r>
              <m:rPr/>
              <m:t>z</m:t>
            </m:r>
          </m:e>
          <m:sub>
            <m:r>
              <m:rPr/>
              <m:t>i</m:t>
            </m:r>
            <m:r>
              <m:rPr>
                <m:sty m:val="p"/>
              </m:rPr>
              <m:t>,</m:t>
            </m:r>
            <m:r>
              <m:rPr/>
              <m:t>w</m:t>
            </m:r>
          </m:sub>
          <m:sup>
            <m:r>
              <m:rPr/>
              <m:t>R</m:t>
            </m:r>
          </m:sup>
        </m:sSubSup>
      </m:oMath>
      <w:r>
        <w:t xml:space="preserve"> denote the root cause localization logit for node </w:t>
      </w:r>
      <m:oMath>
        <m:sSub>
          <m:sSubPr/>
          <m:e>
            <m:r>
              <m:rPr/>
              <m:t>v</m:t>
            </m:r>
          </m:e>
          <m:sub>
            <m:r>
              <m:rPr/>
              <m:t>i</m:t>
            </m:r>
          </m:sub>
        </m:sSub>
      </m:oMath>
      <w:r>
        <w:t xml:space="preserve"> in window </w:t>
      </w:r>
      <m:oMath>
        <m:r>
          <m:rPr/>
          <m:t>w</m:t>
        </m:r>
      </m:oMath>
      <w:r>
        <w:t xml:space="preserve">, and let </w:t>
      </w:r>
      <m:oMath>
        <m:sSub>
          <m:sSubPr/>
          <m:e>
            <m:r>
              <m:rPr/>
              <m:t>r</m:t>
            </m:r>
          </m:e>
          <m:sub>
            <m:r>
              <m:rPr/>
              <m:t>i</m:t>
            </m:r>
            <m:r>
              <m:rPr>
                <m:sty m:val="p"/>
              </m:rPr>
              <m:t>,</m:t>
            </m:r>
            <m:r>
              <m:rPr/>
              <m:t>w</m:t>
            </m:r>
          </m:sub>
        </m:sSub>
      </m:oMath>
      <w:r>
        <w:t xml:space="preserve"> denote its ground-truth root cause label. A label of 1 is assigned when the node corresponds to the true root cause service of the case; otherwise, the label is 0.</w:t>
      </w:r>
    </w:p>
    <w:p w14:paraId="40F90719">
      <w:pPr>
        <w:pStyle w:val="3"/>
      </w:pPr>
      <w:r>
        <w:t>The root cause localization loss uses binary cross-entropy:</w:t>
      </w:r>
    </w:p>
    <w:p w14:paraId="70840E59">
      <w:pPr>
        <w:pStyle w:val="3"/>
      </w:pPr>
      <m:oMathPara>
        <m:oMathParaPr>
          <m:jc m:val="center"/>
        </m:oMathParaPr>
        <m:oMath>
          <m:sSub>
            <m:sSubPr/>
            <m:e>
              <m:r>
                <m:rPr>
                  <m:sty m:val="p"/>
                  <m:scr m:val="script"/>
                </m:rPr>
                <m:t>ℒ</m:t>
              </m:r>
            </m:e>
            <m:sub>
              <m:r>
                <m:rPr/>
                <m:t>R</m:t>
              </m:r>
            </m:sub>
          </m:sSub>
          <m:r>
            <m:rPr>
              <m:sty m:val="p"/>
            </m:rPr>
            <m:t>=BCEWithLogits</m:t>
          </m:r>
          <m:d>
            <m:dPr>
              <m:sepChr m:val=""/>
            </m:dPr>
            <m:e>
              <m:r>
                <m:rPr>
                  <m:sty m:val="p"/>
                </m:rPr>
                <m:t>{</m:t>
              </m:r>
              <m:sSubSup>
                <m:sSubSupPr/>
                <m:e>
                  <m:r>
                    <m:rPr/>
                    <m:t>z</m:t>
                  </m:r>
                </m:e>
                <m:sub>
                  <m:r>
                    <m:rPr/>
                    <m:t>i</m:t>
                  </m:r>
                  <m:r>
                    <m:rPr>
                      <m:sty m:val="p"/>
                    </m:rPr>
                    <m:t>,</m:t>
                  </m:r>
                  <m:r>
                    <m:rPr/>
                    <m:t>w</m:t>
                  </m:r>
                </m:sub>
                <m:sup>
                  <m:r>
                    <m:rPr/>
                    <m:t>R</m:t>
                  </m:r>
                </m:sup>
              </m:sSubSup>
              <m:r>
                <m:rPr>
                  <m:sty m:val="p"/>
                </m:rPr>
                <m:t>},{</m:t>
              </m:r>
              <m:sSub>
                <m:sSubPr/>
                <m:e>
                  <m:r>
                    <m:rPr/>
                    <m:t>r</m:t>
                  </m:r>
                </m:e>
                <m:sub>
                  <m:r>
                    <m:rPr/>
                    <m:t>i</m:t>
                  </m:r>
                  <m:r>
                    <m:rPr>
                      <m:sty m:val="p"/>
                    </m:rPr>
                    <m:t>,</m:t>
                  </m:r>
                  <m:r>
                    <m:rPr/>
                    <m:t>w</m:t>
                  </m:r>
                </m:sub>
              </m:sSub>
              <m:r>
                <m:rPr>
                  <m:sty m:val="p"/>
                </m:rPr>
                <m:t>}</m:t>
              </m:r>
            </m:e>
          </m:d>
        </m:oMath>
      </m:oMathPara>
    </w:p>
    <w:p w14:paraId="0CC20451">
      <w:pPr>
        <w:pStyle w:val="23"/>
      </w:pPr>
      <w:r>
        <w:t>According to the current implementation, this loss is computed directly from the node scores and labels in each training batch. The program does not first filter the data to retain only anomalous windows. Therefore, describing this branch as node-level supervision based on the true root cause service recorded for each case is consistent with the implementation.</w:t>
      </w:r>
    </w:p>
    <w:bookmarkEnd w:id="40"/>
    <w:p w14:paraId="07E266C0">
      <w:pPr>
        <w:pStyle w:val="5"/>
      </w:pPr>
      <w:bookmarkStart w:id="41" w:name="joint-loss-function"/>
      <w:r>
        <w:t>3.5.3 Joint Loss Function</w:t>
      </w:r>
    </w:p>
    <w:p w14:paraId="2CD9704C">
      <w:pPr>
        <w:pStyle w:val="23"/>
      </w:pPr>
      <w:r>
        <w:t>To optimize anomaly detection and root cause localization simultaneously, this study uses a weighted joint loss:</w:t>
      </w:r>
    </w:p>
    <w:p w14:paraId="44FBE4C1">
      <w:pPr>
        <w:pStyle w:val="3"/>
      </w:pPr>
      <m:oMathPara>
        <m:oMathParaPr>
          <m:jc m:val="center"/>
        </m:oMathParaPr>
        <m:oMath>
          <m:sSub>
            <m:sSubPr/>
            <m:e>
              <m:r>
                <m:rPr>
                  <m:sty m:val="p"/>
                  <m:scr m:val="script"/>
                </m:rPr>
                <m:t>ℒ</m:t>
              </m:r>
            </m:e>
            <m:sub>
              <m:r>
                <m:rPr>
                  <m:sty m:val="p"/>
                </m:rPr>
                <m:t>total</m:t>
              </m:r>
            </m:sub>
          </m:sSub>
          <m:r>
            <m:rPr>
              <m:sty m:val="p"/>
            </m:rPr>
            <m:t>=</m:t>
          </m:r>
          <m:sSub>
            <m:sSubPr/>
            <m:e>
              <m:r>
                <m:rPr>
                  <m:sty m:val="p"/>
                  <m:scr m:val="script"/>
                </m:rPr>
                <m:t>ℒ</m:t>
              </m:r>
            </m:e>
            <m:sub>
              <m:r>
                <m:rPr/>
                <m:t>A</m:t>
              </m:r>
            </m:sub>
          </m:sSub>
          <m:r>
            <m:rPr>
              <m:sty m:val="p"/>
            </m:rPr>
            <m:t>+</m:t>
          </m:r>
          <m:sSub>
            <m:sSubPr/>
            <m:e>
              <m:r>
                <m:rPr/>
                <m:t>λ</m:t>
              </m:r>
            </m:e>
            <m:sub>
              <m:r>
                <m:rPr/>
                <m:t>R</m:t>
              </m:r>
            </m:sub>
          </m:sSub>
          <m:sSub>
            <m:sSubPr/>
            <m:e>
              <m:r>
                <m:rPr>
                  <m:sty m:val="p"/>
                  <m:scr m:val="script"/>
                </m:rPr>
                <m:t>ℒ</m:t>
              </m:r>
            </m:e>
            <m:sub>
              <m:r>
                <m:rPr/>
                <m:t>R</m:t>
              </m:r>
            </m:sub>
          </m:sSub>
        </m:oMath>
      </m:oMathPara>
    </w:p>
    <w:p w14:paraId="7CC257BB">
      <w:pPr>
        <w:pStyle w:val="23"/>
      </w:pPr>
      <w:r>
        <w:t xml:space="preserve">Here, </w:t>
      </w:r>
      <m:oMath>
        <m:sSub>
          <m:sSubPr/>
          <m:e>
            <m:r>
              <m:rPr>
                <m:sty m:val="p"/>
                <m:scr m:val="script"/>
              </m:rPr>
              <m:t>ℒ</m:t>
            </m:r>
          </m:e>
          <m:sub>
            <m:r>
              <m:rPr/>
              <m:t>A</m:t>
            </m:r>
          </m:sub>
        </m:sSub>
      </m:oMath>
      <w:r>
        <w:t xml:space="preserve"> denotes the anomaly detection loss, </w:t>
      </w:r>
      <m:oMath>
        <m:sSub>
          <m:sSubPr/>
          <m:e>
            <m:r>
              <m:rPr>
                <m:sty m:val="p"/>
                <m:scr m:val="script"/>
              </m:rPr>
              <m:t>ℒ</m:t>
            </m:r>
          </m:e>
          <m:sub>
            <m:r>
              <m:rPr/>
              <m:t>R</m:t>
            </m:r>
          </m:sub>
        </m:sSub>
      </m:oMath>
      <w:r>
        <w:t xml:space="preserve"> denotes the root cause localization loss, and </w:t>
      </w:r>
      <m:oMath>
        <m:sSub>
          <m:sSubPr/>
          <m:e>
            <m:r>
              <m:rPr/>
              <m:t>λ</m:t>
            </m:r>
          </m:e>
          <m:sub>
            <m:r>
              <m:rPr/>
              <m:t>R</m:t>
            </m:r>
          </m:sub>
        </m:sSub>
      </m:oMath>
      <w:r>
        <w:t xml:space="preserve"> is the root cause localization loss weight specified by the </w:t>
      </w:r>
      <w:r>
        <w:rPr>
          <w:rStyle w:val="37"/>
        </w:rPr>
        <w:t>rca_loss_weight</w:t>
      </w:r>
      <w:r>
        <w:t xml:space="preserve"> parameter read by the training script.</w:t>
      </w:r>
    </w:p>
    <w:p w14:paraId="4608A935">
      <w:pPr>
        <w:pStyle w:val="3"/>
      </w:pPr>
      <w:r>
        <w:t>This joint objective allows the shared graph encoder to receive supervision from both graph-level anomaly labels and node-level root cause labels, enabling it to learn node representations for anomaly identification and root cause ranking.</w:t>
      </w:r>
    </w:p>
    <w:p w14:paraId="40E50534">
      <w:pPr>
        <w:pStyle w:val="3"/>
      </w:pPr>
      <w:r>
        <w:t xml:space="preserve">It should be noted that the provided </w:t>
      </w:r>
      <w:r>
        <w:rPr>
          <w:rStyle w:val="37"/>
        </w:rPr>
        <w:t>default.yaml</w:t>
      </w:r>
      <w:r>
        <w:t xml:space="preserve"> does not show the </w:t>
      </w:r>
      <w:r>
        <w:rPr>
          <w:rStyle w:val="37"/>
        </w:rPr>
        <w:t>graph_experiments</w:t>
      </w:r>
      <w:r>
        <w:t xml:space="preserve"> parameter section read by the training script. The form of the joint loss can therefore be verified from the code, but the specific value of </w:t>
      </w:r>
      <m:oMath>
        <m:sSub>
          <m:sSubPr/>
          <m:e>
            <m:r>
              <m:rPr/>
              <m:t>λ</m:t>
            </m:r>
          </m:e>
          <m:sub>
            <m:r>
              <m:rPr/>
              <m:t>R</m:t>
            </m:r>
          </m:sub>
        </m:sSub>
      </m:oMath>
      <w:r>
        <w:t xml:space="preserve"> cannot be determined from the currently provided configuration file. No unverified value is assigned in this chapter.</w:t>
      </w:r>
    </w:p>
    <w:bookmarkEnd w:id="41"/>
    <w:p w14:paraId="418B9A56">
      <w:pPr>
        <w:pStyle w:val="5"/>
      </w:pPr>
      <w:bookmarkStart w:id="42" w:name="model-optimization-and-data-splitting"/>
      <w:r>
        <w:t>3.5.4 Model Optimization and Data Splitting</w:t>
      </w:r>
    </w:p>
    <w:p w14:paraId="7B4E3953">
      <w:pPr>
        <w:pStyle w:val="23"/>
      </w:pPr>
      <w:r>
        <w:t>The current training program uses the AdamW optimizer to update the graph neural network parameters. At each iteration, the program clears existing gradients, performs forward computation, calculates the loss, backpropagates the gradients, and updates the parameters. The average training loss is recorded at the end of each epoch.</w:t>
      </w:r>
    </w:p>
    <w:p w14:paraId="30CEEBB3">
      <w:pPr>
        <w:pStyle w:val="3"/>
      </w:pPr>
      <w:r>
        <w:t>Data splitting is based on a pre-generated case-level split file. The program first identifies whether each fault case belongs to the training, validation, or test set, and then assigns all graph snapshots associated with that case to the same subset. This approach prevents windows from the same fault case from being distributed across different subsets and helps reduce the risk of data leakage caused by similar windows within a case.</w:t>
      </w:r>
    </w:p>
    <w:p w14:paraId="4C9A2CDC">
      <w:pPr>
        <w:pStyle w:val="3"/>
      </w:pPr>
      <w:r>
        <w:t>The configuration file specifies a random seed of 42. The training program uses this seed to initialize the random generators for Python, NumPy, PyTorch, and CUDA. It should be noted that the current code does not implement automatic early stopping based on validation metrics, nor does it select the best checkpoint according to validation performance. Instead, the program completes the configured number of training epochs, saves the model, and then calculates validation and test metrics.</w:t>
      </w:r>
    </w:p>
    <w:p w14:paraId="630AB645">
      <w:pPr>
        <w:pStyle w:val="3"/>
      </w:pPr>
      <w:r>
        <w:t xml:space="preserve">Although the training script reads parameters such as learning rate, weight decay, graph-training batch size, number of epochs, and root cause loss weight from the </w:t>
      </w:r>
      <w:r>
        <w:rPr>
          <w:rStyle w:val="37"/>
        </w:rPr>
        <w:t>graph_experiments</w:t>
      </w:r>
      <w:r>
        <w:t xml:space="preserve"> section, their specific values cannot be retrieved from the final </w:t>
      </w:r>
      <w:r>
        <w:rPr>
          <w:rStyle w:val="37"/>
        </w:rPr>
        <w:t>default.yaml</w:t>
      </w:r>
      <w:r>
        <w:t xml:space="preserve"> currently provided. This chapter therefore describes only the optimization procedure supported by the available code and does not add unverified parameter values. The configuration’s </w:t>
      </w:r>
      <w:r>
        <w:rPr>
          <w:rStyle w:val="37"/>
        </w:rPr>
        <w:t>llm.batch_size=4</w:t>
      </w:r>
      <w:r>
        <w:t xml:space="preserve"> belongs to the embedding-generation settings and should not be treated as the graph neural network training batch size.</w:t>
      </w:r>
    </w:p>
    <w:bookmarkEnd w:id="38"/>
    <w:bookmarkEnd w:id="42"/>
    <w:p w14:paraId="658F88CE">
      <w:pPr>
        <w:pStyle w:val="4"/>
      </w:pPr>
      <w:bookmarkStart w:id="43" w:name="evaluation-metrics"/>
      <w:r>
        <w:t>3.6 Evaluation Metrics</w:t>
      </w:r>
    </w:p>
    <w:p w14:paraId="3408BFD5">
      <w:pPr>
        <w:pStyle w:val="5"/>
      </w:pPr>
      <w:bookmarkStart w:id="44" w:name="anomaly-detection-metrics"/>
      <w:r>
        <w:t>3.6.1 Anomaly Detection Metrics</w:t>
      </w:r>
    </w:p>
    <w:p w14:paraId="18F9D4B7">
      <w:pPr>
        <w:pStyle w:val="23"/>
      </w:pPr>
      <w:r>
        <w:t>This study uses Precision, Recall, F1, ROC-AUC, and PR-AUC to evaluate anomaly detection performance. Let TP, TN, FP, and FN denote true positives, true negatives, false positives, and false negatives, respectively.</w:t>
      </w:r>
    </w:p>
    <w:p w14:paraId="2D27C6DE">
      <w:pPr>
        <w:pStyle w:val="3"/>
      </w:pPr>
      <w:r>
        <w:t>Precision measures the proportion of correctly identified anomalous samples among all samples predicted as anomalous:</w:t>
      </w:r>
    </w:p>
    <w:p w14:paraId="298053D6">
      <w:pPr>
        <w:pStyle w:val="3"/>
      </w:pPr>
      <m:oMathPara>
        <m:oMathParaPr>
          <m:jc m:val="center"/>
        </m:oMathParaPr>
        <m:oMath>
          <m:r>
            <m:rPr>
              <m:sty m:val="p"/>
            </m:rPr>
            <m:t>Precision=</m:t>
          </m:r>
          <m:f>
            <m:fPr/>
            <m:num>
              <m:r>
                <m:rPr/>
                <m:t>TP</m:t>
              </m:r>
            </m:num>
            <m:den>
              <m:r>
                <m:rPr/>
                <m:t>TP</m:t>
              </m:r>
              <m:r>
                <m:rPr>
                  <m:sty m:val="p"/>
                </m:rPr>
                <m:t>+</m:t>
              </m:r>
              <m:r>
                <m:rPr/>
                <m:t>FP</m:t>
              </m:r>
            </m:den>
          </m:f>
        </m:oMath>
      </m:oMathPara>
    </w:p>
    <w:p w14:paraId="201E36C6">
      <w:pPr>
        <w:pStyle w:val="23"/>
      </w:pPr>
      <w:r>
        <w:t>Recall measures the proportion of actual anomalous samples correctly identified by the model:</w:t>
      </w:r>
    </w:p>
    <w:p w14:paraId="04E16E73">
      <w:pPr>
        <w:pStyle w:val="3"/>
      </w:pPr>
      <m:oMathPara>
        <m:oMathParaPr>
          <m:jc m:val="center"/>
        </m:oMathParaPr>
        <m:oMath>
          <m:r>
            <m:rPr>
              <m:sty m:val="p"/>
            </m:rPr>
            <m:t>Recall=</m:t>
          </m:r>
          <m:f>
            <m:fPr/>
            <m:num>
              <m:r>
                <m:rPr/>
                <m:t>TP</m:t>
              </m:r>
            </m:num>
            <m:den>
              <m:r>
                <m:rPr/>
                <m:t>TP</m:t>
              </m:r>
              <m:r>
                <m:rPr>
                  <m:sty m:val="p"/>
                </m:rPr>
                <m:t>+</m:t>
              </m:r>
              <m:r>
                <m:rPr/>
                <m:t>FN</m:t>
              </m:r>
            </m:den>
          </m:f>
        </m:oMath>
      </m:oMathPara>
    </w:p>
    <w:p w14:paraId="09E8CDD8">
      <w:pPr>
        <w:pStyle w:val="23"/>
      </w:pPr>
      <w:r>
        <w:t>The F1 score is the harmonic mean of Precision and Recall:</w:t>
      </w:r>
    </w:p>
    <w:p w14:paraId="0AD7BB94">
      <w:pPr>
        <w:pStyle w:val="3"/>
      </w:pPr>
      <m:oMathPara>
        <m:oMathParaPr>
          <m:jc m:val="center"/>
        </m:oMathParaPr>
        <m:oMath>
          <m:r>
            <m:rPr/>
            <m:t>F1</m:t>
          </m:r>
          <m:r>
            <m:rPr>
              <m:sty m:val="p"/>
            </m:rPr>
            <m:t>=</m:t>
          </m:r>
          <m:r>
            <m:rPr/>
            <m:t>2</m:t>
          </m:r>
          <m:r>
            <m:rPr>
              <m:sty m:val="p"/>
            </m:rPr>
            <m:t>⋅</m:t>
          </m:r>
          <m:f>
            <m:fPr/>
            <m:num>
              <m:r>
                <m:rPr>
                  <m:sty m:val="p"/>
                </m:rPr>
                <m:t>Precision⋅Recall</m:t>
              </m:r>
            </m:num>
            <m:den>
              <m:r>
                <m:rPr>
                  <m:sty m:val="p"/>
                </m:rPr>
                <m:t>Precision+Recall</m:t>
              </m:r>
            </m:den>
          </m:f>
        </m:oMath>
      </m:oMathPara>
    </w:p>
    <w:p w14:paraId="66A46BA1">
      <w:pPr>
        <w:pStyle w:val="23"/>
      </w:pPr>
      <w:r>
        <w:t xml:space="preserve">ROC-AUC evaluates the model’s ability to distinguish normal and anomalous windows across different classification thresholds. PR-AUC evaluates performance through the precision-recall relationship. The current program uses </w:t>
      </w:r>
      <w:r>
        <w:rPr>
          <w:rStyle w:val="37"/>
        </w:rPr>
        <w:t>average_precision_score</w:t>
      </w:r>
      <w:r>
        <w:t xml:space="preserve"> to calculate and record </w:t>
      </w:r>
      <w:r>
        <w:rPr>
          <w:rStyle w:val="37"/>
        </w:rPr>
        <w:t>pr_auc</w:t>
      </w:r>
      <w:r>
        <w:t>; this specific calculation should therefore be made clear when interpreting the results.</w:t>
      </w:r>
    </w:p>
    <w:p w14:paraId="0649636E">
      <w:pPr>
        <w:pStyle w:val="3"/>
      </w:pPr>
      <w:r>
        <w:t>Precision, Recall, and F1 are calculated from discrete predictions at the selected classification threshold, whereas ROC-AUC and PR-AUC are calculated from prediction scores. If an evaluation subset contains only one class, the current program records ROC-AUC as unavailable.</w:t>
      </w:r>
    </w:p>
    <w:bookmarkEnd w:id="44"/>
    <w:p w14:paraId="453F9D06">
      <w:pPr>
        <w:pStyle w:val="5"/>
      </w:pPr>
      <w:bookmarkStart w:id="45" w:name="root-cause-localization-metrics"/>
      <w:r>
        <w:t>3.6.2 Root Cause Localization Metrics</w:t>
      </w:r>
    </w:p>
    <w:p w14:paraId="72751B55">
      <w:pPr>
        <w:pStyle w:val="23"/>
      </w:pPr>
      <w:r>
        <w:t>Root cause localization is evaluated using case-level ranking. Since a fault case may contain multiple time windows, the current program first aggregates the root cause localization scores for each service across the windows of that case by taking the maximum score:</w:t>
      </w:r>
    </w:p>
    <w:p w14:paraId="2D7B4EB3">
      <w:pPr>
        <w:pStyle w:val="3"/>
      </w:pPr>
      <m:oMathPara>
        <m:oMathParaPr>
          <m:jc m:val="center"/>
        </m:oMathParaPr>
        <m:oMath>
          <m:sSub>
            <m:sSubPr/>
            <m:e>
              <m:r>
                <m:rPr/>
                <m:t>s</m:t>
              </m:r>
            </m:e>
            <m:sub>
              <m:r>
                <m:rPr/>
                <m:t>c</m:t>
              </m:r>
              <m:r>
                <m:rPr>
                  <m:sty m:val="p"/>
                </m:rPr>
                <m:t>,</m:t>
              </m:r>
              <m:r>
                <m:rPr/>
                <m:t>i</m:t>
              </m:r>
            </m:sub>
          </m:sSub>
          <m:r>
            <m:rPr>
              <m:sty m:val="p"/>
            </m:rPr>
            <m:t>=</m:t>
          </m:r>
          <m:limLow>
            <m:limLowPr/>
            <m:e>
              <m:r>
                <m:rPr>
                  <m:sty m:val="p"/>
                </m:rPr>
                <m:t>max</m:t>
              </m:r>
            </m:e>
            <m:lim>
              <m:r>
                <m:rPr/>
                <m:t>w</m:t>
              </m:r>
              <m:r>
                <m:rPr>
                  <m:sty m:val="p"/>
                </m:rPr>
                <m:t>∈</m:t>
              </m:r>
              <m:sSub>
                <m:sSubPr/>
                <m:e>
                  <m:r>
                    <m:rPr/>
                    <m:t>W</m:t>
                  </m:r>
                </m:e>
                <m:sub>
                  <m:r>
                    <m:rPr/>
                    <m:t>c</m:t>
                  </m:r>
                </m:sub>
              </m:sSub>
            </m:lim>
          </m:limLow>
          <m:sSubSup>
            <m:sSubSupPr/>
            <m:e>
              <m:r>
                <m:rPr/>
                <m:t>p</m:t>
              </m:r>
            </m:e>
            <m:sub>
              <m:r>
                <m:rPr/>
                <m:t>c</m:t>
              </m:r>
              <m:r>
                <m:rPr>
                  <m:sty m:val="p"/>
                </m:rPr>
                <m:t>,</m:t>
              </m:r>
              <m:r>
                <m:rPr/>
                <m:t>w</m:t>
              </m:r>
              <m:r>
                <m:rPr>
                  <m:sty m:val="p"/>
                </m:rPr>
                <m:t>,</m:t>
              </m:r>
              <m:r>
                <m:rPr/>
                <m:t>i</m:t>
              </m:r>
            </m:sub>
            <m:sup>
              <m:r>
                <m:rPr/>
                <m:t>R</m:t>
              </m:r>
            </m:sup>
          </m:sSubSup>
        </m:oMath>
      </m:oMathPara>
    </w:p>
    <w:p w14:paraId="4B464342">
      <w:pPr>
        <w:pStyle w:val="23"/>
      </w:pPr>
      <w:r>
        <w:t xml:space="preserve">Here, </w:t>
      </w:r>
      <m:oMath>
        <m:sSub>
          <m:sSubPr/>
          <m:e>
            <m:r>
              <m:rPr/>
              <m:t>s</m:t>
            </m:r>
          </m:e>
          <m:sub>
            <m:r>
              <m:rPr/>
              <m:t>c</m:t>
            </m:r>
            <m:r>
              <m:rPr>
                <m:sty m:val="p"/>
              </m:rPr>
              <m:t>,</m:t>
            </m:r>
            <m:r>
              <m:rPr/>
              <m:t>i</m:t>
            </m:r>
          </m:sub>
        </m:sSub>
      </m:oMath>
      <w:r>
        <w:t xml:space="preserve"> is the case-level score of service </w:t>
      </w:r>
      <m:oMath>
        <m:sSub>
          <m:sSubPr/>
          <m:e>
            <m:r>
              <m:rPr/>
              <m:t>v</m:t>
            </m:r>
          </m:e>
          <m:sub>
            <m:r>
              <m:rPr/>
              <m:t>i</m:t>
            </m:r>
          </m:sub>
        </m:sSub>
      </m:oMath>
      <w:r>
        <w:t xml:space="preserve"> in case </w:t>
      </w:r>
      <m:oMath>
        <m:r>
          <m:rPr/>
          <m:t>c</m:t>
        </m:r>
      </m:oMath>
      <w:r>
        <w:t xml:space="preserve">, </w:t>
      </w:r>
      <m:oMath>
        <m:sSub>
          <m:sSubPr/>
          <m:e>
            <m:r>
              <m:rPr/>
              <m:t>W</m:t>
            </m:r>
          </m:e>
          <m:sub>
            <m:r>
              <m:rPr/>
              <m:t>c</m:t>
            </m:r>
          </m:sub>
        </m:sSub>
      </m:oMath>
      <w:r>
        <w:t xml:space="preserve"> is the set of test windows associated with that case, and </w:t>
      </w:r>
      <m:oMath>
        <m:sSubSup>
          <m:sSubSupPr/>
          <m:e>
            <m:r>
              <m:rPr/>
              <m:t>p</m:t>
            </m:r>
          </m:e>
          <m:sub>
            <m:r>
              <m:rPr/>
              <m:t>c</m:t>
            </m:r>
            <m:r>
              <m:rPr>
                <m:sty m:val="p"/>
              </m:rPr>
              <m:t>,</m:t>
            </m:r>
            <m:r>
              <m:rPr/>
              <m:t>w</m:t>
            </m:r>
            <m:r>
              <m:rPr>
                <m:sty m:val="p"/>
              </m:rPr>
              <m:t>,</m:t>
            </m:r>
            <m:r>
              <m:rPr/>
              <m:t>i</m:t>
            </m:r>
          </m:sub>
          <m:sup>
            <m:r>
              <m:rPr/>
              <m:t>R</m:t>
            </m:r>
          </m:sup>
        </m:sSubSup>
      </m:oMath>
      <w:r>
        <w:t xml:space="preserve"> is the service’s root cause localization score in window </w:t>
      </w:r>
      <m:oMath>
        <m:r>
          <m:rPr/>
          <m:t>w</m:t>
        </m:r>
      </m:oMath>
      <w:r>
        <w:t>. The program sorts the services in descending order of their case-level scores and determines the rank of the true root cause service.</w:t>
      </w:r>
    </w:p>
    <w:p w14:paraId="041A03AE">
      <w:pPr>
        <w:pStyle w:val="3"/>
      </w:pPr>
      <w:r>
        <w:t>The Top-</w:t>
      </w:r>
      <m:oMath>
        <m:r>
          <m:rPr/>
          <m:t>k</m:t>
        </m:r>
      </m:oMath>
      <w:r>
        <w:t xml:space="preserve"> metric measures whether the true root cause service appears among the top </w:t>
      </w:r>
      <m:oMath>
        <m:r>
          <m:rPr/>
          <m:t>k</m:t>
        </m:r>
      </m:oMath>
      <w:r>
        <w:t xml:space="preserve"> ranked candidates:</w:t>
      </w:r>
    </w:p>
    <w:p w14:paraId="425DDC19">
      <w:pPr>
        <w:pStyle w:val="3"/>
      </w:pPr>
      <m:oMathPara>
        <m:oMathParaPr>
          <m:jc m:val="center"/>
        </m:oMathParaPr>
        <m:oMath>
          <m:r>
            <m:rPr>
              <m:sty m:val="p"/>
            </m:rPr>
            <m:t>Top</m:t>
          </m:r>
          <m:r>
            <m:rPr>
              <m:nor/>
              <m:sty m:val="p"/>
            </m:rPr>
            <m:t>-</m:t>
          </m:r>
          <m:r>
            <m:rPr>
              <m:sty m:val="p"/>
            </m:rPr>
            <m:t>k=</m:t>
          </m:r>
          <m:f>
            <m:fPr/>
            <m:num>
              <m:r>
                <m:rPr/>
                <m:t>1</m:t>
              </m:r>
            </m:num>
            <m:den>
              <m:r>
                <m:rPr/>
                <m:t>C</m:t>
              </m:r>
            </m:den>
          </m:f>
          <m:nary>
            <m:naryPr>
              <m:chr m:val="∑"/>
              <m:limLoc m:val="undOvr"/>
            </m:naryPr>
            <m:sub>
              <m:r>
                <m:rPr/>
                <m:t>c</m:t>
              </m:r>
              <m:r>
                <m:rPr>
                  <m:sty m:val="p"/>
                </m:rPr>
                <m:t>=</m:t>
              </m:r>
              <m:r>
                <m:rPr/>
                <m:t>1</m:t>
              </m:r>
            </m:sub>
            <m:sup>
              <m:r>
                <m:rPr/>
                <m:t>C</m:t>
              </m:r>
            </m:sup>
            <m:e>
              <m:r>
                <m:rPr>
                  <m:sty m:val="p"/>
                  <m:scr m:val="double-struck"/>
                </m:rPr>
                <m:t>I</m:t>
              </m:r>
            </m:e>
          </m:nary>
          <m:d>
            <m:dPr>
              <m:sepChr m:val=""/>
            </m:dPr>
            <m:e>
              <m:sSub>
                <m:sSubPr/>
                <m:e>
                  <m:r>
                    <m:rPr/>
                    <m:t>r</m:t>
                  </m:r>
                </m:e>
                <m:sub>
                  <m:r>
                    <m:rPr/>
                    <m:t>c</m:t>
                  </m:r>
                </m:sub>
              </m:sSub>
              <m:r>
                <m:rPr>
                  <m:sty m:val="p"/>
                </m:rPr>
                <m:t>≤</m:t>
              </m:r>
              <m:r>
                <m:rPr/>
                <m:t>k</m:t>
              </m:r>
            </m:e>
          </m:d>
        </m:oMath>
      </m:oMathPara>
    </w:p>
    <w:p w14:paraId="14C4DD4A">
      <w:pPr>
        <w:pStyle w:val="23"/>
      </w:pPr>
      <w:r>
        <w:t xml:space="preserve">Here, </w:t>
      </w:r>
      <m:oMath>
        <m:r>
          <m:rPr/>
          <m:t>C</m:t>
        </m:r>
      </m:oMath>
      <w:r>
        <w:t xml:space="preserve"> is the number of evaluated cases, </w:t>
      </w:r>
      <m:oMath>
        <m:sSub>
          <m:sSubPr/>
          <m:e>
            <m:r>
              <m:rPr/>
              <m:t>r</m:t>
            </m:r>
          </m:e>
          <m:sub>
            <m:r>
              <m:rPr/>
              <m:t>c</m:t>
            </m:r>
          </m:sub>
        </m:sSub>
      </m:oMath>
      <w:r>
        <w:t xml:space="preserve"> is the rank of the true root cause service in case </w:t>
      </w:r>
      <m:oMath>
        <m:r>
          <m:rPr/>
          <m:t>c</m:t>
        </m:r>
      </m:oMath>
      <w:r>
        <w:t xml:space="preserve">, and </w:t>
      </w:r>
      <m:oMath>
        <m:r>
          <m:rPr>
            <m:sty m:val="p"/>
            <m:scr m:val="double-struck"/>
          </m:rPr>
          <m:t>I</m:t>
        </m:r>
        <m:d>
          <m:dPr>
            <m:sepChr m:val=""/>
          </m:dPr>
          <m:e>
            <m:r>
              <m:rPr>
                <m:sty m:val="p"/>
              </m:rPr>
              <m:t>⋅</m:t>
            </m:r>
          </m:e>
        </m:d>
      </m:oMath>
      <w:r>
        <w:t xml:space="preserve"> is the indicator function. The current implementation calculates Top-1, Top-3, and Top-5.</w:t>
      </w:r>
    </w:p>
    <w:p w14:paraId="22FE28DE">
      <w:pPr>
        <w:pStyle w:val="3"/>
      </w:pPr>
      <w:r>
        <w:t>Mean Reciprocal Rank (MRR) evaluates the ranking position of the true root cause service:</w:t>
      </w:r>
    </w:p>
    <w:p w14:paraId="20A5D109">
      <w:pPr>
        <w:pStyle w:val="3"/>
      </w:pPr>
      <m:oMathPara>
        <m:oMathParaPr>
          <m:jc m:val="center"/>
        </m:oMathParaPr>
        <m:oMath>
          <m:r>
            <m:rPr>
              <m:sty m:val="p"/>
            </m:rPr>
            <m:t>MRR=</m:t>
          </m:r>
          <m:f>
            <m:fPr/>
            <m:num>
              <m:r>
                <m:rPr/>
                <m:t>1</m:t>
              </m:r>
            </m:num>
            <m:den>
              <m:r>
                <m:rPr/>
                <m:t>C</m:t>
              </m:r>
            </m:den>
          </m:f>
          <m:nary>
            <m:naryPr>
              <m:chr m:val="∑"/>
              <m:limLoc m:val="undOvr"/>
            </m:naryPr>
            <m:sub>
              <m:r>
                <m:rPr/>
                <m:t>c</m:t>
              </m:r>
              <m:r>
                <m:rPr>
                  <m:sty m:val="p"/>
                </m:rPr>
                <m:t>=</m:t>
              </m:r>
              <m:r>
                <m:rPr/>
                <m:t>1</m:t>
              </m:r>
            </m:sub>
            <m:sup>
              <m:r>
                <m:rPr/>
                <m:t>C</m:t>
              </m:r>
            </m:sup>
            <m:e>
              <m:f>
                <m:fPr/>
                <m:num>
                  <m:r>
                    <m:rPr/>
                    <m:t>1</m:t>
                  </m:r>
                </m:num>
                <m:den>
                  <m:sSub>
                    <m:sSubPr/>
                    <m:e>
                      <m:r>
                        <m:rPr/>
                        <m:t>r</m:t>
                      </m:r>
                    </m:e>
                    <m:sub>
                      <m:r>
                        <m:rPr/>
                        <m:t>c</m:t>
                      </m:r>
                    </m:sub>
                  </m:sSub>
                </m:den>
              </m:f>
            </m:e>
          </m:nary>
        </m:oMath>
      </m:oMathPara>
    </w:p>
    <w:p w14:paraId="6856D6CE">
      <w:pPr>
        <w:pStyle w:val="23"/>
      </w:pPr>
      <w:r>
        <w:t>If the true root cause service does not appear in the candidate ranking, the current program assigns a reciprocal rank of zero to that case. These metrics are calculated using the project’s current case-level ranking procedure. Without corresponding execution records, they should not be described as results produced by the official RCAEval evaluation program.</w:t>
      </w:r>
    </w:p>
    <w:bookmarkEnd w:id="43"/>
    <w:bookmarkEnd w:id="45"/>
    <w:p w14:paraId="030C12FE">
      <w:pPr>
        <w:pStyle w:val="4"/>
      </w:pPr>
      <w:bookmarkStart w:id="46" w:name="chapter-summary"/>
      <w:r>
        <w:t>3.7 Chapter Summary</w:t>
      </w:r>
    </w:p>
    <w:p w14:paraId="6C6343D4">
      <w:pPr>
        <w:pStyle w:val="23"/>
      </w:pPr>
      <w:r>
        <w:t>This chapter has presented a method for microservice log anomaly detection and root cause localization that combines large language model-based semantic representations with graph neural networks. First, logs are organized into fixed-length time windows, and window-level anomaly labels are generated according to fault injection times. Log embeddings are then obtained through the semantic representation pipeline associated with Qwen2.5-7B-Instruct and combined with log counts, error-log ratios, and warning-log ratios to form service-node features. Microservice call graphs are further constructed from parent-child Span relationships in Trace data to represent service dependencies.</w:t>
      </w:r>
    </w:p>
    <w:p w14:paraId="5F01D001">
      <w:pPr>
        <w:pStyle w:val="3"/>
      </w:pPr>
      <w:r>
        <w:t>For graph modeling, GCN, GAT, and GATv2 are used as alternative graph encoders, with a graph-level anomaly detection head and a node-level root cause localization head. The model is trained using a weighted joint loss. The two tasks are evaluated using Precision, Recall, F1, ROC-AUC, and PR-AUC for anomaly detection, and Top-1, Top-3, Top-5, and MRR for root cause localization.</w:t>
      </w:r>
    </w:p>
    <w:p w14:paraId="28BB31AD">
      <w:pPr>
        <w:pStyle w:val="23"/>
        <w:rPr>
          <w:rFonts w:hint="default" w:eastAsia="SimSun"/>
          <w:lang w:val="en-US" w:eastAsia="zh-CN"/>
        </w:rPr>
      </w:pPr>
      <w:r>
        <w:t xml:space="preserve">The descriptions in this chapter are based on the actual code and configuration </w:t>
      </w:r>
      <w:bookmarkEnd w:id="46"/>
      <w:bookmarkStart w:id="47" w:name="citation-notes"/>
      <w:r>
        <w:rPr>
          <w:rFonts w:hint="eastAsia" w:eastAsia="SimSun"/>
          <w:lang w:val="en-US" w:eastAsia="zh-CN"/>
        </w:rPr>
        <w:t xml:space="preserve">                                                                                                                                                                                                                                                                                                                                                                                                                                                                                                                                                                                                                                                                                                                                                                                                                                                                                                                                                                                                    </w:t>
      </w:r>
      <w:bookmarkStart w:id="48" w:name="_GoBack"/>
      <w:bookmarkEnd w:id="48"/>
    </w:p>
    <w:bookmarkEnd w:id="24"/>
    <w:bookmarkEnd w:id="47"/>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굴림">
    <w:panose1 w:val="020B0600000101010101"/>
    <w:charset w:val="81"/>
    <w:family w:val="auto"/>
    <w:pitch w:val="default"/>
    <w:sig w:usb0="B00002AF" w:usb1="69D77CFB" w:usb2="00000030" w:usb3="00000000" w:csb0="4008009F" w:csb1="DFD7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22FF67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1"/>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1"/>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19</Pages>
  <Words>856</Words>
  <Characters>932</Characters>
  <Lines>12</Lines>
  <Paragraphs>8</Paragraphs>
  <TotalTime>18</TotalTime>
  <ScaleCrop>false</ScaleCrop>
  <LinksUpToDate>false</LinksUpToDate>
  <CharactersWithSpaces>976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2026-10-27T00:37:00Z</dcterms:created>
  <dc:creator>宋钰泽</dc:creator>
  <cp:lastModifiedBy>宋钰泽</cp:lastModifiedBy>
  <dcterms:modified xsi:type="dcterms:W3CDTF">2026-10-27T01:04:54Z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eyJoZGlkIjoiMzkyMjc0MzhhYTkxNjU1YWM0NTExZDdmNTc1ODYxOGQiLCJ1c2VySWQiOiI1OTgzMDY0MjEifQ==</vt:lpwstr>
  </property>
  <property fmtid="{D5CDD505-2E9C-101B-9397-08002B2CF9AE}" pid="3" name="KSOProductBuildVer">
    <vt:lpwstr>2052-12.1.0.29161</vt:lpwstr>
  </property>
  <property fmtid="{D5CDD505-2E9C-101B-9397-08002B2CF9AE}" pid="4" name="ICV">
    <vt:lpwstr>1CD97F75FB51453E88856E2C13C1D93B_12</vt:lpwstr>
  </property>
</Properties>
</file>