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ADCB7">
      <w:pPr>
        <w:jc w:val="left"/>
        <w:rPr>
          <w:rFonts w:ascii="Times New Roman" w:hAnsi="Times New Roman" w:cs="Times New Roman"/>
          <w:sz w:val="22"/>
        </w:rPr>
      </w:pPr>
    </w:p>
    <w:p w14:paraId="1E4E8F16">
      <w:pPr>
        <w:jc w:val="center"/>
        <w:rPr>
          <w:rFonts w:ascii="Times New Roman" w:hAnsi="Times New Roman" w:cs="Times New Roman"/>
          <w:sz w:val="28"/>
        </w:rPr>
      </w:pPr>
    </w:p>
    <w:p w14:paraId="2376DE25">
      <w:pPr>
        <w:jc w:val="center"/>
        <w:rPr>
          <w:rFonts w:ascii="Times New Roman" w:hAnsi="Times New Roman" w:cs="Times New Roman"/>
          <w:sz w:val="26"/>
          <w:szCs w:val="26"/>
        </w:rPr>
      </w:pPr>
      <w:r>
        <w:rPr>
          <w:rFonts w:ascii="Times New Roman" w:hAnsi="Times New Roman" w:cs="Times New Roman"/>
          <w:sz w:val="26"/>
          <w:szCs w:val="26"/>
        </w:rPr>
        <w:t>Research Report</w:t>
      </w:r>
    </w:p>
    <w:p w14:paraId="165D5C2B">
      <w:pPr>
        <w:jc w:val="center"/>
        <w:rPr>
          <w:rFonts w:ascii="Times New Roman" w:hAnsi="Times New Roman" w:cs="Times New Roman"/>
          <w:sz w:val="28"/>
        </w:rPr>
      </w:pPr>
    </w:p>
    <w:p w14:paraId="304A5192">
      <w:pPr>
        <w:spacing w:line="240" w:lineRule="auto"/>
        <w:jc w:val="center"/>
        <w:rPr>
          <w:rFonts w:ascii="Times New Roman" w:hAnsi="Times New Roman" w:cs="Times New Roman"/>
          <w:sz w:val="40"/>
          <w:szCs w:val="40"/>
        </w:rPr>
      </w:pPr>
      <w:r>
        <w:rPr>
          <w:rFonts w:ascii="Times New Roman" w:hAnsi="Times New Roman" w:cs="Times New Roman"/>
          <w:sz w:val="40"/>
          <w:szCs w:val="40"/>
        </w:rPr>
        <w:t>Research on Microservice Log Anomaly Detection and Root Cause Localization Based on Large Language Models and Graph Neural Networks</w:t>
      </w:r>
    </w:p>
    <w:p w14:paraId="4C2889D2">
      <w:pPr>
        <w:spacing w:line="240" w:lineRule="auto"/>
        <w:jc w:val="center"/>
        <w:rPr>
          <w:rFonts w:ascii="Times New Roman" w:hAnsi="Times New Roman" w:cs="Times New Roman"/>
          <w:sz w:val="28"/>
        </w:rPr>
      </w:pPr>
      <w:r>
        <w:rPr>
          <w:rFonts w:ascii="Times New Roman" w:hAnsi="Times New Roman" w:cs="Times New Roman"/>
          <w:sz w:val="30"/>
          <w:szCs w:val="30"/>
        </w:rPr>
        <w:t>Fault Diagnosis Based on Frozen Large Language Models and Graph Attention Networks</w:t>
      </w:r>
    </w:p>
    <w:p w14:paraId="0F521EB5">
      <w:pPr>
        <w:spacing w:line="240" w:lineRule="auto"/>
        <w:jc w:val="center"/>
        <w:rPr>
          <w:rFonts w:ascii="Times New Roman" w:hAnsi="Times New Roman" w:cs="Times New Roman"/>
          <w:sz w:val="28"/>
        </w:rPr>
      </w:pPr>
    </w:p>
    <w:p w14:paraId="5A13E86B">
      <w:pPr>
        <w:spacing w:line="240" w:lineRule="auto"/>
        <w:jc w:val="center"/>
        <w:rPr>
          <w:rFonts w:ascii="Times New Roman" w:hAnsi="Times New Roman" w:cs="Times New Roman"/>
          <w:sz w:val="28"/>
        </w:rPr>
      </w:pPr>
    </w:p>
    <w:p w14:paraId="1590CB9A">
      <w:pPr>
        <w:jc w:val="center"/>
        <w:rPr>
          <w:rFonts w:ascii="Times New Roman" w:hAnsi="Times New Roman" w:cs="Times New Roman"/>
          <w:sz w:val="26"/>
          <w:szCs w:val="26"/>
        </w:rPr>
      </w:pPr>
      <w:r>
        <w:rPr>
          <w:rFonts w:hint="eastAsia" w:ascii="Times New Roman" w:hAnsi="Times New Roman" w:cs="Times New Roman"/>
          <w:sz w:val="26"/>
          <w:szCs w:val="26"/>
        </w:rPr>
        <w:t>June</w:t>
      </w:r>
      <w:r>
        <w:rPr>
          <w:rFonts w:ascii="Times New Roman" w:hAnsi="Times New Roman" w:cs="Times New Roman"/>
          <w:sz w:val="26"/>
          <w:szCs w:val="26"/>
        </w:rPr>
        <w:t xml:space="preserve"> 202</w:t>
      </w:r>
      <w:r>
        <w:rPr>
          <w:rFonts w:hint="eastAsia" w:ascii="Times New Roman" w:hAnsi="Times New Roman" w:cs="Times New Roman"/>
          <w:sz w:val="26"/>
          <w:szCs w:val="26"/>
        </w:rPr>
        <w:t>6</w:t>
      </w:r>
    </w:p>
    <w:p w14:paraId="6033F6A7">
      <w:pPr>
        <w:spacing w:line="240" w:lineRule="auto"/>
        <w:jc w:val="center"/>
        <w:rPr>
          <w:rFonts w:ascii="Times New Roman" w:hAnsi="Times New Roman" w:cs="Times New Roman"/>
          <w:sz w:val="28"/>
        </w:rPr>
      </w:pPr>
    </w:p>
    <w:p w14:paraId="5233AA5B">
      <w:pPr>
        <w:jc w:val="center"/>
        <w:rPr>
          <w:rFonts w:ascii="Times New Roman" w:hAnsi="Times New Roman" w:cs="Times New Roman"/>
          <w:sz w:val="26"/>
          <w:szCs w:val="26"/>
        </w:rPr>
      </w:pPr>
      <w:r>
        <w:rPr>
          <w:rFonts w:hint="eastAsia" w:ascii="Times New Roman" w:hAnsi="Times New Roman" w:cs="Times New Roman"/>
          <w:sz w:val="26"/>
          <w:szCs w:val="26"/>
        </w:rPr>
        <w:t>Major</w:t>
      </w:r>
      <w:r>
        <w:rPr>
          <w:rFonts w:ascii="Times New Roman" w:hAnsi="Times New Roman" w:cs="Times New Roman"/>
          <w:sz w:val="26"/>
          <w:szCs w:val="26"/>
        </w:rPr>
        <w:t xml:space="preserve"> of Computer Science and Technology</w:t>
      </w:r>
    </w:p>
    <w:p w14:paraId="3B2FC981">
      <w:pPr>
        <w:jc w:val="center"/>
        <w:rPr>
          <w:rFonts w:ascii="Times New Roman" w:hAnsi="Times New Roman" w:cs="Times New Roman"/>
          <w:sz w:val="26"/>
          <w:szCs w:val="26"/>
        </w:rPr>
      </w:pPr>
      <w:r>
        <w:rPr>
          <w:rFonts w:ascii="Times New Roman" w:hAnsi="Times New Roman" w:cs="Times New Roman"/>
          <w:sz w:val="26"/>
          <w:szCs w:val="26"/>
        </w:rPr>
        <w:t xml:space="preserve">Graduate School </w:t>
      </w:r>
      <w:r>
        <w:rPr>
          <w:rFonts w:hint="eastAsia" w:ascii="Times New Roman" w:hAnsi="Times New Roman" w:cs="Times New Roman"/>
          <w:sz w:val="26"/>
          <w:szCs w:val="26"/>
        </w:rPr>
        <w:t>of</w:t>
      </w:r>
      <w:r>
        <w:rPr>
          <w:rFonts w:ascii="Times New Roman" w:hAnsi="Times New Roman" w:cs="Times New Roman"/>
          <w:sz w:val="26"/>
          <w:szCs w:val="26"/>
        </w:rPr>
        <w:t xml:space="preserve"> </w:t>
      </w:r>
      <w:r>
        <w:rPr>
          <w:rFonts w:hint="eastAsia" w:ascii="Times New Roman" w:hAnsi="Times New Roman" w:cs="Times New Roman"/>
          <w:sz w:val="26"/>
          <w:szCs w:val="26"/>
        </w:rPr>
        <w:t>Computer Engineering</w:t>
      </w:r>
      <w:r>
        <w:rPr>
          <w:rFonts w:ascii="Times New Roman" w:hAnsi="Times New Roman" w:cs="Times New Roman"/>
          <w:sz w:val="26"/>
          <w:szCs w:val="26"/>
        </w:rPr>
        <w:t xml:space="preserve"> Youngsan University</w:t>
      </w:r>
    </w:p>
    <w:p w14:paraId="7E38E4D1">
      <w:pPr>
        <w:jc w:val="center"/>
        <w:rPr>
          <w:rFonts w:ascii="Times New Roman" w:hAnsi="Times New Roman" w:cs="Times New Roman"/>
          <w:sz w:val="28"/>
        </w:rPr>
      </w:pPr>
    </w:p>
    <w:p w14:paraId="58DE61A6">
      <w:pPr>
        <w:rPr>
          <w:rFonts w:ascii="Times New Roman" w:hAnsi="Times New Roman" w:cs="Times New Roman"/>
          <w:sz w:val="28"/>
        </w:rPr>
      </w:pPr>
    </w:p>
    <w:p w14:paraId="78678A74">
      <w:pPr>
        <w:jc w:val="center"/>
        <w:rPr>
          <w:rFonts w:ascii="Times New Roman" w:hAnsi="Times New Roman" w:cs="Times New Roman"/>
          <w:sz w:val="26"/>
          <w:szCs w:val="26"/>
        </w:rPr>
      </w:pPr>
      <w:r>
        <w:rPr>
          <w:rFonts w:hint="eastAsia" w:ascii="Times New Roman" w:hAnsi="Times New Roman" w:eastAsia="SimSun" w:cs="Times New Roman"/>
          <w:sz w:val="26"/>
          <w:szCs w:val="26"/>
          <w:lang w:val="en-US" w:eastAsia="zh-CN"/>
        </w:rPr>
        <w:t>YUZE SONG</w:t>
      </w:r>
    </w:p>
    <w:p w14:paraId="3810943E">
      <w:pPr>
        <w:jc w:val="center"/>
        <w:rPr>
          <w:rFonts w:ascii="Times New Roman" w:hAnsi="Times New Roman" w:cs="Times New Roman"/>
          <w:sz w:val="28"/>
        </w:rPr>
      </w:pPr>
    </w:p>
    <w:p w14:paraId="7FB48900">
      <w:pPr>
        <w:jc w:val="center"/>
        <w:rPr>
          <w:rFonts w:ascii="Times New Roman" w:hAnsi="Times New Roman" w:cs="Times New Roman"/>
          <w:sz w:val="28"/>
        </w:rPr>
      </w:pPr>
    </w:p>
    <w:p w14:paraId="2C70F098">
      <w:pPr>
        <w:jc w:val="center"/>
        <w:rPr>
          <w:rFonts w:ascii="Times New Roman" w:hAnsi="Times New Roman" w:cs="Times New Roman"/>
          <w:sz w:val="28"/>
        </w:rPr>
      </w:pPr>
    </w:p>
    <w:p w14:paraId="6A67043B">
      <w:pPr>
        <w:jc w:val="center"/>
        <w:rPr>
          <w:rFonts w:ascii="Times New Roman" w:hAnsi="Times New Roman" w:cs="Times New Roman"/>
          <w:sz w:val="28"/>
        </w:rPr>
      </w:pPr>
    </w:p>
    <w:p w14:paraId="0C1FF3CC">
      <w:pPr>
        <w:jc w:val="center"/>
        <w:rPr>
          <w:rFonts w:ascii="Times New Roman" w:hAnsi="Times New Roman" w:cs="Times New Roman"/>
          <w:sz w:val="26"/>
          <w:szCs w:val="26"/>
        </w:rPr>
      </w:pPr>
      <w:r>
        <w:rPr>
          <w:rFonts w:ascii="Times New Roman" w:hAnsi="Times New Roman" w:cs="Times New Roman"/>
          <w:sz w:val="26"/>
          <w:szCs w:val="26"/>
        </w:rPr>
        <w:t xml:space="preserve">Supervised by </w:t>
      </w:r>
      <w:r>
        <w:rPr>
          <w:rFonts w:hint="eastAsia" w:ascii="Times New Roman" w:hAnsi="Times New Roman" w:cs="Times New Roman"/>
          <w:sz w:val="26"/>
          <w:szCs w:val="26"/>
        </w:rPr>
        <w:t>Gilja</w:t>
      </w:r>
      <w:r>
        <w:rPr>
          <w:rFonts w:ascii="Times New Roman" w:hAnsi="Times New Roman" w:cs="Times New Roman"/>
          <w:sz w:val="26"/>
          <w:szCs w:val="26"/>
        </w:rPr>
        <w:t xml:space="preserve"> </w:t>
      </w:r>
      <w:r>
        <w:rPr>
          <w:rFonts w:hint="eastAsia" w:ascii="Times New Roman" w:hAnsi="Times New Roman" w:cs="Times New Roman"/>
          <w:sz w:val="26"/>
          <w:szCs w:val="26"/>
        </w:rPr>
        <w:t>So</w:t>
      </w:r>
    </w:p>
    <w:p w14:paraId="0B8A6815">
      <w:pPr>
        <w:jc w:val="center"/>
        <w:rPr>
          <w:rFonts w:ascii="Times New Roman" w:hAnsi="Times New Roman" w:cs="Times New Roman"/>
          <w:sz w:val="28"/>
        </w:rPr>
      </w:pPr>
    </w:p>
    <w:p w14:paraId="56F11B5D">
      <w:pPr>
        <w:jc w:val="center"/>
        <w:rPr>
          <w:rFonts w:ascii="Times New Roman" w:hAnsi="Times New Roman" w:cs="Times New Roman"/>
          <w:sz w:val="28"/>
        </w:rPr>
      </w:pPr>
    </w:p>
    <w:p w14:paraId="3BCA334C">
      <w:pPr>
        <w:jc w:val="center"/>
        <w:rPr>
          <w:rFonts w:ascii="Times New Roman" w:hAnsi="Times New Roman" w:cs="Times New Roman"/>
          <w:sz w:val="28"/>
        </w:rPr>
      </w:pPr>
    </w:p>
    <w:p w14:paraId="53BB146F">
      <w:pPr>
        <w:jc w:val="center"/>
        <w:rPr>
          <w:rFonts w:ascii="Times New Roman" w:hAnsi="Times New Roman" w:cs="Times New Roman"/>
          <w:sz w:val="28"/>
        </w:rPr>
      </w:pPr>
    </w:p>
    <w:p w14:paraId="29A77E49">
      <w:pPr>
        <w:jc w:val="center"/>
        <w:rPr>
          <w:rFonts w:ascii="Times New Roman" w:hAnsi="Times New Roman" w:cs="Times New Roman"/>
          <w:sz w:val="26"/>
          <w:szCs w:val="26"/>
        </w:rPr>
      </w:pPr>
      <w:r>
        <w:rPr>
          <w:rFonts w:hint="eastAsia" w:ascii="Times New Roman" w:hAnsi="Times New Roman" w:cs="Times New Roman"/>
          <w:sz w:val="26"/>
          <w:szCs w:val="26"/>
        </w:rPr>
        <w:t>Graduate School of Computer Engineering</w:t>
      </w:r>
    </w:p>
    <w:p w14:paraId="396A9312">
      <w:pPr>
        <w:jc w:val="center"/>
        <w:rPr>
          <w:rFonts w:ascii="Times New Roman" w:hAnsi="Times New Roman" w:cs="Times New Roman"/>
          <w:sz w:val="28"/>
        </w:rPr>
        <w:sectPr>
          <w:pgSz w:w="11906" w:h="16838"/>
          <w:pgMar w:top="1701" w:right="1418" w:bottom="1077" w:left="1418" w:header="851" w:footer="992" w:gutter="0"/>
          <w:cols w:space="425" w:num="1"/>
          <w:docGrid w:linePitch="360" w:charSpace="0"/>
        </w:sectPr>
      </w:pPr>
      <w:r>
        <w:rPr>
          <w:rFonts w:hint="eastAsia" w:ascii="Times New Roman" w:hAnsi="Times New Roman" w:cs="Times New Roman"/>
          <w:sz w:val="26"/>
          <w:szCs w:val="26"/>
        </w:rPr>
        <w:t>Youngsan University</w:t>
      </w:r>
    </w:p>
    <w:p w14:paraId="557E800A">
      <w:pPr>
        <w:rPr>
          <w:rFonts w:hint="default" w:ascii="Times New Roman" w:hAnsi="Times New Roman" w:eastAsia="SimSun" w:cs="Times New Roman"/>
          <w:b/>
          <w:bCs/>
          <w:sz w:val="28"/>
          <w:szCs w:val="28"/>
          <w:lang w:val="en-US" w:eastAsia="zh-CN"/>
        </w:rPr>
      </w:pPr>
      <w:r>
        <w:rPr>
          <w:rFonts w:hint="default" w:ascii="Times New Roman" w:hAnsi="Times New Roman" w:eastAsia="SimSun" w:cs="Times New Roman"/>
          <w:b/>
          <w:bCs/>
          <w:sz w:val="28"/>
          <w:szCs w:val="28"/>
          <w:lang w:val="en-US" w:eastAsia="zh-CN"/>
        </w:rPr>
        <w:t>Abstract</w:t>
      </w:r>
    </w:p>
    <w:p w14:paraId="7E0732E3">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With the popularization of cloud-native technologies, microservice architecture has been widely adopted due to its high cohesion, low coupling, and distributed nature. However, complex service invocation topologies and frequent cascading failure effects pose severe challenges to intelligent operations (AIOps). As core data reflecting runtime system states, log anomaly detection and root cause localization (RCA) are critical for ensuring the high availability of cloud-native systems. Traditional log analysis methods heavily rely on log parsing and fixed templates, showing insufficient generalization when dealing with unstable logs. Furthermore, most existing methods decouple anomaly detection from root cause localization, making it difficult to characterize fault propagation paths within complex service topologies.</w:t>
      </w:r>
    </w:p>
    <w:p w14:paraId="767D467E">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To address these issues, this thesis proposes a microservice log anomaly detection and root cause localization framework based on large language models (LLMs) and graph neural networks (GNNs). The main contributions of this work are as follows:</w:t>
      </w:r>
    </w:p>
    <w:p w14:paraId="6501D027">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Template-Free LLM Semantic Representation: A pre-trained large language model (Qwen2.5-7B-Instruct) with a frozen hidden-state mean-pooling strategy is introduced to encode unstructured microservice logs within 60-second sliding windows. This breaks the reliance of traditional log parsing on fixed templates and effectively preserves fine-grained error characteristics.</w:t>
      </w:r>
    </w:p>
    <w:p w14:paraId="7EBB311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Multi-Modal Spatio-Temporal Fusion Based on Trace Topologies: Dynamic service dependency graphs (Call-Graphs) are constructed using parent-child span relations derived from distributed traces. By deeply fusing the node log semantic vectors extracted by the LLM with service topologies, the framework explicitly models microservice interactions and fault propagation paths.</w:t>
      </w:r>
    </w:p>
    <w:p w14:paraId="65B8F8D1">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End-to-End Dual-Head Joint Diagnostic Architecture: A unified multi-task joint prediction model is built based on graph neural networks (supporting GCN, GAT, and GATv2). Through a graph-level anomaly detection head and a node-level root cause localization head, system anomaly judgment and root cause service ranking are achieved simultaneously within a shared representation space.</w:t>
      </w:r>
    </w:p>
    <w:p w14:paraId="6FD3CFD5">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Rigorous evaluations were conducted on the RE2-TT fault scenarios of the RCAEval benchmark dataset (comprising 90 failure cases, 6 categories of injected faults, and 5 root cause services). Employing a strict case-level split strategy to prevent data leakage, experimental results demonstrate that the proposed framework excels in both anomaly detection and root cause localization accuracy (Top-1/3/5 and MRR). Additionally, the attention weight analysis of GATv2 provides clear interpretability for tracing fault propagation paths.</w:t>
      </w:r>
    </w:p>
    <w:p w14:paraId="46BA67BC">
      <w:pPr>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17" w:lineRule="atLeast"/>
        <w:ind w:left="0" w:right="0"/>
        <w:jc w:val="left"/>
        <w:rPr>
          <w:rFonts w:hint="default" w:ascii="Times New Roman" w:hAnsi="Times New Roman" w:eastAsia="sans-serif" w:cs="Times New Roman"/>
          <w:color w:val="1F1F1F"/>
          <w:kern w:val="0"/>
          <w:sz w:val="24"/>
          <w:szCs w:val="24"/>
          <w:lang w:val="en-US" w:eastAsia="zh-CN" w:bidi="ar"/>
        </w:rPr>
      </w:pPr>
      <w:r>
        <w:rPr>
          <w:rFonts w:hint="default" w:ascii="Times New Roman" w:hAnsi="Times New Roman" w:eastAsia="sans-serif" w:cs="Times New Roman"/>
          <w:color w:val="1F1F1F"/>
          <w:kern w:val="0"/>
          <w:sz w:val="24"/>
          <w:szCs w:val="24"/>
          <w:lang w:val="en-US" w:eastAsia="zh-CN" w:bidi="ar"/>
        </w:rPr>
        <w:t>Keywords: Microservices; Log Anomaly Detection; Root Cause Localization; Large Language Models; Graph Neural Networks; Cloud-Native AIOps</w:t>
      </w:r>
    </w:p>
    <w:p w14:paraId="541D38C9">
      <w:pPr>
        <w:rPr>
          <w:rFonts w:hint="default" w:eastAsia="SimSun"/>
          <w:lang w:val="en-US" w:eastAsia="zh-CN"/>
        </w:rPr>
        <w:sectPr>
          <w:pgSz w:w="11906" w:h="16838"/>
          <w:pgMar w:top="1440" w:right="1800" w:bottom="1440" w:left="1800" w:header="851" w:footer="992" w:gutter="0"/>
          <w:cols w:space="425" w:num="1"/>
          <w:docGrid w:type="lines" w:linePitch="312" w:charSpace="0"/>
        </w:sectPr>
      </w:pPr>
    </w:p>
    <w:sdt>
      <w:sdtPr>
        <w:rPr>
          <w:rFonts w:ascii="SimSun" w:hAnsi="SimSun" w:eastAsia="SimSun" w:cstheme="minorBidi"/>
          <w:kern w:val="2"/>
          <w:sz w:val="21"/>
          <w:szCs w:val="24"/>
          <w:lang w:val="en-US" w:eastAsia="zh-CN" w:bidi="ar-SA"/>
        </w:rPr>
        <w:id w:val="147454270"/>
        <w15:color w:val="DBDBDB"/>
        <w:docPartObj>
          <w:docPartGallery w:val="Table of Contents"/>
          <w:docPartUnique/>
        </w:docPartObj>
      </w:sdtPr>
      <w:sdtEndPr>
        <w:rPr>
          <w:rFonts w:hint="default" w:asciiTheme="minorHAnsi" w:hAnsiTheme="minorHAnsi" w:eastAsiaTheme="minorEastAsia" w:cstheme="minorBidi"/>
          <w:kern w:val="2"/>
          <w:sz w:val="21"/>
          <w:szCs w:val="24"/>
          <w:lang w:val="en-US" w:eastAsia="zh-CN" w:bidi="ar-SA"/>
        </w:rPr>
      </w:sdtEndPr>
      <w:sdtContent>
        <w:p w14:paraId="5258B469">
          <w:pPr>
            <w:spacing w:before="0" w:beforeLines="0" w:after="0" w:afterLines="0" w:line="240" w:lineRule="auto"/>
            <w:ind w:left="0" w:leftChars="0" w:right="0" w:rightChars="0" w:firstLine="0" w:firstLineChars="0"/>
            <w:jc w:val="center"/>
          </w:pPr>
          <w:bookmarkStart w:id="42" w:name="_GoBack"/>
          <w:bookmarkEnd w:id="42"/>
          <w:r>
            <w:rPr>
              <w:rFonts w:ascii="SimSun" w:hAnsi="SimSun" w:eastAsia="SimSun"/>
              <w:sz w:val="21"/>
            </w:rPr>
            <w:t>目录</w:t>
          </w:r>
        </w:p>
        <w:p w14:paraId="2367C884">
          <w:pPr>
            <w:pStyle w:val="10"/>
            <w:tabs>
              <w:tab w:val="right" w:leader="dot" w:pos="8306"/>
              <w:tab w:val="clear" w:pos="9350"/>
            </w:tabs>
          </w:pPr>
          <w:r>
            <w:rPr>
              <w:rFonts w:hint="default"/>
            </w:rPr>
            <w:fldChar w:fldCharType="begin"/>
          </w:r>
          <w:r>
            <w:rPr>
              <w:rFonts w:hint="default"/>
            </w:rPr>
            <w:instrText xml:space="preserve">TOC \o "1-2" \h \u </w:instrText>
          </w:r>
          <w:r>
            <w:rPr>
              <w:rFonts w:hint="default"/>
            </w:rPr>
            <w:fldChar w:fldCharType="separate"/>
          </w:r>
          <w:r>
            <w:rPr>
              <w:rFonts w:hint="default"/>
            </w:rPr>
            <w:fldChar w:fldCharType="begin"/>
          </w:r>
          <w:r>
            <w:rPr>
              <w:rFonts w:hint="default"/>
            </w:rPr>
            <w:instrText xml:space="preserve"> HYPERLINK \l _Toc29419 </w:instrText>
          </w:r>
          <w:r>
            <w:rPr>
              <w:rFonts w:hint="default"/>
            </w:rPr>
            <w:fldChar w:fldCharType="separate"/>
          </w:r>
          <w:r>
            <w:rPr>
              <w:rFonts w:hint="default" w:ascii="Times New Roman" w:hAnsi="Times New Roman" w:cs="Times New Roman"/>
            </w:rPr>
            <w:t>Chapter 1 Introduction</w:t>
          </w:r>
          <w:r>
            <w:tab/>
          </w:r>
          <w:r>
            <w:fldChar w:fldCharType="begin"/>
          </w:r>
          <w:r>
            <w:instrText xml:space="preserve"> PAGEREF _Toc29419 \h </w:instrText>
          </w:r>
          <w:r>
            <w:fldChar w:fldCharType="separate"/>
          </w:r>
          <w:r>
            <w:t>4</w:t>
          </w:r>
          <w:r>
            <w:fldChar w:fldCharType="end"/>
          </w:r>
          <w:r>
            <w:rPr>
              <w:rFonts w:hint="default"/>
            </w:rPr>
            <w:fldChar w:fldCharType="end"/>
          </w:r>
        </w:p>
        <w:p w14:paraId="0D5757B2">
          <w:pPr>
            <w:pStyle w:val="11"/>
            <w:tabs>
              <w:tab w:val="right" w:leader="dot" w:pos="8306"/>
            </w:tabs>
          </w:pPr>
          <w:r>
            <w:rPr>
              <w:rFonts w:hint="default"/>
            </w:rPr>
            <w:fldChar w:fldCharType="begin"/>
          </w:r>
          <w:r>
            <w:rPr>
              <w:rFonts w:hint="default"/>
            </w:rPr>
            <w:instrText xml:space="preserve"> HYPERLINK \l _Toc5381 </w:instrText>
          </w:r>
          <w:r>
            <w:rPr>
              <w:rFonts w:hint="default"/>
            </w:rPr>
            <w:fldChar w:fldCharType="separate"/>
          </w:r>
          <w:r>
            <w:rPr>
              <w:rFonts w:hint="default" w:ascii="Times New Roman" w:hAnsi="Times New Roman" w:cs="Times New Roman"/>
              <w:szCs w:val="28"/>
            </w:rPr>
            <w:t>1.1 Research Background and Significance</w:t>
          </w:r>
          <w:r>
            <w:tab/>
          </w:r>
          <w:r>
            <w:fldChar w:fldCharType="begin"/>
          </w:r>
          <w:r>
            <w:instrText xml:space="preserve"> PAGEREF _Toc5381 \h </w:instrText>
          </w:r>
          <w:r>
            <w:fldChar w:fldCharType="separate"/>
          </w:r>
          <w:r>
            <w:t>4</w:t>
          </w:r>
          <w:r>
            <w:fldChar w:fldCharType="end"/>
          </w:r>
          <w:r>
            <w:rPr>
              <w:rFonts w:hint="default"/>
            </w:rPr>
            <w:fldChar w:fldCharType="end"/>
          </w:r>
        </w:p>
        <w:p w14:paraId="58AF3CA2">
          <w:pPr>
            <w:pStyle w:val="11"/>
            <w:tabs>
              <w:tab w:val="right" w:leader="dot" w:pos="8306"/>
            </w:tabs>
          </w:pPr>
          <w:r>
            <w:rPr>
              <w:rFonts w:hint="default"/>
            </w:rPr>
            <w:fldChar w:fldCharType="begin"/>
          </w:r>
          <w:r>
            <w:rPr>
              <w:rFonts w:hint="default"/>
            </w:rPr>
            <w:instrText xml:space="preserve"> HYPERLINK \l _Toc27881 </w:instrText>
          </w:r>
          <w:r>
            <w:rPr>
              <w:rFonts w:hint="default"/>
            </w:rPr>
            <w:fldChar w:fldCharType="separate"/>
          </w:r>
          <w:r>
            <w:rPr>
              <w:rFonts w:hint="default" w:ascii="Times New Roman" w:hAnsi="Times New Roman" w:cs="Times New Roman"/>
              <w:szCs w:val="28"/>
            </w:rPr>
            <w:t>1.2 Related Work</w:t>
          </w:r>
          <w:r>
            <w:tab/>
          </w:r>
          <w:r>
            <w:fldChar w:fldCharType="begin"/>
          </w:r>
          <w:r>
            <w:instrText xml:space="preserve"> PAGEREF _Toc27881 \h </w:instrText>
          </w:r>
          <w:r>
            <w:fldChar w:fldCharType="separate"/>
          </w:r>
          <w:r>
            <w:t>9</w:t>
          </w:r>
          <w:r>
            <w:fldChar w:fldCharType="end"/>
          </w:r>
          <w:r>
            <w:rPr>
              <w:rFonts w:hint="default"/>
            </w:rPr>
            <w:fldChar w:fldCharType="end"/>
          </w:r>
        </w:p>
        <w:p w14:paraId="58AC4938">
          <w:pPr>
            <w:pStyle w:val="11"/>
            <w:tabs>
              <w:tab w:val="right" w:leader="dot" w:pos="8306"/>
            </w:tabs>
          </w:pPr>
          <w:r>
            <w:rPr>
              <w:rFonts w:hint="default"/>
            </w:rPr>
            <w:fldChar w:fldCharType="begin"/>
          </w:r>
          <w:r>
            <w:rPr>
              <w:rFonts w:hint="default"/>
            </w:rPr>
            <w:instrText xml:space="preserve"> HYPERLINK \l _Toc15316 </w:instrText>
          </w:r>
          <w:r>
            <w:rPr>
              <w:rFonts w:hint="default"/>
            </w:rPr>
            <w:fldChar w:fldCharType="separate"/>
          </w:r>
          <w:r>
            <w:rPr>
              <w:rFonts w:hint="default" w:ascii="Times New Roman" w:hAnsi="Times New Roman" w:cs="Times New Roman"/>
              <w:szCs w:val="28"/>
            </w:rPr>
            <w:t>1.3 Research Questions and Objectives</w:t>
          </w:r>
          <w:r>
            <w:tab/>
          </w:r>
          <w:r>
            <w:fldChar w:fldCharType="begin"/>
          </w:r>
          <w:r>
            <w:instrText xml:space="preserve"> PAGEREF _Toc15316 \h </w:instrText>
          </w:r>
          <w:r>
            <w:fldChar w:fldCharType="separate"/>
          </w:r>
          <w:r>
            <w:t>15</w:t>
          </w:r>
          <w:r>
            <w:fldChar w:fldCharType="end"/>
          </w:r>
          <w:r>
            <w:rPr>
              <w:rFonts w:hint="default"/>
            </w:rPr>
            <w:fldChar w:fldCharType="end"/>
          </w:r>
        </w:p>
        <w:p w14:paraId="42481DF7">
          <w:pPr>
            <w:pStyle w:val="11"/>
            <w:tabs>
              <w:tab w:val="right" w:leader="dot" w:pos="8306"/>
            </w:tabs>
          </w:pPr>
          <w:r>
            <w:rPr>
              <w:rFonts w:hint="default"/>
            </w:rPr>
            <w:fldChar w:fldCharType="begin"/>
          </w:r>
          <w:r>
            <w:rPr>
              <w:rFonts w:hint="default"/>
            </w:rPr>
            <w:instrText xml:space="preserve"> HYPERLINK \l _Toc22460 </w:instrText>
          </w:r>
          <w:r>
            <w:rPr>
              <w:rFonts w:hint="default"/>
            </w:rPr>
            <w:fldChar w:fldCharType="separate"/>
          </w:r>
          <w:r>
            <w:rPr>
              <w:rFonts w:hint="default" w:ascii="Times New Roman" w:hAnsi="Times New Roman" w:cs="Times New Roman"/>
              <w:szCs w:val="28"/>
            </w:rPr>
            <w:t>1.4 Research Content and Technical Route</w:t>
          </w:r>
          <w:r>
            <w:tab/>
          </w:r>
          <w:r>
            <w:fldChar w:fldCharType="begin"/>
          </w:r>
          <w:r>
            <w:instrText xml:space="preserve"> PAGEREF _Toc22460 \h </w:instrText>
          </w:r>
          <w:r>
            <w:fldChar w:fldCharType="separate"/>
          </w:r>
          <w:r>
            <w:t>17</w:t>
          </w:r>
          <w:r>
            <w:fldChar w:fldCharType="end"/>
          </w:r>
          <w:r>
            <w:rPr>
              <w:rFonts w:hint="default"/>
            </w:rPr>
            <w:fldChar w:fldCharType="end"/>
          </w:r>
        </w:p>
        <w:p w14:paraId="2019104B">
          <w:pPr>
            <w:pStyle w:val="11"/>
            <w:tabs>
              <w:tab w:val="right" w:leader="dot" w:pos="8306"/>
            </w:tabs>
          </w:pPr>
          <w:r>
            <w:rPr>
              <w:rFonts w:hint="default"/>
            </w:rPr>
            <w:fldChar w:fldCharType="begin"/>
          </w:r>
          <w:r>
            <w:rPr>
              <w:rFonts w:hint="default"/>
            </w:rPr>
            <w:instrText xml:space="preserve"> HYPERLINK \l _Toc1215 </w:instrText>
          </w:r>
          <w:r>
            <w:rPr>
              <w:rFonts w:hint="default"/>
            </w:rPr>
            <w:fldChar w:fldCharType="separate"/>
          </w:r>
          <w:r>
            <w:rPr>
              <w:rFonts w:hint="default" w:ascii="Times New Roman" w:hAnsi="Times New Roman" w:cs="Times New Roman"/>
              <w:szCs w:val="28"/>
            </w:rPr>
            <w:t>1.5 Organization of the Thesis</w:t>
          </w:r>
          <w:r>
            <w:tab/>
          </w:r>
          <w:r>
            <w:fldChar w:fldCharType="begin"/>
          </w:r>
          <w:r>
            <w:instrText xml:space="preserve"> PAGEREF _Toc1215 \h </w:instrText>
          </w:r>
          <w:r>
            <w:fldChar w:fldCharType="separate"/>
          </w:r>
          <w:r>
            <w:t>20</w:t>
          </w:r>
          <w:r>
            <w:fldChar w:fldCharType="end"/>
          </w:r>
          <w:r>
            <w:rPr>
              <w:rFonts w:hint="default"/>
            </w:rPr>
            <w:fldChar w:fldCharType="end"/>
          </w:r>
        </w:p>
        <w:p w14:paraId="4013E3C8">
          <w:pPr>
            <w:pStyle w:val="10"/>
            <w:tabs>
              <w:tab w:val="right" w:leader="dot" w:pos="8306"/>
              <w:tab w:val="clear" w:pos="9350"/>
            </w:tabs>
          </w:pPr>
          <w:r>
            <w:rPr>
              <w:rFonts w:hint="default"/>
            </w:rPr>
            <w:fldChar w:fldCharType="begin"/>
          </w:r>
          <w:r>
            <w:rPr>
              <w:rFonts w:hint="default"/>
            </w:rPr>
            <w:instrText xml:space="preserve"> HYPERLINK \l _Toc27508 </w:instrText>
          </w:r>
          <w:r>
            <w:rPr>
              <w:rFonts w:hint="default"/>
            </w:rPr>
            <w:fldChar w:fldCharType="separate"/>
          </w:r>
          <w:r>
            <w:rPr>
              <w:rFonts w:hint="default" w:ascii="Times New Roman" w:hAnsi="Times New Roman" w:cs="Times New Roman"/>
            </w:rPr>
            <w:t>Chapter 2 Related Theories and Key Technologies</w:t>
          </w:r>
          <w:r>
            <w:tab/>
          </w:r>
          <w:r>
            <w:fldChar w:fldCharType="begin"/>
          </w:r>
          <w:r>
            <w:instrText xml:space="preserve"> PAGEREF _Toc27508 \h </w:instrText>
          </w:r>
          <w:r>
            <w:fldChar w:fldCharType="separate"/>
          </w:r>
          <w:r>
            <w:t>22</w:t>
          </w:r>
          <w:r>
            <w:fldChar w:fldCharType="end"/>
          </w:r>
          <w:r>
            <w:rPr>
              <w:rFonts w:hint="default"/>
            </w:rPr>
            <w:fldChar w:fldCharType="end"/>
          </w:r>
        </w:p>
        <w:p w14:paraId="3A89BF87">
          <w:pPr>
            <w:pStyle w:val="11"/>
            <w:tabs>
              <w:tab w:val="right" w:leader="dot" w:pos="8306"/>
            </w:tabs>
          </w:pPr>
          <w:r>
            <w:rPr>
              <w:rFonts w:hint="default"/>
            </w:rPr>
            <w:fldChar w:fldCharType="begin"/>
          </w:r>
          <w:r>
            <w:rPr>
              <w:rFonts w:hint="default"/>
            </w:rPr>
            <w:instrText xml:space="preserve"> HYPERLINK \l _Toc24137 </w:instrText>
          </w:r>
          <w:r>
            <w:rPr>
              <w:rFonts w:hint="default"/>
            </w:rPr>
            <w:fldChar w:fldCharType="separate"/>
          </w:r>
          <w:r>
            <w:rPr>
              <w:rFonts w:hint="default" w:ascii="Times New Roman" w:hAnsi="Times New Roman" w:cs="Times New Roman"/>
              <w:szCs w:val="28"/>
            </w:rPr>
            <w:t>2.1 Microservice Logs and Anomaly Detection</w:t>
          </w:r>
          <w:r>
            <w:tab/>
          </w:r>
          <w:r>
            <w:fldChar w:fldCharType="begin"/>
          </w:r>
          <w:r>
            <w:instrText xml:space="preserve"> PAGEREF _Toc24137 \h </w:instrText>
          </w:r>
          <w:r>
            <w:fldChar w:fldCharType="separate"/>
          </w:r>
          <w:r>
            <w:t>22</w:t>
          </w:r>
          <w:r>
            <w:fldChar w:fldCharType="end"/>
          </w:r>
          <w:r>
            <w:rPr>
              <w:rFonts w:hint="default"/>
            </w:rPr>
            <w:fldChar w:fldCharType="end"/>
          </w:r>
        </w:p>
        <w:p w14:paraId="6BC59B1A">
          <w:pPr>
            <w:pStyle w:val="11"/>
            <w:tabs>
              <w:tab w:val="right" w:leader="dot" w:pos="8306"/>
            </w:tabs>
          </w:pPr>
          <w:r>
            <w:rPr>
              <w:rFonts w:hint="default"/>
            </w:rPr>
            <w:fldChar w:fldCharType="begin"/>
          </w:r>
          <w:r>
            <w:rPr>
              <w:rFonts w:hint="default"/>
            </w:rPr>
            <w:instrText xml:space="preserve"> HYPERLINK \l _Toc93 </w:instrText>
          </w:r>
          <w:r>
            <w:rPr>
              <w:rFonts w:hint="default"/>
            </w:rPr>
            <w:fldChar w:fldCharType="separate"/>
          </w:r>
          <w:r>
            <w:rPr>
              <w:rFonts w:hint="default" w:ascii="Times New Roman" w:hAnsi="Times New Roman" w:cs="Times New Roman"/>
              <w:szCs w:val="28"/>
            </w:rPr>
            <w:t>2.2 Large Language Models and Log Semantic Representation</w:t>
          </w:r>
          <w:r>
            <w:tab/>
          </w:r>
          <w:r>
            <w:fldChar w:fldCharType="begin"/>
          </w:r>
          <w:r>
            <w:instrText xml:space="preserve"> PAGEREF _Toc93 \h </w:instrText>
          </w:r>
          <w:r>
            <w:fldChar w:fldCharType="separate"/>
          </w:r>
          <w:r>
            <w:t>22</w:t>
          </w:r>
          <w:r>
            <w:fldChar w:fldCharType="end"/>
          </w:r>
          <w:r>
            <w:rPr>
              <w:rFonts w:hint="default"/>
            </w:rPr>
            <w:fldChar w:fldCharType="end"/>
          </w:r>
        </w:p>
        <w:p w14:paraId="146D144D">
          <w:pPr>
            <w:pStyle w:val="11"/>
            <w:tabs>
              <w:tab w:val="right" w:leader="dot" w:pos="8306"/>
            </w:tabs>
          </w:pPr>
          <w:r>
            <w:rPr>
              <w:rFonts w:hint="default"/>
            </w:rPr>
            <w:fldChar w:fldCharType="begin"/>
          </w:r>
          <w:r>
            <w:rPr>
              <w:rFonts w:hint="default"/>
            </w:rPr>
            <w:instrText xml:space="preserve"> HYPERLINK \l _Toc7198 </w:instrText>
          </w:r>
          <w:r>
            <w:rPr>
              <w:rFonts w:hint="default"/>
            </w:rPr>
            <w:fldChar w:fldCharType="separate"/>
          </w:r>
          <w:r>
            <w:rPr>
              <w:rFonts w:hint="default" w:ascii="Times New Roman" w:hAnsi="Times New Roman" w:cs="Times New Roman"/>
              <w:szCs w:val="28"/>
            </w:rPr>
            <w:t>2.3 Graph Neural Networks</w:t>
          </w:r>
          <w:r>
            <w:tab/>
          </w:r>
          <w:r>
            <w:fldChar w:fldCharType="begin"/>
          </w:r>
          <w:r>
            <w:instrText xml:space="preserve"> PAGEREF _Toc7198 \h </w:instrText>
          </w:r>
          <w:r>
            <w:fldChar w:fldCharType="separate"/>
          </w:r>
          <w:r>
            <w:t>23</w:t>
          </w:r>
          <w:r>
            <w:fldChar w:fldCharType="end"/>
          </w:r>
          <w:r>
            <w:rPr>
              <w:rFonts w:hint="default"/>
            </w:rPr>
            <w:fldChar w:fldCharType="end"/>
          </w:r>
        </w:p>
        <w:p w14:paraId="49E8BB2E">
          <w:pPr>
            <w:pStyle w:val="11"/>
            <w:tabs>
              <w:tab w:val="right" w:leader="dot" w:pos="8306"/>
            </w:tabs>
          </w:pPr>
          <w:r>
            <w:rPr>
              <w:rFonts w:hint="default"/>
            </w:rPr>
            <w:fldChar w:fldCharType="begin"/>
          </w:r>
          <w:r>
            <w:rPr>
              <w:rFonts w:hint="default"/>
            </w:rPr>
            <w:instrText xml:space="preserve"> HYPERLINK \l _Toc11727 </w:instrText>
          </w:r>
          <w:r>
            <w:rPr>
              <w:rFonts w:hint="default"/>
            </w:rPr>
            <w:fldChar w:fldCharType="separate"/>
          </w:r>
          <w:r>
            <w:rPr>
              <w:rFonts w:hint="default" w:ascii="Times New Roman" w:hAnsi="Times New Roman" w:cs="Times New Roman"/>
              <w:szCs w:val="28"/>
            </w:rPr>
            <w:t>2.4 Anomaly Detection and Root Cause Localization</w:t>
          </w:r>
          <w:r>
            <w:tab/>
          </w:r>
          <w:r>
            <w:fldChar w:fldCharType="begin"/>
          </w:r>
          <w:r>
            <w:instrText xml:space="preserve"> PAGEREF _Toc11727 \h </w:instrText>
          </w:r>
          <w:r>
            <w:fldChar w:fldCharType="separate"/>
          </w:r>
          <w:r>
            <w:t>23</w:t>
          </w:r>
          <w:r>
            <w:fldChar w:fldCharType="end"/>
          </w:r>
          <w:r>
            <w:rPr>
              <w:rFonts w:hint="default"/>
            </w:rPr>
            <w:fldChar w:fldCharType="end"/>
          </w:r>
        </w:p>
        <w:p w14:paraId="0B92766F">
          <w:pPr>
            <w:pStyle w:val="11"/>
            <w:tabs>
              <w:tab w:val="right" w:leader="dot" w:pos="8306"/>
            </w:tabs>
          </w:pPr>
          <w:r>
            <w:rPr>
              <w:rFonts w:hint="default"/>
            </w:rPr>
            <w:fldChar w:fldCharType="begin"/>
          </w:r>
          <w:r>
            <w:rPr>
              <w:rFonts w:hint="default"/>
            </w:rPr>
            <w:instrText xml:space="preserve"> HYPERLINK \l _Toc18699 </w:instrText>
          </w:r>
          <w:r>
            <w:rPr>
              <w:rFonts w:hint="default"/>
            </w:rPr>
            <w:fldChar w:fldCharType="separate"/>
          </w:r>
          <w:r>
            <w:rPr>
              <w:rFonts w:hint="default" w:ascii="Times New Roman" w:hAnsi="Times New Roman" w:cs="Times New Roman"/>
              <w:szCs w:val="28"/>
            </w:rPr>
            <w:t>2.5 Chapter Summary</w:t>
          </w:r>
          <w:r>
            <w:tab/>
          </w:r>
          <w:r>
            <w:fldChar w:fldCharType="begin"/>
          </w:r>
          <w:r>
            <w:instrText xml:space="preserve"> PAGEREF _Toc18699 \h </w:instrText>
          </w:r>
          <w:r>
            <w:fldChar w:fldCharType="separate"/>
          </w:r>
          <w:r>
            <w:t>24</w:t>
          </w:r>
          <w:r>
            <w:fldChar w:fldCharType="end"/>
          </w:r>
          <w:r>
            <w:rPr>
              <w:rFonts w:hint="default"/>
            </w:rPr>
            <w:fldChar w:fldCharType="end"/>
          </w:r>
        </w:p>
        <w:p w14:paraId="5D3595E5">
          <w:pPr>
            <w:pStyle w:val="10"/>
            <w:tabs>
              <w:tab w:val="right" w:leader="dot" w:pos="8306"/>
              <w:tab w:val="clear" w:pos="9350"/>
            </w:tabs>
          </w:pPr>
          <w:r>
            <w:rPr>
              <w:rFonts w:hint="default"/>
            </w:rPr>
            <w:fldChar w:fldCharType="begin"/>
          </w:r>
          <w:r>
            <w:rPr>
              <w:rFonts w:hint="default"/>
            </w:rPr>
            <w:instrText xml:space="preserve"> HYPERLINK \l _Toc18654 </w:instrText>
          </w:r>
          <w:r>
            <w:rPr>
              <w:rFonts w:hint="default"/>
            </w:rPr>
            <w:fldChar w:fldCharType="separate"/>
          </w:r>
          <w:r>
            <w:rPr>
              <w:rFonts w:hint="default" w:ascii="Times New Roman" w:hAnsi="Times New Roman" w:cs="Times New Roman"/>
            </w:rPr>
            <w:t>Chapter 3 Methodology and Model Design</w:t>
          </w:r>
          <w:r>
            <w:tab/>
          </w:r>
          <w:r>
            <w:fldChar w:fldCharType="begin"/>
          </w:r>
          <w:r>
            <w:instrText xml:space="preserve"> PAGEREF _Toc18654 \h </w:instrText>
          </w:r>
          <w:r>
            <w:fldChar w:fldCharType="separate"/>
          </w:r>
          <w:r>
            <w:t>25</w:t>
          </w:r>
          <w:r>
            <w:fldChar w:fldCharType="end"/>
          </w:r>
          <w:r>
            <w:rPr>
              <w:rFonts w:hint="default"/>
            </w:rPr>
            <w:fldChar w:fldCharType="end"/>
          </w:r>
        </w:p>
        <w:p w14:paraId="4842BF4F">
          <w:pPr>
            <w:pStyle w:val="11"/>
            <w:tabs>
              <w:tab w:val="right" w:leader="dot" w:pos="8306"/>
            </w:tabs>
          </w:pPr>
          <w:r>
            <w:rPr>
              <w:rFonts w:hint="default"/>
            </w:rPr>
            <w:fldChar w:fldCharType="begin"/>
          </w:r>
          <w:r>
            <w:rPr>
              <w:rFonts w:hint="default"/>
            </w:rPr>
            <w:instrText xml:space="preserve"> HYPERLINK \l _Toc19843 </w:instrText>
          </w:r>
          <w:r>
            <w:rPr>
              <w:rFonts w:hint="default"/>
            </w:rPr>
            <w:fldChar w:fldCharType="separate"/>
          </w:r>
          <w:r>
            <w:rPr>
              <w:rFonts w:hint="default" w:ascii="Times New Roman" w:hAnsi="Times New Roman" w:cs="Times New Roman"/>
              <w:szCs w:val="28"/>
            </w:rPr>
            <w:t>3.1 Overall Framework</w:t>
          </w:r>
          <w:r>
            <w:tab/>
          </w:r>
          <w:r>
            <w:fldChar w:fldCharType="begin"/>
          </w:r>
          <w:r>
            <w:instrText xml:space="preserve"> PAGEREF _Toc19843 \h </w:instrText>
          </w:r>
          <w:r>
            <w:fldChar w:fldCharType="separate"/>
          </w:r>
          <w:r>
            <w:t>25</w:t>
          </w:r>
          <w:r>
            <w:fldChar w:fldCharType="end"/>
          </w:r>
          <w:r>
            <w:rPr>
              <w:rFonts w:hint="default"/>
            </w:rPr>
            <w:fldChar w:fldCharType="end"/>
          </w:r>
        </w:p>
        <w:p w14:paraId="4ED49CB1">
          <w:pPr>
            <w:pStyle w:val="11"/>
            <w:tabs>
              <w:tab w:val="right" w:leader="dot" w:pos="8306"/>
            </w:tabs>
          </w:pPr>
          <w:r>
            <w:rPr>
              <w:rFonts w:hint="default"/>
            </w:rPr>
            <w:fldChar w:fldCharType="begin"/>
          </w:r>
          <w:r>
            <w:rPr>
              <w:rFonts w:hint="default"/>
            </w:rPr>
            <w:instrText xml:space="preserve"> HYPERLINK \l _Toc2349 </w:instrText>
          </w:r>
          <w:r>
            <w:rPr>
              <w:rFonts w:hint="default"/>
            </w:rPr>
            <w:fldChar w:fldCharType="separate"/>
          </w:r>
          <w:r>
            <w:rPr>
              <w:rFonts w:hint="default" w:ascii="Times New Roman" w:hAnsi="Times New Roman" w:cs="Times New Roman"/>
              <w:szCs w:val="28"/>
            </w:rPr>
            <w:t>3.2 Log Preprocessing and Semantic Representation</w:t>
          </w:r>
          <w:r>
            <w:tab/>
          </w:r>
          <w:r>
            <w:fldChar w:fldCharType="begin"/>
          </w:r>
          <w:r>
            <w:instrText xml:space="preserve"> PAGEREF _Toc2349 \h </w:instrText>
          </w:r>
          <w:r>
            <w:fldChar w:fldCharType="separate"/>
          </w:r>
          <w:r>
            <w:t>26</w:t>
          </w:r>
          <w:r>
            <w:fldChar w:fldCharType="end"/>
          </w:r>
          <w:r>
            <w:rPr>
              <w:rFonts w:hint="default"/>
            </w:rPr>
            <w:fldChar w:fldCharType="end"/>
          </w:r>
        </w:p>
        <w:p w14:paraId="069D4C15">
          <w:pPr>
            <w:pStyle w:val="11"/>
            <w:tabs>
              <w:tab w:val="right" w:leader="dot" w:pos="8306"/>
            </w:tabs>
          </w:pPr>
          <w:r>
            <w:rPr>
              <w:rFonts w:hint="default"/>
            </w:rPr>
            <w:fldChar w:fldCharType="begin"/>
          </w:r>
          <w:r>
            <w:rPr>
              <w:rFonts w:hint="default"/>
            </w:rPr>
            <w:instrText xml:space="preserve"> HYPERLINK \l _Toc14225 </w:instrText>
          </w:r>
          <w:r>
            <w:rPr>
              <w:rFonts w:hint="default"/>
            </w:rPr>
            <w:fldChar w:fldCharType="separate"/>
          </w:r>
          <w:r>
            <w:rPr>
              <w:rFonts w:hint="default" w:ascii="Times New Roman" w:hAnsi="Times New Roman" w:cs="Times New Roman"/>
              <w:szCs w:val="28"/>
            </w:rPr>
            <w:t>3.3 Microservice Call Graph Construction</w:t>
          </w:r>
          <w:r>
            <w:tab/>
          </w:r>
          <w:r>
            <w:fldChar w:fldCharType="begin"/>
          </w:r>
          <w:r>
            <w:instrText xml:space="preserve"> PAGEREF _Toc14225 \h </w:instrText>
          </w:r>
          <w:r>
            <w:fldChar w:fldCharType="separate"/>
          </w:r>
          <w:r>
            <w:t>29</w:t>
          </w:r>
          <w:r>
            <w:fldChar w:fldCharType="end"/>
          </w:r>
          <w:r>
            <w:rPr>
              <w:rFonts w:hint="default"/>
            </w:rPr>
            <w:fldChar w:fldCharType="end"/>
          </w:r>
        </w:p>
        <w:p w14:paraId="1BA09D86">
          <w:pPr>
            <w:pStyle w:val="11"/>
            <w:tabs>
              <w:tab w:val="right" w:leader="dot" w:pos="8306"/>
            </w:tabs>
          </w:pPr>
          <w:r>
            <w:rPr>
              <w:rFonts w:hint="default"/>
            </w:rPr>
            <w:fldChar w:fldCharType="begin"/>
          </w:r>
          <w:r>
            <w:rPr>
              <w:rFonts w:hint="default"/>
            </w:rPr>
            <w:instrText xml:space="preserve"> HYPERLINK \l _Toc3502 </w:instrText>
          </w:r>
          <w:r>
            <w:rPr>
              <w:rFonts w:hint="default"/>
            </w:rPr>
            <w:fldChar w:fldCharType="separate"/>
          </w:r>
          <w:r>
            <w:rPr>
              <w:rFonts w:hint="default" w:ascii="Times New Roman" w:hAnsi="Times New Roman" w:cs="Times New Roman"/>
              <w:szCs w:val="28"/>
            </w:rPr>
            <w:t>3.4 Joint Modeling with Graph Neural Networks</w:t>
          </w:r>
          <w:r>
            <w:tab/>
          </w:r>
          <w:r>
            <w:fldChar w:fldCharType="begin"/>
          </w:r>
          <w:r>
            <w:instrText xml:space="preserve"> PAGEREF _Toc3502 \h </w:instrText>
          </w:r>
          <w:r>
            <w:fldChar w:fldCharType="separate"/>
          </w:r>
          <w:r>
            <w:t>31</w:t>
          </w:r>
          <w:r>
            <w:fldChar w:fldCharType="end"/>
          </w:r>
          <w:r>
            <w:rPr>
              <w:rFonts w:hint="default"/>
            </w:rPr>
            <w:fldChar w:fldCharType="end"/>
          </w:r>
        </w:p>
        <w:p w14:paraId="406A159A">
          <w:pPr>
            <w:pStyle w:val="11"/>
            <w:tabs>
              <w:tab w:val="right" w:leader="dot" w:pos="8306"/>
            </w:tabs>
          </w:pPr>
          <w:r>
            <w:rPr>
              <w:rFonts w:hint="default"/>
            </w:rPr>
            <w:fldChar w:fldCharType="begin"/>
          </w:r>
          <w:r>
            <w:rPr>
              <w:rFonts w:hint="default"/>
            </w:rPr>
            <w:instrText xml:space="preserve"> HYPERLINK \l _Toc5933 </w:instrText>
          </w:r>
          <w:r>
            <w:rPr>
              <w:rFonts w:hint="default"/>
            </w:rPr>
            <w:fldChar w:fldCharType="separate"/>
          </w:r>
          <w:r>
            <w:rPr>
              <w:rFonts w:hint="default" w:ascii="Times New Roman" w:hAnsi="Times New Roman" w:cs="Times New Roman"/>
              <w:szCs w:val="28"/>
            </w:rPr>
            <w:t>3.5 Multi-Task Joint Training</w:t>
          </w:r>
          <w:r>
            <w:tab/>
          </w:r>
          <w:r>
            <w:fldChar w:fldCharType="begin"/>
          </w:r>
          <w:r>
            <w:instrText xml:space="preserve"> PAGEREF _Toc5933 \h </w:instrText>
          </w:r>
          <w:r>
            <w:fldChar w:fldCharType="separate"/>
          </w:r>
          <w:r>
            <w:t>34</w:t>
          </w:r>
          <w:r>
            <w:fldChar w:fldCharType="end"/>
          </w:r>
          <w:r>
            <w:rPr>
              <w:rFonts w:hint="default"/>
            </w:rPr>
            <w:fldChar w:fldCharType="end"/>
          </w:r>
        </w:p>
        <w:p w14:paraId="40FB6D3B">
          <w:pPr>
            <w:pStyle w:val="11"/>
            <w:tabs>
              <w:tab w:val="right" w:leader="dot" w:pos="8306"/>
            </w:tabs>
          </w:pPr>
          <w:r>
            <w:rPr>
              <w:rFonts w:hint="default"/>
            </w:rPr>
            <w:fldChar w:fldCharType="begin"/>
          </w:r>
          <w:r>
            <w:rPr>
              <w:rFonts w:hint="default"/>
            </w:rPr>
            <w:instrText xml:space="preserve"> HYPERLINK \l _Toc2075 </w:instrText>
          </w:r>
          <w:r>
            <w:rPr>
              <w:rFonts w:hint="default"/>
            </w:rPr>
            <w:fldChar w:fldCharType="separate"/>
          </w:r>
          <w:r>
            <w:rPr>
              <w:rFonts w:hint="default" w:ascii="Times New Roman" w:hAnsi="Times New Roman" w:cs="Times New Roman"/>
              <w:szCs w:val="28"/>
            </w:rPr>
            <w:t>3.6 Evaluation Metrics</w:t>
          </w:r>
          <w:r>
            <w:tab/>
          </w:r>
          <w:r>
            <w:fldChar w:fldCharType="begin"/>
          </w:r>
          <w:r>
            <w:instrText xml:space="preserve"> PAGEREF _Toc2075 \h </w:instrText>
          </w:r>
          <w:r>
            <w:fldChar w:fldCharType="separate"/>
          </w:r>
          <w:r>
            <w:t>37</w:t>
          </w:r>
          <w:r>
            <w:fldChar w:fldCharType="end"/>
          </w:r>
          <w:r>
            <w:rPr>
              <w:rFonts w:hint="default"/>
            </w:rPr>
            <w:fldChar w:fldCharType="end"/>
          </w:r>
        </w:p>
        <w:p w14:paraId="0C40DC39">
          <w:pPr>
            <w:pStyle w:val="11"/>
            <w:tabs>
              <w:tab w:val="right" w:leader="dot" w:pos="8306"/>
            </w:tabs>
          </w:pPr>
          <w:r>
            <w:rPr>
              <w:rFonts w:hint="default"/>
            </w:rPr>
            <w:fldChar w:fldCharType="begin"/>
          </w:r>
          <w:r>
            <w:rPr>
              <w:rFonts w:hint="default"/>
            </w:rPr>
            <w:instrText xml:space="preserve"> HYPERLINK \l _Toc14915 </w:instrText>
          </w:r>
          <w:r>
            <w:rPr>
              <w:rFonts w:hint="default"/>
            </w:rPr>
            <w:fldChar w:fldCharType="separate"/>
          </w:r>
          <w:r>
            <w:rPr>
              <w:rFonts w:hint="default" w:ascii="Times New Roman" w:hAnsi="Times New Roman" w:cs="Times New Roman"/>
              <w:szCs w:val="28"/>
            </w:rPr>
            <w:t>3.7 Chapter Summary</w:t>
          </w:r>
          <w:r>
            <w:tab/>
          </w:r>
          <w:r>
            <w:fldChar w:fldCharType="begin"/>
          </w:r>
          <w:r>
            <w:instrText xml:space="preserve"> PAGEREF _Toc14915 \h </w:instrText>
          </w:r>
          <w:r>
            <w:fldChar w:fldCharType="separate"/>
          </w:r>
          <w:r>
            <w:t>39</w:t>
          </w:r>
          <w:r>
            <w:fldChar w:fldCharType="end"/>
          </w:r>
          <w:r>
            <w:rPr>
              <w:rFonts w:hint="default"/>
            </w:rPr>
            <w:fldChar w:fldCharType="end"/>
          </w:r>
        </w:p>
        <w:p w14:paraId="43461B7F">
          <w:pPr>
            <w:pStyle w:val="10"/>
            <w:tabs>
              <w:tab w:val="right" w:leader="dot" w:pos="8306"/>
              <w:tab w:val="clear" w:pos="9350"/>
            </w:tabs>
          </w:pPr>
          <w:r>
            <w:rPr>
              <w:rFonts w:hint="default"/>
            </w:rPr>
            <w:fldChar w:fldCharType="begin"/>
          </w:r>
          <w:r>
            <w:rPr>
              <w:rFonts w:hint="default"/>
            </w:rPr>
            <w:instrText xml:space="preserve"> HYPERLINK \l _Toc19810 </w:instrText>
          </w:r>
          <w:r>
            <w:rPr>
              <w:rFonts w:hint="default"/>
            </w:rPr>
            <w:fldChar w:fldCharType="separate"/>
          </w:r>
          <w:r>
            <w:t>References</w:t>
          </w:r>
          <w:r>
            <w:tab/>
          </w:r>
          <w:r>
            <w:fldChar w:fldCharType="begin"/>
          </w:r>
          <w:r>
            <w:instrText xml:space="preserve"> PAGEREF _Toc19810 \h </w:instrText>
          </w:r>
          <w:r>
            <w:fldChar w:fldCharType="separate"/>
          </w:r>
          <w:r>
            <w:t>41</w:t>
          </w:r>
          <w:r>
            <w:fldChar w:fldCharType="end"/>
          </w:r>
          <w:r>
            <w:rPr>
              <w:rFonts w:hint="default"/>
            </w:rPr>
            <w:fldChar w:fldCharType="end"/>
          </w:r>
        </w:p>
        <w:p w14:paraId="1FF1D4EF">
          <w:pPr>
            <w:rPr>
              <w:rFonts w:hint="default" w:asciiTheme="minorHAnsi" w:hAnsiTheme="minorHAnsi" w:eastAsiaTheme="minorEastAsia" w:cstheme="minorBidi"/>
              <w:kern w:val="2"/>
              <w:sz w:val="21"/>
              <w:szCs w:val="24"/>
              <w:lang w:val="en-US" w:eastAsia="zh-CN" w:bidi="ar-SA"/>
            </w:rPr>
          </w:pPr>
          <w:r>
            <w:rPr>
              <w:rFonts w:hint="default"/>
            </w:rPr>
            <w:fldChar w:fldCharType="end"/>
          </w:r>
        </w:p>
      </w:sdtContent>
    </w:sdt>
    <w:p w14:paraId="32236859">
      <w:pPr>
        <w:rPr>
          <w:rFonts w:hint="default" w:asciiTheme="minorHAnsi" w:hAnsiTheme="minorHAnsi" w:eastAsiaTheme="minorEastAsia" w:cstheme="minorBidi"/>
          <w:kern w:val="2"/>
          <w:sz w:val="21"/>
          <w:szCs w:val="24"/>
          <w:lang w:val="en-US" w:eastAsia="zh-CN" w:bidi="ar-SA"/>
        </w:rPr>
        <w:sectPr>
          <w:pgSz w:w="11906" w:h="16838"/>
          <w:pgMar w:top="1440" w:right="1800" w:bottom="1440" w:left="1800" w:header="851" w:footer="992" w:gutter="0"/>
          <w:cols w:space="425" w:num="1"/>
          <w:docGrid w:type="lines" w:linePitch="312" w:charSpace="0"/>
        </w:sectPr>
      </w:pPr>
    </w:p>
    <w:p w14:paraId="5DEC6644">
      <w:pPr>
        <w:pStyle w:val="2"/>
        <w:keepNext w:val="0"/>
        <w:keepLines w:val="0"/>
        <w:widowControl/>
        <w:suppressLineNumbers w:val="0"/>
        <w:rPr>
          <w:rFonts w:hint="default" w:ascii="Times New Roman" w:hAnsi="Times New Roman" w:cs="Times New Roman"/>
          <w:color w:val="auto"/>
        </w:rPr>
      </w:pPr>
      <w:bookmarkStart w:id="0" w:name="_Toc29419"/>
      <w:r>
        <w:rPr>
          <w:rFonts w:hint="default" w:ascii="Times New Roman" w:hAnsi="Times New Roman" w:cs="Times New Roman"/>
          <w:color w:val="auto"/>
        </w:rPr>
        <w:t>Chapter 1 Introduction</w:t>
      </w:r>
      <w:bookmarkEnd w:id="0"/>
    </w:p>
    <w:p w14:paraId="0928CC7F">
      <w:pPr>
        <w:pStyle w:val="4"/>
        <w:keepNext w:val="0"/>
        <w:keepLines w:val="0"/>
        <w:widowControl/>
        <w:suppressLineNumbers w:val="0"/>
        <w:rPr>
          <w:rFonts w:hint="default" w:ascii="Times New Roman" w:hAnsi="Times New Roman" w:cs="Times New Roman"/>
          <w:color w:val="auto"/>
          <w:sz w:val="28"/>
          <w:szCs w:val="28"/>
        </w:rPr>
      </w:pPr>
      <w:bookmarkStart w:id="1" w:name="_Toc5381"/>
      <w:r>
        <w:rPr>
          <w:rFonts w:hint="default" w:ascii="Times New Roman" w:hAnsi="Times New Roman" w:cs="Times New Roman"/>
          <w:color w:val="auto"/>
          <w:sz w:val="28"/>
          <w:szCs w:val="28"/>
        </w:rPr>
        <w:t>1.1 Research Background and Significance</w:t>
      </w:r>
      <w:bookmarkEnd w:id="1"/>
    </w:p>
    <w:p w14:paraId="12F458C1">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1.1.1 The Evolution of Microservice Architecture and Operational Challenges</w:t>
      </w:r>
    </w:p>
    <w:p w14:paraId="60FC34E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With the development of cloud computing, containerization, and cloud-native infrastructure, software systems have gradually evolved from traditional monolithic architectures toward microservice architectures. Traditional monolithic applications typically deploy multiple business modules within a single application unit. Although this design offers a relatively simple architecture and convenient deployment management, dependencies among modules become increasingly complex as the scale and complexity of the system grow. Modifications or extensions to an individual module may affect the operation of the entire application. Monolithic architectures also face limitations in independent service deployment, elastic scaling, and continuous delivery.</w:t>
      </w:r>
    </w:p>
    <w:p w14:paraId="7A4A7DF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architecture decomposes a complex application into multiple services with relatively independent business responsibilities. Each service can be developed, deployed, and scaled according to its specific functionality. Different services may use heterogeneous technology stacks and communicate through mechanisms such as HTTP, remote procedure calls, and message middleware. This architecture improves modularity and deployment flexibility, but it also increases the complexity of service dependencies and runtime behavior.</w:t>
      </w:r>
    </w:p>
    <w:p w14:paraId="3209507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a microservice environment, a user request typically traverses multiple services and may involve databases, caches, and other external dependencies. When a service experiences resource exhaustion, network latency, request timeouts, or internal processing errors, the resulting failure may propagate along the service call chain. This propagation can affect response times, request success rates, and the availability of upstream services. Consequently, microservice operations require not only timely anomaly detection but also the identification of failure origins and the analysis of failure propagation across service dependencies.</w:t>
      </w:r>
    </w:p>
    <w:p w14:paraId="7157720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Observability technologies provide an important data foundation for analyzing microservice runtime behavior. Logs record program execution, error messages, and business events. Metrics quantify system conditions such as CPU utilization, memory consumption, response latency, and error rates. Distributed traces record request paths and execution information across multiple services. These three types of telemetry provide complementary perspectives on system behavior.</w:t>
      </w:r>
    </w:p>
    <w:p w14:paraId="64062FB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microservice telemetry is often characterized by large data volumes, complex temporal relationships, and dense inter-service dependencies. Analyzing a single data source may not fully reveal how a failure originates and propagates. Therefore, identifying abnormal system states from runtime telemetry and determining the services responsible for those abnormalities have become important research problems in intelligent microservice operations.</w:t>
      </w:r>
    </w:p>
    <w:p w14:paraId="46133CC3">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1.1.2 Significance of Microservice Log Anomaly Detection</w:t>
      </w:r>
    </w:p>
    <w:p w14:paraId="1E69D02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are an important source of information about software execution and internal system events. Unlike structured numerical metrics, logs generally appear as semi-structured text containing error descriptions, execution states, service identifiers, and contextual information. Log anomalies may manifest as deviations from normal event sequences, unusual changes in event frequencies, or error messages with abnormal semantic content. Consequently, log anomaly detection requires consideration of textual semantics, relationships among events, and changes in runtime behavior over time.</w:t>
      </w:r>
    </w:p>
    <w:p w14:paraId="0F48B78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Early log analysis approaches typically parse raw log messages into templates and then identify anomalies through event frequencies, sequences, or statistical patterns. Drain, proposed by He et al., uses a fixed-depth parsing tree to perform online log parsing and transform semi-structured messages into structured templates, providing a foundation for subsequent log mining </w:t>
      </w:r>
      <w:r>
        <w:rPr>
          <w:rFonts w:hint="default" w:ascii="Times New Roman" w:hAnsi="Times New Roman" w:cs="Times New Roman"/>
          <w:vertAlign w:val="superscript"/>
        </w:rPr>
        <w:t>[1]</w:t>
      </w:r>
      <w:r>
        <w:rPr>
          <w:rFonts w:hint="default" w:ascii="Times New Roman" w:hAnsi="Times New Roman" w:cs="Times New Roman"/>
        </w:rPr>
        <w:t>. Although template-based representations reduce the difficulty of processing heterogeneous log formats, they may preserve only limited information about the underlying semantics of the messages.</w:t>
      </w:r>
    </w:p>
    <w:p w14:paraId="3EB2FEC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With the development of deep learning, researchers began using neural networks to learn sequential patterns in log events. Du et al. proposed DeepLog, which uses a long short-term memory network to learn normal log-event transitions and identify anomalies through deviations from predicted behavior </w:t>
      </w:r>
      <w:r>
        <w:rPr>
          <w:rFonts w:hint="default" w:ascii="Times New Roman" w:hAnsi="Times New Roman" w:cs="Times New Roman"/>
          <w:vertAlign w:val="superscript"/>
        </w:rPr>
        <w:t>[2]</w:t>
      </w:r>
      <w:r>
        <w:rPr>
          <w:rFonts w:hint="default" w:ascii="Times New Roman" w:hAnsi="Times New Roman" w:cs="Times New Roman"/>
        </w:rPr>
        <w:t>. Meng et al. proposed LogAnomaly, which combines semantic information and quantitative features to detect sequential and quantitative anomalies in log streams [3]. These studies demonstrate that learned representations can reduce dependence on manually defined rules and provide new approaches to recognizing complex log patterns.</w:t>
      </w:r>
    </w:p>
    <w:p w14:paraId="4DACD83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Nevertheless, log messages exhibit substantial contextual dependence and semantic diversity. Different messages may express the same underlying failure, while similar messages may correspond to different runtime conditions. Representations based exclusively on event identifiers, templates, or local statistical features may therefore fail to capture important natural-language semantics. Developing more expressive textual representations and applying them to anomaly detection is an important direction for improving microservice log analysis.</w:t>
      </w:r>
    </w:p>
    <w:p w14:paraId="0B98D9D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acquire language representation capabilities through large-scale pretraining and can transform text into vector representations containing contextual information. Guan et al. proposed LogLLM, which explores log anomaly detection by combining BERT-based semantic encoding with sequence classification using a large language model [4]. This line of research demonstrates the potential of pretrained language models to provide semantic representations beyond conventional templates and event identifiers.</w:t>
      </w:r>
    </w:p>
    <w:p w14:paraId="6585D19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Motivated by this direction, this study investigates the extraction of hidden states from Qwen2.5-7B-Instruct and the construction of fixed-dimensional semantic vectors through mean pooling. By integrating these representations with downstream classifiers and graph neural networks, the study examines the role of pretrained language-model representations in microservice anomaly detection and root cause localization.</w:t>
      </w:r>
    </w:p>
    <w:p w14:paraId="36658640">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1.1.3 Significance of Microservice Root Cause Localization</w:t>
      </w:r>
    </w:p>
    <w:p w14:paraId="13017CB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determines whether a system or a particular time window exhibits abnormal behavior. However, detecting an anomaly does not necessarily identify the underlying cause. In a microservice system, a failure may trigger a chain of secondary effects through service dependencies. For example, increased latency in a downstream service may cause upstream services to time out while waiting for responses, resulting in multiple services exhibiting abnormal behavior simultaneously. In such cases, the service displaying the most obvious symptoms is not necessarily the service where the failure originated.</w:t>
      </w:r>
    </w:p>
    <w:p w14:paraId="5FA2B3B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analysis (RCA) aims to identify the service or component most likely responsible for a failure by examining abnormal observations and their relationships. In microservice environments, RCA may require the joint analysis of logs, runtime metrics, distributed traces, and service dependencies to distinguish the original failure source from services affected by failure propagation.</w:t>
      </w:r>
    </w:p>
    <w:p w14:paraId="2B25752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Research on microservice RCA has expanded from rule-based and statistical approaches to causal inference, graph-based modeling, and data-driven methods. Pham et al. investigated causal-inference-based RCA for microservice systems and discussed its applicability and limitations in practical environments </w:t>
      </w:r>
      <w:r>
        <w:rPr>
          <w:rFonts w:hint="default" w:ascii="Times New Roman" w:hAnsi="Times New Roman" w:cs="Times New Roman"/>
          <w:vertAlign w:val="superscript"/>
        </w:rPr>
        <w:t>[5]</w:t>
      </w:r>
      <w:r>
        <w:rPr>
          <w:rFonts w:hint="default" w:ascii="Times New Roman" w:hAnsi="Times New Roman" w:cs="Times New Roman"/>
        </w:rPr>
        <w:t xml:space="preserve">. Subsequent work introduced RCAEval, a benchmark providing failure cases from multiple microservice systems, multi-source telemetry, and an evaluation environment for RCA methods </w:t>
      </w:r>
      <w:r>
        <w:rPr>
          <w:rFonts w:hint="default" w:ascii="Times New Roman" w:hAnsi="Times New Roman" w:cs="Times New Roman"/>
          <w:vertAlign w:val="superscript"/>
        </w:rPr>
        <w:t>[6]</w:t>
      </w:r>
      <w:r>
        <w:rPr>
          <w:rFonts w:hint="default" w:ascii="Times New Roman" w:hAnsi="Times New Roman" w:cs="Times New Roman"/>
        </w:rPr>
        <w:t>. This benchmark provides a common foundation for comparing different approaches.</w:t>
      </w:r>
    </w:p>
    <w:p w14:paraId="142B4D8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naturally form a graph: services can be represented as nodes, while calls between services can be represented as directed edges. Following a failure, abnormal behavior may propagate along these edges. Therefore, ranking services solely according to their individual logs or statistical features may not fully exploit information about the overall system structure.</w:t>
      </w:r>
    </w:p>
    <w:p w14:paraId="739606A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 neural networks learn node representations by aggregating information from neighboring nodes and support both node-level and graph-level prediction. Combining log-semantic features with service call graphs may allow a model to represent individual service states while incorporating information from related services. However, whether graph-based modeling improves localization performance must be established through controlled experiments.</w:t>
      </w:r>
    </w:p>
    <w:p w14:paraId="2B6EF3E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Accordingly, this study investigates the construction of microservice call graphs from distributed traces and the use of graph neural networks to learn relationships among service nodes, with the aim of examining the contribution of structural information to anomaly detection and root cause localization.</w:t>
      </w:r>
    </w:p>
    <w:p w14:paraId="228362FC">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1.1.4 Significance of Integrating Large Language Models and Graph Neural Networks</w:t>
      </w:r>
    </w:p>
    <w:p w14:paraId="709E7A8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models and graph neural networks provide complementary representation capabilities. Large language models are suited to extracting contextual semantics from text and transforming log messages into vector representations. Graph neural networks learn structured representations by aggregating information across nodes and edges. Integrating these approaches provides a way to model microservice runtime behavior from both textual and structural perspectives.</w:t>
      </w:r>
    </w:p>
    <w:p w14:paraId="27B0B21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In microservice log analysis, semantic features can represent error descriptions, execution states, and contextual information, while service call graphs encode dependencies among services. Using semantic vectors as node features and call relationships as graph edges allows a model to consider the state of an individual service together with information from related services.</w:t>
      </w:r>
    </w:p>
    <w:p w14:paraId="70BAD71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Anomaly detection and root cause localization also differ in their prediction granularity. Anomaly detection determines whether a time window is abnormal and is therefore a window-level prediction task. Root cause localization assigns scores and rankings to candidate services within a failure case and is therefore a node-level analysis task. A shared graph representation can support these tasks through separate graph-level anomaly detection and node-level root cause localization branches.</w:t>
      </w:r>
    </w:p>
    <w:p w14:paraId="01985A9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Following this approach, the study investigates a method for microservice log anomaly detection and root cause localization based on large language models and graph neural networks. A pretrained language model is used to extract log-semantic vectors, distributed traces are used to construct service call graphs, and graph neural networks are applied to learn relationships among services. The resulting representations are evaluated through anomaly detection and root cause localization tasks.</w:t>
      </w:r>
    </w:p>
    <w:p w14:paraId="24F66AA8">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objective is to investigate the complementarity between textual semantic representations and service-structure information and to establish a technical approach that can be studied, compared, and reproduced in the context of intelligent microservice operations.</w:t>
      </w:r>
    </w:p>
    <w:p w14:paraId="1B3DDD1B">
      <w:pPr>
        <w:pStyle w:val="4"/>
        <w:keepNext w:val="0"/>
        <w:keepLines w:val="0"/>
        <w:widowControl/>
        <w:suppressLineNumbers w:val="0"/>
        <w:rPr>
          <w:rFonts w:hint="default" w:ascii="Times New Roman" w:hAnsi="Times New Roman" w:cs="Times New Roman"/>
          <w:color w:val="auto"/>
          <w:sz w:val="28"/>
          <w:szCs w:val="28"/>
        </w:rPr>
      </w:pPr>
      <w:bookmarkStart w:id="2" w:name="_Toc27881"/>
      <w:r>
        <w:rPr>
          <w:rFonts w:hint="default" w:ascii="Times New Roman" w:hAnsi="Times New Roman" w:cs="Times New Roman"/>
          <w:color w:val="auto"/>
          <w:sz w:val="28"/>
          <w:szCs w:val="28"/>
        </w:rPr>
        <w:t>1.2 Related Work</w:t>
      </w:r>
      <w:bookmarkEnd w:id="2"/>
    </w:p>
    <w:p w14:paraId="2FB4296D">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1.2.1 Rule-Based and Statistical Approaches to Log Anomaly Detection</w:t>
      </w:r>
    </w:p>
    <w:p w14:paraId="7C1BE60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Rule-based and statistical approaches constitute an important research direction in log analysis. These methods generally parse log messages or extract templates before identifying anomalies through event frequencies, sequences, or historical statistical patterns.</w:t>
      </w:r>
    </w:p>
    <w:p w14:paraId="2620318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Drain is a representative online log parsing method. He et al. organized log templates using a fixed-depth parsing tree, enabling the online processing of continuously arriving log data </w:t>
      </w:r>
      <w:r>
        <w:rPr>
          <w:rFonts w:hint="default" w:ascii="Times New Roman" w:hAnsi="Times New Roman" w:cs="Times New Roman"/>
          <w:vertAlign w:val="superscript"/>
        </w:rPr>
        <w:t>[1]</w:t>
      </w:r>
      <w:r>
        <w:rPr>
          <w:rFonts w:hint="default" w:ascii="Times New Roman" w:hAnsi="Times New Roman" w:cs="Times New Roman"/>
        </w:rPr>
        <w:t>. Log parsing transforms messages with heterogeneous formats into structured events and provides a foundation for subsequent anomaly detection and behavioral analysis.</w:t>
      </w:r>
    </w:p>
    <w:p w14:paraId="4C891BF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Traditional anomaly detection methods commonly use event frequencies, event combinations, or statistical distributions to infer system states. Significant changes in the frequency of a particular event or deviations from historical event patterns may indicate potential anomalies. These approaches are often relatively simple to implement, computationally economical, and interpretable when explicit rules are involved.</w:t>
      </w:r>
    </w:p>
    <w:p w14:paraId="7F5C72A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However, rule-based and statistical approaches may depend on predefined rules or stable log patterns. When software versions change, logging templates are updated, or workload conditions shift, historical patterns may no longer remain valid. Furthermore, template-based representations primarily capture structural patterns and may not adequately distinguish fine-grained semantic differences among log messages.</w:t>
      </w:r>
    </w:p>
    <w:p w14:paraId="2763A9C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traditional log analysis provides a foundation for automated anomaly detection, further research is needed to improve semantic understanding and cross-service correlation analysis.</w:t>
      </w:r>
    </w:p>
    <w:p w14:paraId="3F009A45">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1.2.2 Deep Learning-Based Log Anomaly Detection</w:t>
      </w:r>
    </w:p>
    <w:p w14:paraId="7B3B184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Deep learning methods use neural networks to learn representations from log events, textual features, or time series, improving the ability to recognize complex patterns.</w:t>
      </w:r>
    </w:p>
    <w:p w14:paraId="07CAC8F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Du et al. proposed DeepLog, which models log events as sequences and uses an LSTM network to learn transitions among normal events. An anomaly can be detected when an observed event deviates from the learned normal pattern </w:t>
      </w:r>
      <w:r>
        <w:rPr>
          <w:rFonts w:hint="default" w:ascii="Times New Roman" w:hAnsi="Times New Roman" w:cs="Times New Roman"/>
          <w:vertAlign w:val="superscript"/>
        </w:rPr>
        <w:t>[2]</w:t>
      </w:r>
      <w:r>
        <w:rPr>
          <w:rFonts w:hint="default" w:ascii="Times New Roman" w:hAnsi="Times New Roman" w:cs="Times New Roman"/>
        </w:rPr>
        <w:t>. This approach introduced sequence prediction into log anomaly detection and provided an important foundation for subsequent learning-based methods.</w:t>
      </w:r>
    </w:p>
    <w:p w14:paraId="749BEB5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Meng et al. proposed LogAnomaly, which combines semantic information from log templates with quantitative features to detect sequential and quantitative anomalies </w:t>
      </w:r>
      <w:r>
        <w:rPr>
          <w:rFonts w:hint="default" w:ascii="Times New Roman" w:hAnsi="Times New Roman" w:cs="Times New Roman"/>
          <w:vertAlign w:val="superscript"/>
        </w:rPr>
        <w:t>[3]</w:t>
      </w:r>
      <w:r>
        <w:rPr>
          <w:rFonts w:hint="default" w:ascii="Times New Roman" w:hAnsi="Times New Roman" w:cs="Times New Roman"/>
        </w:rPr>
        <w:t>. Their work demonstrates that log anomalies may manifest not only as changes in event order but also as deviations in event counts and statistical patterns.</w:t>
      </w:r>
    </w:p>
    <w:p w14:paraId="3956193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Zhang et al. proposed LogRobust to address changes in log events and sequences over time. The method uses semantic vectors and an attention-based model to improve anomaly detection under unstable logging conditions </w:t>
      </w:r>
      <w:r>
        <w:rPr>
          <w:rFonts w:hint="default" w:ascii="Times New Roman" w:hAnsi="Times New Roman" w:cs="Times New Roman"/>
          <w:vertAlign w:val="superscript"/>
        </w:rPr>
        <w:t>[7]</w:t>
      </w:r>
      <w:r>
        <w:rPr>
          <w:rFonts w:hint="default" w:ascii="Times New Roman" w:hAnsi="Times New Roman" w:cs="Times New Roman"/>
        </w:rPr>
        <w:t>. This line of research highlights the influence of log representation and pattern instability on practical detection performance.</w:t>
      </w:r>
    </w:p>
    <w:p w14:paraId="0297B958">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deep learning can automatically learn complex features, its effectiveness remains dependent on training data, feature construction, and the operating environment. Some approaches primarily model individual log sequences and do not fully exploit dependencies among microservices. Others rely on event templates or predefined event identifiers and may therefore remain sensitive to changes in log formats.</w:t>
      </w:r>
    </w:p>
    <w:p w14:paraId="029D307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Consequently, incorporating semantic information and service-structure information into learned log representations is a promising direction for microservice anomaly detection.</w:t>
      </w:r>
    </w:p>
    <w:p w14:paraId="74493E65">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1.2.3 Large Language Model-Based Log Analysis</w:t>
      </w:r>
    </w:p>
    <w:p w14:paraId="694A6BA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development of large language models has introduced new approaches to semantic understanding in log analysis. Unlike methods that rely exclusively on manually defined rules or template identifiers, pretrained language models can use contextual information to represent text, potentially improving the identification of semantically similar messages expressed in different forms.</w:t>
      </w:r>
    </w:p>
    <w:p w14:paraId="7B74EED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Guan et al. proposed LogLLM, which extracts semantic vectors from log messages using BERT and combines them with a Llama-based sequence classification model for log anomaly detection. The method also introduces a representation-space alignment mechanism and a staged training procedure to integrate the representations of the different models </w:t>
      </w:r>
      <w:r>
        <w:rPr>
          <w:rFonts w:hint="default" w:ascii="Times New Roman" w:hAnsi="Times New Roman" w:cs="Times New Roman"/>
          <w:vertAlign w:val="superscript"/>
        </w:rPr>
        <w:t>[4]</w:t>
      </w:r>
      <w:r>
        <w:rPr>
          <w:rFonts w:hint="default" w:ascii="Times New Roman" w:hAnsi="Times New Roman" w:cs="Times New Roman"/>
        </w:rPr>
        <w:t>. This work illustrates a collaborative approach involving an encoder model and a generative language model.</w:t>
      </w:r>
    </w:p>
    <w:p w14:paraId="70E7E13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Large language model-based log analysis can broadly be divided into two categories. The first directly uses a language model's generation or sequence-modeling capabilities to analyze logs. The second extracts pretrained hidden states and uses them as inputs to downstream classifiers or other models. The first approach can exploit generative language modeling but may incur higher inference costs. The second facilitates the integration of semantic representations with other features and models, although its effectiveness depends on representation quality and downstream model design.</w:t>
      </w:r>
    </w:p>
    <w:p w14:paraId="01D7740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adopts the second approach. Qwen2.5-7B-Instruct is used to extract hidden states from log text, and mean pooling produces fixed-dimensional semantic vectors. The primary focus is to investigate how these representations perform when combined with service call graphs, rather than generating natural-language fault explanations as the main output.</w:t>
      </w:r>
    </w:p>
    <w:p w14:paraId="3AE7F61A">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1.2.4 Graph Neural Networks for Root Cause Localization</w:t>
      </w:r>
    </w:p>
    <w:p w14:paraId="73E6DB5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call relationships can be represented as graphs, providing a foundation for incorporating topological information into failure analysis. Compared with approaches that analyze each service independently, graph-based modeling can connect the features of an individual service with information from neighboring services.</w:t>
      </w:r>
    </w:p>
    <w:p w14:paraId="6AA2C33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The Graph Convolutional Network (GCN), proposed by Kipf and Welling, updates node representations by aggregating information from neighboring nodes and provides a widely used approach to graph representation learning and node classification </w:t>
      </w:r>
      <w:r>
        <w:rPr>
          <w:rFonts w:hint="default" w:ascii="Times New Roman" w:hAnsi="Times New Roman" w:cs="Times New Roman"/>
          <w:vertAlign w:val="superscript"/>
        </w:rPr>
        <w:t>[8]</w:t>
      </w:r>
      <w:r>
        <w:rPr>
          <w:rFonts w:hint="default" w:ascii="Times New Roman" w:hAnsi="Times New Roman" w:cs="Times New Roman"/>
        </w:rPr>
        <w:t>. In microservice environments, GCN can combine a service's own log-semantic features with those of neighboring services to obtain representations that incorporate local topology.</w:t>
      </w:r>
    </w:p>
    <w:p w14:paraId="60029BD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Veličković et al. proposed the Graph Attention Network (GAT), which uses an attention mechanism to assign different weights to neighboring nodes. This enables the model to learn the relative importance of neighboring information from node features </w:t>
      </w:r>
      <w:r>
        <w:rPr>
          <w:rFonts w:hint="default" w:ascii="Times New Roman" w:hAnsi="Times New Roman" w:cs="Times New Roman"/>
          <w:vertAlign w:val="superscript"/>
        </w:rPr>
        <w:t>[9]</w:t>
      </w:r>
      <w:r>
        <w:rPr>
          <w:rFonts w:hint="default" w:ascii="Times New Roman" w:hAnsi="Times New Roman" w:cs="Times New Roman"/>
        </w:rPr>
        <w:t>. Such a mechanism provides a modeling approach for investigating the relative contributions of different services and their associated information.</w:t>
      </w:r>
    </w:p>
    <w:p w14:paraId="7FFB5FF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Brody et al. proposed GATv2 to address the static-attention limitation in the attention computation of conventional GAT. Its formulation allows attention weights to depend more flexibly on the features of the target node and its neighbors </w:t>
      </w:r>
      <w:r>
        <w:rPr>
          <w:rFonts w:hint="default" w:ascii="Times New Roman" w:hAnsi="Times New Roman" w:cs="Times New Roman"/>
          <w:vertAlign w:val="superscript"/>
        </w:rPr>
        <w:t>[10]</w:t>
      </w:r>
      <w:r>
        <w:rPr>
          <w:rFonts w:hint="default" w:ascii="Times New Roman" w:hAnsi="Times New Roman" w:cs="Times New Roman"/>
        </w:rPr>
        <w:t>. GCN, GAT, and GATv2 therefore provide graph encoders with different neighborhood aggregation mechanisms.</w:t>
      </w:r>
    </w:p>
    <w:p w14:paraId="6644133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For microservice RCA, RCAEval provides failure cases from multiple systems, multi-source telemetry, and a common evaluation environment </w:t>
      </w:r>
      <w:r>
        <w:rPr>
          <w:rFonts w:hint="default" w:ascii="Times New Roman" w:hAnsi="Times New Roman" w:cs="Times New Roman"/>
          <w:vertAlign w:val="superscript"/>
        </w:rPr>
        <w:t>[6]</w:t>
      </w:r>
      <w:r>
        <w:rPr>
          <w:rFonts w:hint="default" w:ascii="Times New Roman" w:hAnsi="Times New Roman" w:cs="Times New Roman"/>
        </w:rPr>
        <w:t>. Nevertheless, the practical effectiveness of graph neural networks depends not only on the model architecture but also on graph quality, node features, label definitions, and evaluation methodology.</w:t>
      </w:r>
    </w:p>
    <w:p w14:paraId="6490B65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represents services as graph nodes and observable call relationships from distributed traces as graph edges. Log-semantic vectors and log-statistical features are used as node inputs, while GCN, GAT, and GATv2 are investigated as alternative graph encoders for anomaly detection and root cause localization.</w:t>
      </w:r>
    </w:p>
    <w:p w14:paraId="70503CF3">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1.2.5 Limitations of Existing Research</w:t>
      </w:r>
    </w:p>
    <w:p w14:paraId="69C1A44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Based on the existing literature, several issues warrant further investigation.</w:t>
      </w:r>
    </w:p>
    <w:p w14:paraId="2FD1B7E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joint modeling of log semantics and service structure remains an important research direction. Traditional log analysis primarily relies on templates, event sequences, or statistical features, whereas language models provide richer textual representations. Combining semantic representations with microservice call relationships may improve the modeling of system behavior.</w:t>
      </w:r>
    </w:p>
    <w:p w14:paraId="3C14B9B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anomaly detection and root cause localization require different prediction granularities. Anomaly detection concerns whether a time window is abnormal, whereas root cause localization concerns the ranking of services within a failure case. These tasks require different output structures and evaluation criteria, motivating the use of separate prediction branches and metrics.</w:t>
      </w:r>
    </w:p>
    <w:p w14:paraId="57D47C2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the suitability of different graph neural networks must be established empirically. GCN, GAT, and GATv2 differ in their neighborhood aggregation mechanisms, but their theoretical differences alone cannot establish which model performs best in microservice failure analysis.</w:t>
      </w:r>
    </w:p>
    <w:p w14:paraId="2744549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experimental conclusions must remain consistent with data coverage and evaluation definitions. Microservice systems differ in topology, fault types, and workload. Performance on one dataset cannot automatically establish generalization to other systems. Similarly, root cause rankings must be evaluated using explicit and reproducible criteria.</w:t>
      </w:r>
    </w:p>
    <w:p w14:paraId="3868B53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address these issues, this study investigates the integration of large language model-based semantic representations with service call graphs. Comparisons between traditional text-based baselines and graph neural network models are used to examine the applicability of the proposed approach to microservice log anomaly detection and root cause localization.</w:t>
      </w:r>
    </w:p>
    <w:p w14:paraId="1FF74A63">
      <w:pPr>
        <w:pStyle w:val="4"/>
        <w:keepNext w:val="0"/>
        <w:keepLines w:val="0"/>
        <w:widowControl/>
        <w:suppressLineNumbers w:val="0"/>
        <w:rPr>
          <w:rFonts w:hint="default" w:ascii="Times New Roman" w:hAnsi="Times New Roman" w:cs="Times New Roman"/>
          <w:color w:val="auto"/>
          <w:sz w:val="28"/>
          <w:szCs w:val="28"/>
        </w:rPr>
      </w:pPr>
      <w:bookmarkStart w:id="3" w:name="_Toc15316"/>
      <w:r>
        <w:rPr>
          <w:rFonts w:hint="default" w:ascii="Times New Roman" w:hAnsi="Times New Roman" w:cs="Times New Roman"/>
          <w:color w:val="auto"/>
          <w:sz w:val="28"/>
          <w:szCs w:val="28"/>
        </w:rPr>
        <w:t>1.3 Research Questions and Objectives</w:t>
      </w:r>
      <w:bookmarkEnd w:id="3"/>
    </w:p>
    <w:p w14:paraId="652156C0">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1.3.1 Research Questions</w:t>
      </w:r>
    </w:p>
    <w:p w14:paraId="29AFC0C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focuses on the integration of large language models and graph neural networks for microservice log anomaly detection and root cause localization. It addresses the following research questions.</w:t>
      </w:r>
    </w:p>
    <w:p w14:paraId="73F8EBE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How can semantic features that capture the context of microservice logs be extracted?</w:t>
      </w:r>
    </w:p>
    <w:p w14:paraId="333EB40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logs are semi-structured, vary in textual form, and exhibit contextual dependencies. This study investigates the extraction of hidden states from a pretrained large language model and the application of mean pooling to produce fixed-dimensional semantic vectors for downstream anomaly detection and root cause localization.</w:t>
      </w:r>
    </w:p>
    <w:p w14:paraId="358B299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How can microservice call relationships be used to model dependencies among services?</w:t>
      </w:r>
    </w:p>
    <w:p w14:paraId="51318E6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relationships provide information about the dependency structure of a system. This study investigates the construction of service call graphs from distributed traces and the representation of log-semantic and log-statistical features as graph node inputs. Graph neural networks are then used to learn relationships among services.</w:t>
      </w:r>
    </w:p>
    <w:p w14:paraId="2E935F0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How do different graph neural networks perform in anomaly detection and root cause localization?</w:t>
      </w:r>
    </w:p>
    <w:p w14:paraId="35FFC54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GCN, GAT, and GATv2 use different neighborhood aggregation mechanisms. This study compares their performance on window-level anomaly detection and service-level root cause ranking, using evaluation metrics and prediction results to examine their characteristics and limitations.</w:t>
      </w:r>
    </w:p>
    <w:p w14:paraId="788BA55E">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1.3.2 Research Objectives</w:t>
      </w:r>
    </w:p>
    <w:p w14:paraId="03637D6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following objectives are established in response to these research questions.</w:t>
      </w:r>
    </w:p>
    <w:p w14:paraId="22479A8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to develop a log-semantic representation method based on a large language model. A pretrained language model is used to extract hidden states from log text, and mean pooling produces fixed-dimensional semantic vectors for downstream models.</w:t>
      </w:r>
    </w:p>
    <w:p w14:paraId="00A21B0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to construct microservice call graphs from distributed traces. Microservices are represented as graph nodes, observable call relationships are represented as edges, and semantic information is combined with statistical features to form service-level graph representations.</w:t>
      </w:r>
    </w:p>
    <w:p w14:paraId="29901BC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to design graph neural network models for anomaly detection and root cause localization. GCN, GAT, and GATv2 are used to learn service-node representations and neighborhood relationships. Graph-level anomaly detection and node-level root cause localization are formulated as separate tasks.</w:t>
      </w:r>
    </w:p>
    <w:p w14:paraId="3891D88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Fourth, to establish a systematic model evaluation and comparison procedure. Traditional text-based baselines, language-model semantic baselines, and different graph neural network models are compared using anomaly detection and root cause ranking metrics.</w:t>
      </w:r>
    </w:p>
    <w:p w14:paraId="66099E3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Fifth, to analyze the applicability and limitations of the investigated approach. Model predictions, performance across fault categories, and dataset coverage are considered when examining the contributions of semantic representations and graph-based modeling.</w:t>
      </w:r>
    </w:p>
    <w:p w14:paraId="314DBC57">
      <w:pPr>
        <w:pStyle w:val="4"/>
        <w:keepNext w:val="0"/>
        <w:keepLines w:val="0"/>
        <w:widowControl/>
        <w:suppressLineNumbers w:val="0"/>
        <w:rPr>
          <w:rFonts w:hint="default" w:ascii="Times New Roman" w:hAnsi="Times New Roman" w:cs="Times New Roman"/>
          <w:color w:val="auto"/>
          <w:sz w:val="28"/>
          <w:szCs w:val="28"/>
        </w:rPr>
      </w:pPr>
      <w:bookmarkStart w:id="4" w:name="_Toc22460"/>
      <w:r>
        <w:rPr>
          <w:rFonts w:hint="default" w:ascii="Times New Roman" w:hAnsi="Times New Roman" w:cs="Times New Roman"/>
          <w:color w:val="auto"/>
          <w:sz w:val="28"/>
          <w:szCs w:val="28"/>
        </w:rPr>
        <w:t>1.4 Research Content and Technical Route</w:t>
      </w:r>
      <w:bookmarkEnd w:id="4"/>
    </w:p>
    <w:p w14:paraId="15BEBFBE">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1.4.1 Main Research Tasks</w:t>
      </w:r>
    </w:p>
    <w:p w14:paraId="2E41DA8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consists of four main research tasks.</w:t>
      </w:r>
    </w:p>
    <w:p w14:paraId="2DD1CC9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(1) Microservice telemetry preprocessing and temporal window construction.</w:t>
      </w:r>
    </w:p>
    <w:p w14:paraId="712CA868">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Logs, metrics, and distributed traces are organized and processed. Time windows are constructed with reference to fault injection times, and service-level log information, metric statistics, and call relationships are extracted. Consistent windows and labels provide a data foundation for feature extraction, graph construction, and model training.</w:t>
      </w:r>
    </w:p>
    <w:p w14:paraId="2CEF533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(2) Log-semantic feature extraction using a large language model.</w:t>
      </w:r>
    </w:p>
    <w:p w14:paraId="0019FB0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Qwen2.5-7B-Instruct is used to encode log text. Hidden states are extracted and mean pooling is applied to construct fixed-dimensional semantic vectors. These vectors are associated with their corresponding services, time windows, and labels to support the training and evaluation of baseline and graph neural network models.</w:t>
      </w:r>
    </w:p>
    <w:p w14:paraId="21E5D33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(3) Joint anomaly detection and root cause localization using service call graphs.</w:t>
      </w:r>
    </w:p>
    <w:p w14:paraId="7E685BB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 call graphs are constructed from observable relationships in distributed traces. Log-semantic vectors and log-statistical features are used as node inputs. GCN, GAT, and GATv2 learn graph representations, which are then used by a graph-level prediction branch for anomaly detection and a node-level prediction branch for candidate root cause scoring.</w:t>
      </w:r>
    </w:p>
    <w:p w14:paraId="1567159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(4) Comparative experiments and result analysis.</w:t>
      </w:r>
    </w:p>
    <w:p w14:paraId="6354ACC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TF-IDF + Logistic Regression, TF-IDF + MLP, and Qwen Embedding + MLP are used as baseline models and compared with GCN, GAT, and GATv2. Anomaly detection metrics, root cause ranking metrics, and performance across fault categories are used to examine the roles of different feature representations and graph encoding mechanisms.</w:t>
      </w:r>
    </w:p>
    <w:p w14:paraId="3BB13C49">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1.4.2 Overall Technical Route</w:t>
      </w:r>
    </w:p>
    <w:p w14:paraId="07D6232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technical route consists of five stages: telemetry preprocessing, log-semantic encoding, service call graph construction, graph neural network modeling, and experimental evaluation.</w:t>
      </w:r>
    </w:p>
    <w:p w14:paraId="06C36D2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p>
    <w:p w14:paraId="12114E1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pPr>
      <w:r>
        <w:drawing>
          <wp:inline distT="0" distB="0" distL="114300" distR="114300">
            <wp:extent cx="5389880" cy="44392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rcRect r="-2302" b="4495"/>
                    <a:stretch>
                      <a:fillRect/>
                    </a:stretch>
                  </pic:blipFill>
                  <pic:spPr>
                    <a:xfrm>
                      <a:off x="0" y="0"/>
                      <a:ext cx="5389880" cy="4439285"/>
                    </a:xfrm>
                    <a:prstGeom prst="rect">
                      <a:avLst/>
                    </a:prstGeom>
                    <a:noFill/>
                    <a:ln>
                      <a:noFill/>
                    </a:ln>
                  </pic:spPr>
                </pic:pic>
              </a:graphicData>
            </a:graphic>
          </wp:inline>
        </w:drawing>
      </w:r>
    </w:p>
    <w:p w14:paraId="6BA89EAA">
      <w:pPr>
        <w:bidi w:val="0"/>
        <w:jc w:val="center"/>
        <w:rPr>
          <w:rFonts w:hint="default"/>
        </w:rPr>
      </w:pPr>
      <w:r>
        <w:rPr>
          <w:rFonts w:hint="default"/>
        </w:rPr>
        <w:t>Figure 1-1. Overall technical route of this study</w:t>
      </w:r>
    </w:p>
    <w:p w14:paraId="7FD99DE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raw microservice telemetry is processed into temporal windows, and labels are defined according to fault injection times. A pretrained language model is then used to extract log-semantic vectors, while service call graphs are constructed from distributed traces. These features and graph structures are subsequently processed by graph neural networks to learn representations of services and their neighborhood relationships.</w:t>
      </w:r>
    </w:p>
    <w:p w14:paraId="16A7B7F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At the output stage, the graph-level prediction branch determines whether a time window is anomalous, while the node-level prediction branch calculates root cause scores for candidate services. Finally, baseline models and alternative graph neural network architectures are compared using anomaly detection and root cause ranking metrics.</w:t>
      </w:r>
    </w:p>
    <w:p w14:paraId="134AD85D">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1.4.3 Main Research Contributions</w:t>
      </w:r>
    </w:p>
    <w:p w14:paraId="12763B8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intended research contributions are summarized in three aspects.</w:t>
      </w:r>
    </w:p>
    <w:p w14:paraId="6EB4489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this study investigates a modeling approach that combines log-semantic representations from a pretrained large language model with microservice call graphs. By encoding log text as semantic vectors and organizing them as service-node features, the approach provides a unified representation for studying anomaly detection and root cause localization using textual information and service dependencies.</w:t>
      </w:r>
    </w:p>
    <w:p w14:paraId="25E8AFE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Second, this study develops a graph neural network framework for anomaly detection and root cause localization. GCN, GAT, and GATv2 are used as graph encoders, with separate graph-level anomaly detection and node-level root cause localization branches to support tasks with different prediction granularities.</w:t>
      </w:r>
    </w:p>
    <w:p w14:paraId="32D0A20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Third, this study establishes a comparative evaluation design for log feature representations and graph encoding mechanisms. Traditional text-based baselines, language-model semantic baselines, and alternative graph neural network models are compared to examine their performance on anomaly detection and root cause localization.</w:t>
      </w:r>
    </w:p>
    <w:p w14:paraId="663231B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validity of these contributions must be established through experimental evidence. No performance advantage is assumed before the relevant results have been evaluated.</w:t>
      </w:r>
    </w:p>
    <w:p w14:paraId="4A6E42B5">
      <w:pPr>
        <w:pStyle w:val="4"/>
        <w:keepNext w:val="0"/>
        <w:keepLines w:val="0"/>
        <w:widowControl/>
        <w:suppressLineNumbers w:val="0"/>
        <w:rPr>
          <w:rFonts w:hint="default" w:ascii="Times New Roman" w:hAnsi="Times New Roman" w:cs="Times New Roman"/>
          <w:color w:val="auto"/>
          <w:sz w:val="28"/>
          <w:szCs w:val="28"/>
        </w:rPr>
      </w:pPr>
      <w:bookmarkStart w:id="5" w:name="_Toc1215"/>
      <w:r>
        <w:rPr>
          <w:rFonts w:hint="default" w:ascii="Times New Roman" w:hAnsi="Times New Roman" w:cs="Times New Roman"/>
          <w:color w:val="auto"/>
          <w:sz w:val="28"/>
          <w:szCs w:val="28"/>
        </w:rPr>
        <w:t>1.5 Organization of the Thesis</w:t>
      </w:r>
      <w:bookmarkEnd w:id="5"/>
    </w:p>
    <w:p w14:paraId="0B93CDD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thesis investigates microservice log anomaly detection and root cause localization based on large language models and graph neural networks. It is organized into six chapters.</w:t>
      </w:r>
    </w:p>
    <w:p w14:paraId="1B41019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1: Introduction. This chapter presents the research background and significance, reviews related work on log anomaly detection, large language model-based log analysis, and graph neural network-based root cause localization, and defines the research questions, objectives, main tasks, and technical route.</w:t>
      </w:r>
    </w:p>
    <w:p w14:paraId="514B42B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2: Related Theories and Key Technologies. This chapter introduces microservice observability data, the fundamental concepts of log anomaly detection and root cause localization, the principles of semantic representation using large language models, and the mechanisms of GCN, GAT, and GATv2. These concepts establish the theoretical foundation for the proposed method.</w:t>
      </w:r>
    </w:p>
    <w:p w14:paraId="2E57233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3: Microservice Log Anomaly Detection and Root Cause Localization Based on Large Language Models and Graph Neural Networks. This chapter describes temporal window construction, log-semantic vector extraction, service call graph construction, graph neural network architectures, and the corresponding training and inference procedures.</w:t>
      </w:r>
    </w:p>
    <w:p w14:paraId="49632D7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4: Experimental Design and Result Analysis. This chapter describes the experimental environment, datasets, evaluation metrics, and baseline models. It analyzes the results of anomaly detection, root cause localization, and comparisons among different models, discussing the effectiveness and limitations of the investigated approach.</w:t>
      </w:r>
    </w:p>
    <w:p w14:paraId="3FF63E5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Chapter 5: System Implementation and Application Workflow. This chapter describes the implementation of data processing, semantic encoding, graph construction, model training, and result generation. It also explains the system execution workflow and experimental reproducibility mechanisms.</w:t>
      </w:r>
    </w:p>
    <w:p w14:paraId="442E4C3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r>
        <w:rPr>
          <w:rFonts w:hint="default" w:ascii="Times New Roman" w:hAnsi="Times New Roman" w:cs="Times New Roman"/>
        </w:rPr>
        <w:t>Chapter 6: Conclusions and Future Work. This chapter summarizes the research and experimental findings, discusses the limitations of the study, and outlines future directions, including cross-system generalization, multi-source telemetry integration, improved root cause evaluation, and model deployment optimization.</w:t>
      </w:r>
    </w:p>
    <w:p w14:paraId="5696BF70">
      <w:pPr>
        <w:pStyle w:val="2"/>
        <w:keepNext w:val="0"/>
        <w:keepLines w:val="0"/>
        <w:widowControl/>
        <w:suppressLineNumbers w:val="0"/>
        <w:rPr>
          <w:rFonts w:hint="default" w:ascii="Times New Roman" w:hAnsi="Times New Roman" w:cs="Times New Roman"/>
          <w:color w:val="auto"/>
        </w:rPr>
      </w:pPr>
      <w:bookmarkStart w:id="6" w:name="_Toc27508"/>
      <w:r>
        <w:rPr>
          <w:rFonts w:hint="default" w:ascii="Times New Roman" w:hAnsi="Times New Roman" w:cs="Times New Roman"/>
          <w:color w:val="auto"/>
        </w:rPr>
        <w:t>Chapter 2 Related Theories and Key Technologies</w:t>
      </w:r>
      <w:bookmarkEnd w:id="6"/>
    </w:p>
    <w:p w14:paraId="1C51E041">
      <w:pPr>
        <w:pStyle w:val="4"/>
        <w:keepNext w:val="0"/>
        <w:keepLines w:val="0"/>
        <w:widowControl/>
        <w:suppressLineNumbers w:val="0"/>
        <w:rPr>
          <w:rFonts w:hint="default" w:ascii="Times New Roman" w:hAnsi="Times New Roman" w:cs="Times New Roman"/>
          <w:color w:val="auto"/>
          <w:sz w:val="28"/>
          <w:szCs w:val="28"/>
        </w:rPr>
      </w:pPr>
      <w:bookmarkStart w:id="7" w:name="_Toc24137"/>
      <w:r>
        <w:rPr>
          <w:rFonts w:hint="default" w:ascii="Times New Roman" w:hAnsi="Times New Roman" w:cs="Times New Roman"/>
          <w:color w:val="auto"/>
          <w:sz w:val="28"/>
          <w:szCs w:val="28"/>
        </w:rPr>
        <w:t>2.1 Microservice Logs and Anomaly Detection</w:t>
      </w:r>
      <w:bookmarkEnd w:id="7"/>
    </w:p>
    <w:p w14:paraId="5830C302">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2.1.1 Characteristics of Microservice Logs</w:t>
      </w:r>
    </w:p>
    <w:p w14:paraId="5754634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Microservice systems consist of multiple cooperating services that communicate through service calls. Logs record service states, execution processes, and exception information, making them an important source for system operation and fault analysis. Drain introduced an online log parsing approach based on a fixed-depth tree, providing a foundation for the structured processing of unstructured logs </w:t>
      </w:r>
      <w:r>
        <w:rPr>
          <w:rFonts w:hint="default" w:ascii="Times New Roman" w:hAnsi="Times New Roman" w:cs="Times New Roman"/>
          <w:vertAlign w:val="superscript"/>
        </w:rPr>
        <w:t>[1]</w:t>
      </w:r>
      <w:r>
        <w:rPr>
          <w:rFonts w:hint="default" w:ascii="Times New Roman" w:hAnsi="Times New Roman" w:cs="Times New Roman"/>
        </w:rPr>
        <w:t>.</w:t>
      </w:r>
    </w:p>
    <w:p w14:paraId="2248711B">
      <w:pPr>
        <w:pStyle w:val="6"/>
        <w:keepNext w:val="0"/>
        <w:keepLines w:val="0"/>
        <w:widowControl/>
        <w:suppressLineNumbers w:val="0"/>
      </w:pPr>
      <w:r>
        <w:t>2.1.2 Log Anomaly Detection</w:t>
      </w:r>
    </w:p>
    <w:p w14:paraId="61E2DDA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Log anomaly detection aims to identify events that deviate from normal operational patterns. DeepLog, proposed by Du et al., uses deep learning to learn sequential patterns in system logs and detect anomalies </w:t>
      </w:r>
      <w:r>
        <w:rPr>
          <w:rFonts w:hint="default" w:ascii="Times New Roman" w:hAnsi="Times New Roman" w:cs="Times New Roman"/>
          <w:vertAlign w:val="baseline"/>
        </w:rPr>
        <w:t>[2]</w:t>
      </w:r>
      <w:r>
        <w:rPr>
          <w:rFonts w:hint="default" w:ascii="Times New Roman" w:hAnsi="Times New Roman" w:cs="Times New Roman"/>
        </w:rPr>
        <w:t xml:space="preserve">. LogAnomaly further combines sequential and quantitative features to identify different types of log anomalies </w:t>
      </w:r>
      <w:r>
        <w:rPr>
          <w:rFonts w:hint="default" w:ascii="Times New Roman" w:hAnsi="Times New Roman" w:cs="Times New Roman"/>
          <w:vertAlign w:val="baseline"/>
        </w:rPr>
        <w:t>[3]</w:t>
      </w:r>
      <w:r>
        <w:rPr>
          <w:rFonts w:hint="default" w:ascii="Times New Roman" w:hAnsi="Times New Roman" w:cs="Times New Roman"/>
        </w:rPr>
        <w:t>. These studies provide an important foundation for log-based anomaly detection.</w:t>
      </w:r>
    </w:p>
    <w:p w14:paraId="3FA044B4">
      <w:pPr>
        <w:pStyle w:val="4"/>
        <w:keepNext w:val="0"/>
        <w:keepLines w:val="0"/>
        <w:widowControl/>
        <w:suppressLineNumbers w:val="0"/>
        <w:rPr>
          <w:rFonts w:hint="default" w:ascii="Times New Roman" w:hAnsi="Times New Roman" w:cs="Times New Roman"/>
          <w:color w:val="auto"/>
          <w:sz w:val="28"/>
          <w:szCs w:val="28"/>
        </w:rPr>
      </w:pPr>
      <w:bookmarkStart w:id="8" w:name="_Toc93"/>
      <w:r>
        <w:rPr>
          <w:rFonts w:hint="default" w:ascii="Times New Roman" w:hAnsi="Times New Roman" w:cs="Times New Roman"/>
          <w:color w:val="auto"/>
          <w:sz w:val="28"/>
          <w:szCs w:val="28"/>
        </w:rPr>
        <w:t>2.2 Large Language Models and Log Semantic Representation</w:t>
      </w:r>
      <w:bookmarkEnd w:id="8"/>
    </w:p>
    <w:p w14:paraId="1AF5904C">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2.2.1 Large Language Models</w:t>
      </w:r>
    </w:p>
    <w:p w14:paraId="1DFB5B69">
      <w:pPr>
        <w:pStyle w:val="1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Large Language Models (LLMs) are pretrained on large text corpora to learn contextual relationships and semantic features. The Qwen2.5 technical report describes the training methods, model scales, and major capabilities of the model family </w:t>
      </w:r>
      <w:r>
        <w:rPr>
          <w:rFonts w:hint="default" w:ascii="Times New Roman" w:hAnsi="Times New Roman" w:cs="Times New Roman"/>
          <w:vertAlign w:val="superscript"/>
        </w:rPr>
        <w:t>[11]</w:t>
      </w:r>
      <w:r>
        <w:rPr>
          <w:rFonts w:hint="default" w:ascii="Times New Roman" w:hAnsi="Times New Roman" w:cs="Times New Roman"/>
        </w:rPr>
        <w:t>. In microservice log analysis, LLMs can extract semantic information from log messages to support subsequent anomaly detection and root cause localization.</w:t>
      </w:r>
    </w:p>
    <w:p w14:paraId="0F212DB1">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2.2.2 Log Vectorization</w:t>
      </w:r>
    </w:p>
    <w:p w14:paraId="6146A6E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 vectorization converts textual logs into numerical vectors. This study uses Qwen2.5-7B-Instruct to extract hidden-state representations and applies mean pooling to obtain fixed-dimensional log semantic vectors. This process converts textual information into features that can be processed by neural networks and provides a basis for integrating service-call relationships.</w:t>
      </w:r>
    </w:p>
    <w:p w14:paraId="255BB674">
      <w:pPr>
        <w:pStyle w:val="4"/>
        <w:keepNext w:val="0"/>
        <w:keepLines w:val="0"/>
        <w:widowControl/>
        <w:suppressLineNumbers w:val="0"/>
        <w:rPr>
          <w:rFonts w:hint="default" w:ascii="Times New Roman" w:hAnsi="Times New Roman" w:cs="Times New Roman"/>
          <w:color w:val="auto"/>
          <w:sz w:val="28"/>
          <w:szCs w:val="28"/>
        </w:rPr>
      </w:pPr>
      <w:bookmarkStart w:id="9" w:name="_Toc7198"/>
      <w:r>
        <w:rPr>
          <w:rFonts w:hint="default" w:ascii="Times New Roman" w:hAnsi="Times New Roman" w:cs="Times New Roman"/>
          <w:color w:val="auto"/>
          <w:sz w:val="28"/>
          <w:szCs w:val="28"/>
        </w:rPr>
        <w:t>2.3 Graph Neural Networks</w:t>
      </w:r>
      <w:bookmarkEnd w:id="9"/>
    </w:p>
    <w:p w14:paraId="5A046345">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2.3.1 Microservice Call Graphs</w:t>
      </w:r>
    </w:p>
    <w:p w14:paraId="1021728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 graph consists of nodes and edges. In this study, microservices are represented as nodes, while inter-service calls are represented as edges. The resulting call graph captures service dependencies and provides structural information for analyzing anomaly propagation and potential root causes.</w:t>
      </w:r>
    </w:p>
    <w:p w14:paraId="7F4E2E8E">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2.3.2 Graph Convolutional Networks</w:t>
      </w:r>
    </w:p>
    <w:p w14:paraId="51F5B1A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Graph Convolutional Networks (GCNs) update node representations by aggregating features from neighboring nodes. The GCN proposed by Kipf and Welling learns node representations from graph-structured data while incorporating local structural information </w:t>
      </w:r>
      <w:r>
        <w:rPr>
          <w:rFonts w:hint="default" w:ascii="Times New Roman" w:hAnsi="Times New Roman" w:cs="Times New Roman"/>
          <w:vertAlign w:val="superscript"/>
        </w:rPr>
        <w:t>[8]</w:t>
      </w:r>
      <w:r>
        <w:rPr>
          <w:rFonts w:hint="default" w:ascii="Times New Roman" w:hAnsi="Times New Roman" w:cs="Times New Roman"/>
        </w:rPr>
        <w:t>.</w:t>
      </w:r>
    </w:p>
    <w:p w14:paraId="2D5F7187">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2.3.3 Graph Attention Networks</w:t>
      </w:r>
    </w:p>
    <w:p w14:paraId="52705E1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Graph Attention Networks (GATs) use an attention mechanism to assign different weights to neighboring nodes, allowing the model to distinguish the importance of neighborhood information </w:t>
      </w:r>
      <w:r>
        <w:rPr>
          <w:rFonts w:hint="default" w:ascii="Times New Roman" w:hAnsi="Times New Roman" w:cs="Times New Roman"/>
          <w:vertAlign w:val="superscript"/>
        </w:rPr>
        <w:t>[9]</w:t>
      </w:r>
      <w:r>
        <w:rPr>
          <w:rFonts w:hint="default" w:ascii="Times New Roman" w:hAnsi="Times New Roman" w:cs="Times New Roman"/>
        </w:rPr>
        <w:t xml:space="preserve">. Brody et al. proposed GATv2, which modifies the attention calculation of conventional GAT to improve its expressive capability </w:t>
      </w:r>
      <w:r>
        <w:rPr>
          <w:rFonts w:hint="default" w:ascii="Times New Roman" w:hAnsi="Times New Roman" w:cs="Times New Roman"/>
          <w:vertAlign w:val="superscript"/>
        </w:rPr>
        <w:t>[10]</w:t>
      </w:r>
      <w:r>
        <w:rPr>
          <w:rFonts w:hint="default" w:ascii="Times New Roman" w:hAnsi="Times New Roman" w:cs="Times New Roman"/>
        </w:rPr>
        <w:t>. This study compares GCN, GAT, and GATv2 as graph encoders.</w:t>
      </w:r>
    </w:p>
    <w:p w14:paraId="5F0D9763">
      <w:pPr>
        <w:pStyle w:val="4"/>
        <w:keepNext w:val="0"/>
        <w:keepLines w:val="0"/>
        <w:widowControl/>
        <w:suppressLineNumbers w:val="0"/>
        <w:rPr>
          <w:rFonts w:hint="default" w:ascii="Times New Roman" w:hAnsi="Times New Roman" w:cs="Times New Roman"/>
          <w:color w:val="auto"/>
          <w:sz w:val="28"/>
          <w:szCs w:val="28"/>
        </w:rPr>
      </w:pPr>
      <w:bookmarkStart w:id="10" w:name="_Toc11727"/>
      <w:r>
        <w:rPr>
          <w:rFonts w:hint="default" w:ascii="Times New Roman" w:hAnsi="Times New Roman" w:cs="Times New Roman"/>
          <w:color w:val="auto"/>
          <w:sz w:val="28"/>
          <w:szCs w:val="28"/>
        </w:rPr>
        <w:t>2.4 Anomaly Detection and Root Cause Localization</w:t>
      </w:r>
      <w:bookmarkEnd w:id="10"/>
    </w:p>
    <w:p w14:paraId="14993057">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2.4.1 Graph-Level Anomaly Detection</w:t>
      </w:r>
    </w:p>
    <w:p w14:paraId="5BBB33E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Graph-level anomaly detection analyzes an entire microservice call graph or its associated execution window to determine whether abnormal behavior exists. This study combines log semantic features with service-call relationships to learn graph-level representations of system behavior for anomaly detection.</w:t>
      </w:r>
    </w:p>
    <w:p w14:paraId="0F807E78">
      <w:pPr>
        <w:pStyle w:val="5"/>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2.4.2 Node-Level Root Cause Localization</w:t>
      </w:r>
    </w:p>
    <w:p w14:paraId="26C9897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localization aims to identify services that may be associated with a failure. This study uses graph neural networks to learn node representations and rank candidate services based on model outputs. It should be noted that a model score reflects the estimated association between a node and an anomaly; it does not independently establish causality.</w:t>
      </w:r>
    </w:p>
    <w:p w14:paraId="5473C1BC">
      <w:pPr>
        <w:pStyle w:val="4"/>
        <w:keepNext w:val="0"/>
        <w:keepLines w:val="0"/>
        <w:widowControl/>
        <w:suppressLineNumbers w:val="0"/>
        <w:rPr>
          <w:rFonts w:hint="default" w:ascii="Times New Roman" w:hAnsi="Times New Roman" w:cs="Times New Roman"/>
          <w:color w:val="auto"/>
          <w:sz w:val="28"/>
          <w:szCs w:val="28"/>
        </w:rPr>
      </w:pPr>
      <w:bookmarkStart w:id="11" w:name="_Toc18699"/>
      <w:r>
        <w:rPr>
          <w:rFonts w:hint="default" w:ascii="Times New Roman" w:hAnsi="Times New Roman" w:cs="Times New Roman"/>
          <w:color w:val="auto"/>
          <w:sz w:val="28"/>
          <w:szCs w:val="28"/>
        </w:rPr>
        <w:t>2.5 Chapter Summary</w:t>
      </w:r>
      <w:bookmarkEnd w:id="11"/>
    </w:p>
    <w:p w14:paraId="1B4C275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chapter introduced microservice log anomaly detection, LLM-based semantic representation, microservice call graphs, and key graph neural network architectures, including GCN, GAT, and GATv2. It also explained the basic principles of graph-level anomaly detection and node-level root cause localization. These technologies provide the theoretical foundation for the proposed approach.</w:t>
      </w:r>
    </w:p>
    <w:p w14:paraId="72D6FC3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07C01ACE">
      <w:pPr>
        <w:pStyle w:val="2"/>
        <w:keepNext w:val="0"/>
        <w:keepLines w:val="0"/>
        <w:widowControl/>
        <w:suppressLineNumbers w:val="0"/>
        <w:rPr>
          <w:rFonts w:hint="default" w:ascii="Times New Roman" w:hAnsi="Times New Roman" w:cs="Times New Roman"/>
          <w:color w:val="auto"/>
        </w:rPr>
      </w:pPr>
      <w:bookmarkStart w:id="12" w:name="_Toc18654"/>
      <w:r>
        <w:rPr>
          <w:rFonts w:hint="default" w:ascii="Times New Roman" w:hAnsi="Times New Roman" w:cs="Times New Roman"/>
          <w:color w:val="auto"/>
        </w:rPr>
        <w:t>Chapter 3 Methodology and Model Design</w:t>
      </w:r>
      <w:bookmarkEnd w:id="12"/>
    </w:p>
    <w:p w14:paraId="0CF94C3C">
      <w:pPr>
        <w:pStyle w:val="4"/>
        <w:keepNext w:val="0"/>
        <w:keepLines w:val="0"/>
        <w:widowControl/>
        <w:suppressLineNumbers w:val="0"/>
        <w:rPr>
          <w:rFonts w:hint="default" w:ascii="Times New Roman" w:hAnsi="Times New Roman" w:cs="Times New Roman"/>
          <w:color w:val="auto"/>
          <w:sz w:val="28"/>
          <w:szCs w:val="28"/>
        </w:rPr>
      </w:pPr>
      <w:bookmarkStart w:id="13" w:name="_Toc19843"/>
      <w:bookmarkStart w:id="14" w:name="overall-framework"/>
      <w:r>
        <w:rPr>
          <w:rFonts w:hint="default" w:ascii="Times New Roman" w:hAnsi="Times New Roman" w:cs="Times New Roman"/>
          <w:color w:val="auto"/>
          <w:sz w:val="28"/>
          <w:szCs w:val="28"/>
        </w:rPr>
        <w:t>3.1 Overall Framework</w:t>
      </w:r>
      <w:bookmarkEnd w:id="13"/>
    </w:p>
    <w:p w14:paraId="7BC9A86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address the complexity of microservice logs, the dependencies among service calls, and the different objectives of anomaly detection and root cause localization, this study develops a microservice log analysis method that combines large language model-based semantic representations with graph neural networks. The RE2-TT subset of the RCAEval dataset is used as one of the data sources [6]. Service-level semantic features are extracted from log messages, and Trace data are used to construct microservice call graphs. Graph neural networks are then applied to anomaly detection and root cause localization.</w:t>
      </w:r>
    </w:p>
    <w:p w14:paraId="0AD11D8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overall method consists of several steps. First, logs are divided into time windows according to their timestamps and the fault injection time, and logs are aggregated by service within each window. Second, log embeddings are obtained using the semantic representation pipeline associated with Qwen2.5-7B-Instruct, while statistical features such as log counts, error-log ratios, and warning-log ratios are calculated. Third, service call graphs are constructed from parent-child Span relationships in Trace data. Finally, Graph Convolutional Networks (GCN), Graph Attention Networks (GAT), and the second-generation Graph Attention Network (GATv2) are employed as alternative graph encoders. A graph-level anomaly detection head and a node-level root cause localization head are used to perform the two tasks.</w:t>
      </w:r>
    </w:p>
    <w:p w14:paraId="044AD96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overall workflow is summarized as follows:</w:t>
      </w:r>
    </w:p>
    <w:p w14:paraId="7C7C1A5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Log and Trace data → Time-window partitioning and service-level aggregation → Log semantic representations and statistical features → Microservice call graph construction → GNN encoding → Anomaly detection and root cause localization → Performance evaluation.</w:t>
      </w:r>
    </w:p>
    <w:p w14:paraId="21CB3D6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It should be noted that the current graph-model training program directly loads precomputed log embeddings and does not update the Qwen model parameters during graph-network training. Therefore, the proposed approach combines large language model-based semantic representations with graph neural networks rather than performing end-to-end joint fine-tuning of both models.</w:t>
      </w:r>
    </w:p>
    <w:bookmarkEnd w:id="14"/>
    <w:p w14:paraId="260D6FF9">
      <w:pPr>
        <w:pStyle w:val="4"/>
        <w:keepNext w:val="0"/>
        <w:keepLines w:val="0"/>
        <w:widowControl/>
        <w:suppressLineNumbers w:val="0"/>
        <w:rPr>
          <w:rFonts w:hint="default" w:ascii="Times New Roman" w:hAnsi="Times New Roman" w:cs="Times New Roman"/>
          <w:color w:val="auto"/>
          <w:sz w:val="28"/>
          <w:szCs w:val="28"/>
        </w:rPr>
      </w:pPr>
      <w:bookmarkStart w:id="15" w:name="_Toc2349"/>
      <w:bookmarkStart w:id="16" w:name="X1745fad5f03847f61a375e4be58ba48f605949b"/>
      <w:r>
        <w:rPr>
          <w:rFonts w:hint="default" w:ascii="Times New Roman" w:hAnsi="Times New Roman" w:cs="Times New Roman"/>
          <w:color w:val="auto"/>
          <w:sz w:val="28"/>
          <w:szCs w:val="28"/>
        </w:rPr>
        <w:t>3.2 Log Preprocessing and Semantic Representation</w:t>
      </w:r>
      <w:bookmarkEnd w:id="15"/>
    </w:p>
    <w:p w14:paraId="5AE9DEAC">
      <w:pPr>
        <w:pStyle w:val="5"/>
        <w:keepNext w:val="0"/>
        <w:keepLines w:val="0"/>
        <w:widowControl/>
        <w:suppressLineNumbers w:val="0"/>
        <w:rPr>
          <w:rFonts w:hint="default" w:ascii="Times New Roman" w:hAnsi="Times New Roman" w:cs="Times New Roman"/>
          <w:color w:val="auto"/>
          <w:sz w:val="24"/>
          <w:szCs w:val="24"/>
        </w:rPr>
      </w:pPr>
      <w:bookmarkStart w:id="17" w:name="time-window-based-log-partitioning"/>
      <w:r>
        <w:rPr>
          <w:rFonts w:hint="default" w:ascii="Times New Roman" w:hAnsi="Times New Roman" w:cs="Times New Roman"/>
          <w:color w:val="auto"/>
          <w:sz w:val="24"/>
          <w:szCs w:val="24"/>
        </w:rPr>
        <w:t>3.2.1 Time-Window-Based Log Partitioning</w:t>
      </w:r>
    </w:p>
    <w:p w14:paraId="2BBFF34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Microservice logs are generated continuously, and messages from different services may be interleaved. To establish a temporal relationship between log data and system fault states, this study organizes the data into fixed-length time windows.</w:t>
      </w:r>
    </w:p>
    <w:p w14:paraId="1480E73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r>
          <m:rPr>
            <m:sty m:val="p"/>
          </m:rPr>
          <w:rPr>
            <w:rFonts w:hint="default" w:ascii="Times New Roman" w:hAnsi="Times New Roman" w:cs="Times New Roman"/>
          </w:rPr>
          <m:t>t</m:t>
        </m:r>
      </m:oMath>
      <w:r>
        <w:rPr>
          <w:rFonts w:hint="default" w:ascii="Times New Roman" w:hAnsi="Times New Roman" w:cs="Times New Roman"/>
        </w:rPr>
        <w:t xml:space="preserve"> denote a log timestamp, </w:t>
      </w:r>
      <m:oMath>
        <m:sSub>
          <m:sSubPr>
            <m:ctrlPr>
              <w:rPr>
                <w:rFonts w:hint="default" w:ascii="Cambria Math" w:hAnsi="Cambria Math" w:cs="Times New Roman"/>
              </w:rPr>
            </m:ctrlPr>
          </m:sSub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0</m:t>
            </m:r>
            <m:ctrlPr>
              <w:rPr>
                <w:rFonts w:hint="default" w:ascii="Cambria Math" w:hAnsi="Cambria Math" w:cs="Times New Roman"/>
              </w:rPr>
            </m:ctrlPr>
          </m:sub>
        </m:sSub>
      </m:oMath>
      <w:r>
        <w:rPr>
          <w:rFonts w:hint="default" w:ascii="Times New Roman" w:hAnsi="Times New Roman" w:cs="Times New Roman"/>
        </w:rPr>
        <w:t xml:space="preserve"> the reference start time, and </w:t>
      </w:r>
      <m:oMath>
        <m:r>
          <m:rPr>
            <m:sty m:val="p"/>
          </m:rPr>
          <w:rPr>
            <w:rFonts w:hint="default" w:ascii="Times New Roman" w:hAnsi="Times New Roman" w:cs="Times New Roman"/>
          </w:rPr>
          <m:t>Δt</m:t>
        </m:r>
      </m:oMath>
      <w:r>
        <w:rPr>
          <w:rFonts w:hint="default" w:ascii="Times New Roman" w:hAnsi="Times New Roman" w:cs="Times New Roman"/>
        </w:rPr>
        <w:t xml:space="preserve"> the window width. The time-window index is defined as:</w:t>
      </w:r>
    </w:p>
    <w:p w14:paraId="5E1E7559">
      <w:pPr>
        <w:pStyle w:val="3"/>
      </w:pPr>
      <m:oMathPara>
        <m:oMathParaPr>
          <m:jc m:val="center"/>
        </m:oMathParaPr>
        <m:oMath>
          <m:r>
            <m:rPr/>
            <m:t>w</m:t>
          </m:r>
          <m:d>
            <m:dPr>
              <m:sepChr m:val=""/>
            </m:dPr>
            <m:e>
              <m:r>
                <m:rPr/>
                <m:t>t</m:t>
              </m:r>
            </m:e>
          </m:d>
          <m:r>
            <m:rPr>
              <m:sty m:val="p"/>
            </m:rPr>
            <m:t>=floor</m:t>
          </m:r>
          <m:d>
            <m:dPr>
              <m:sepChr m:val=""/>
            </m:dPr>
            <m:e>
              <m:f>
                <m:fPr/>
                <m:num>
                  <m:r>
                    <m:rPr/>
                    <m:t>t</m:t>
                  </m:r>
                  <m:r>
                    <m:rPr>
                      <m:sty m:val="p"/>
                    </m:rPr>
                    <m:t>−</m:t>
                  </m:r>
                  <m:sSub>
                    <m:sSubPr/>
                    <m:e>
                      <m:r>
                        <m:rPr/>
                        <m:t>t</m:t>
                      </m:r>
                    </m:e>
                    <m:sub>
                      <m:r>
                        <m:rPr/>
                        <m:t>0</m:t>
                      </m:r>
                    </m:sub>
                  </m:sSub>
                </m:num>
                <m:den>
                  <m:r>
                    <m:rPr/>
                    <m:t>Δt</m:t>
                  </m:r>
                </m:den>
              </m:f>
            </m:e>
          </m:d>
        </m:oMath>
      </m:oMathPara>
    </w:p>
    <w:p w14:paraId="3FFB30C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r>
          <m:rPr>
            <m:sty m:val="p"/>
          </m:rPr>
          <w:rPr>
            <w:rFonts w:hint="default" w:ascii="Times New Roman" w:hAnsi="Times New Roman" w:cs="Times New Roman"/>
          </w:rPr>
          <m:t>Δt</m:t>
        </m:r>
      </m:oMath>
      <w:r>
        <w:rPr>
          <w:rFonts w:hint="default" w:ascii="Times New Roman" w:hAnsi="Times New Roman" w:cs="Times New Roman"/>
        </w:rPr>
        <w:t xml:space="preserve"> represents the time-window width. According to the final configuration file provided, the default window length is 60 seconds, while 30-second and 120-second windows are also listed as supported alternatives. These settings indicate that the pipeline supports the corresponding window widths; they do not, by themselves, establish that experiments using all three widths have been completed.</w:t>
      </w:r>
    </w:p>
    <w:p w14:paraId="342E447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After window partitioning, the program aggregates logs by window and service identifier and retains metadata such as window boundaries, relative time to fault injection, service names, and case identifiers. Window-level anomaly labels are generated according to the fault injection time.</w:t>
      </w:r>
    </w:p>
    <w:p w14:paraId="6228BCD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sSub>
          <m:sSubPr>
            <m:ctrlPr>
              <w:rPr>
                <w:rFonts w:hint="default" w:ascii="Cambria Math" w:hAnsi="Cambria Math" w:cs="Times New Roman"/>
              </w:rPr>
            </m:ctrlPr>
          </m:sSub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f</m:t>
            </m:r>
            <m:ctrlPr>
              <w:rPr>
                <w:rFonts w:hint="default" w:ascii="Cambria Math" w:hAnsi="Cambria Math" w:cs="Times New Roman"/>
              </w:rPr>
            </m:ctrlPr>
          </m:sub>
        </m:sSub>
      </m:oMath>
      <w:r>
        <w:rPr>
          <w:rFonts w:hint="default" w:ascii="Times New Roman" w:hAnsi="Times New Roman" w:cs="Times New Roman"/>
        </w:rPr>
        <w:t xml:space="preserve"> be the fault injection time and </w:t>
      </w:r>
      <m:oMath>
        <m:sSubSup>
          <m:sSubSupPr>
            <m:ctrlPr>
              <w:rPr>
                <w:rFonts w:hint="default" w:ascii="Cambria Math" w:hAnsi="Cambria Math" w:cs="Times New Roman"/>
              </w:rPr>
            </m:ctrlPr>
          </m:sSubSupPr>
          <m:e>
            <m:r>
              <m:rPr>
                <m:sty m:val="p"/>
              </m:rPr>
              <w:rPr>
                <w:rFonts w:hint="default" w:ascii="Times New Roman" w:hAnsi="Times New Roman" w:cs="Times New Roman"/>
              </w:rPr>
              <m:t>t</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up>
            <m:r>
              <m:rPr>
                <m:sty m:val="p"/>
              </m:rPr>
              <w:rPr>
                <w:rFonts w:hint="default" w:ascii="Times New Roman" w:hAnsi="Times New Roman" w:cs="Times New Roman"/>
              </w:rPr>
              <m:t>end</m:t>
            </m:r>
            <m:ctrlPr>
              <w:rPr>
                <w:rFonts w:hint="default" w:ascii="Cambria Math" w:hAnsi="Cambria Math" w:cs="Times New Roman"/>
              </w:rPr>
            </m:ctrlPr>
          </m:sup>
        </m:sSubSup>
      </m:oMath>
      <w:r>
        <w:rPr>
          <w:rFonts w:hint="default" w:ascii="Times New Roman" w:hAnsi="Times New Roman" w:cs="Times New Roman"/>
        </w:rPr>
        <w:t xml:space="preserve"> the end time of a window. The window-level label is defined as:</w:t>
      </w:r>
    </w:p>
    <w:p w14:paraId="3040C102">
      <w:pPr>
        <w:pStyle w:val="3"/>
      </w:pPr>
      <m:oMathPara>
        <m:oMathParaPr>
          <m:jc m:val="center"/>
        </m:oMathParaPr>
        <m:oMath>
          <m:sSub>
            <m:sSubPr/>
            <m:e>
              <m:r>
                <m:rPr/>
                <m:t>y</m:t>
              </m:r>
            </m:e>
            <m:sub>
              <m:r>
                <m:rPr/>
                <m:t>w</m:t>
              </m:r>
            </m:sub>
          </m:sSub>
          <m:r>
            <m:rPr>
              <m:sty m:val="p"/>
            </m:rPr>
            <m:t>=</m:t>
          </m:r>
          <m:d>
            <m:dPr>
              <m:begChr m:val="{"/>
              <m:sepChr m:val=""/>
              <m:endChr m:val=""/>
            </m:dPr>
            <m:e>
              <m:m>
                <m:mPr>
                  <m:mcs>
                    <m:mc>
                      <m:mcPr>
                        <m:count m:val="2"/>
                        <m:mcJc m:val="left"/>
                      </m:mcPr>
                    </m:mc>
                  </m:mcs>
                  <m:plcHide m:val="1"/>
                </m:mPr>
                <m:mr>
                  <m:e>
                    <m:r>
                      <m:rPr/>
                      <m:t>0</m:t>
                    </m:r>
                    <m:r>
                      <m:rPr>
                        <m:sty m:val="p"/>
                      </m:rPr>
                      <m:t>,</m:t>
                    </m:r>
                  </m:e>
                  <m:e>
                    <m:sSubSup>
                      <m:sSubSupPr/>
                      <m:e>
                        <m:r>
                          <m:rPr/>
                          <m:t>t</m:t>
                        </m:r>
                      </m:e>
                      <m:sub>
                        <m:r>
                          <m:rPr/>
                          <m:t>w</m:t>
                        </m:r>
                      </m:sub>
                      <m:sup>
                        <m:r>
                          <m:rPr/>
                          <m:t>end</m:t>
                        </m:r>
                      </m:sup>
                    </m:sSubSup>
                    <m:r>
                      <m:rPr>
                        <m:sty m:val="p"/>
                      </m:rPr>
                      <m:t>&lt;</m:t>
                    </m:r>
                    <m:sSub>
                      <m:sSubPr/>
                      <m:e>
                        <m:r>
                          <m:rPr/>
                          <m:t>t</m:t>
                        </m:r>
                      </m:e>
                      <m:sub>
                        <m:r>
                          <m:rPr/>
                          <m:t>f</m:t>
                        </m:r>
                      </m:sub>
                    </m:sSub>
                  </m:e>
                </m:mr>
                <m:mr>
                  <m:e>
                    <m:r>
                      <m:rPr/>
                      <m:t>1</m:t>
                    </m:r>
                    <m:r>
                      <m:rPr>
                        <m:sty m:val="p"/>
                      </m:rPr>
                      <m:t>,</m:t>
                    </m:r>
                  </m:e>
                  <m:e>
                    <m:sSubSup>
                      <m:sSubSupPr/>
                      <m:e>
                        <m:r>
                          <m:rPr/>
                          <m:t>t</m:t>
                        </m:r>
                      </m:e>
                      <m:sub>
                        <m:r>
                          <m:rPr/>
                          <m:t>w</m:t>
                        </m:r>
                      </m:sub>
                      <m:sup>
                        <m:r>
                          <m:rPr/>
                          <m:t>end</m:t>
                        </m:r>
                      </m:sup>
                    </m:sSubSup>
                    <m:r>
                      <m:rPr>
                        <m:sty m:val="p"/>
                      </m:rPr>
                      <m:t>≥</m:t>
                    </m:r>
                    <m:sSub>
                      <m:sSubPr/>
                      <m:e>
                        <m:r>
                          <m:rPr/>
                          <m:t>t</m:t>
                        </m:r>
                      </m:e>
                      <m:sub>
                        <m:r>
                          <m:rPr/>
                          <m:t>f</m:t>
                        </m:r>
                      </m:sub>
                    </m:sSub>
                  </m:e>
                </m:mr>
              </m:m>
            </m:e>
          </m:d>
        </m:oMath>
      </m:oMathPara>
    </w:p>
    <w:p w14:paraId="52CA550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rPr>
              <w:rPr>
                <w:rFonts w:hint="default" w:ascii="Times New Roman" w:hAnsi="Times New Roman" w:cs="Times New Roman"/>
              </w:rPr>
              <m:t>y</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r>
          <m:rPr>
            <m:sty m:val="p"/>
          </m:rPr>
          <w:rPr>
            <w:rFonts w:hint="default" w:ascii="Times New Roman" w:hAnsi="Times New Roman" w:cs="Times New Roman"/>
          </w:rPr>
          <m:t>=0</m:t>
        </m:r>
      </m:oMath>
      <w:r>
        <w:rPr>
          <w:rFonts w:hint="default" w:ascii="Times New Roman" w:hAnsi="Times New Roman" w:cs="Times New Roman"/>
        </w:rPr>
        <w:t xml:space="preserve"> denotes a normal window and </w:t>
      </w:r>
      <m:oMath>
        <m:sSub>
          <m:sSubPr>
            <m:ctrlPr>
              <w:rPr>
                <w:rFonts w:hint="default" w:ascii="Cambria Math" w:hAnsi="Cambria Math" w:cs="Times New Roman"/>
              </w:rPr>
            </m:ctrlPr>
          </m:sSubPr>
          <m:e>
            <m:r>
              <m:rPr>
                <m:sty m:val="p"/>
              </m:rPr>
              <w:rPr>
                <w:rFonts w:hint="default" w:ascii="Times New Roman" w:hAnsi="Times New Roman" w:cs="Times New Roman"/>
              </w:rPr>
              <m:t>y</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r>
          <m:rPr>
            <m:sty m:val="p"/>
          </m:rPr>
          <w:rPr>
            <w:rFonts w:hint="default" w:ascii="Times New Roman" w:hAnsi="Times New Roman" w:cs="Times New Roman"/>
          </w:rPr>
          <m:t>=1</m:t>
        </m:r>
      </m:oMath>
      <w:r>
        <w:rPr>
          <w:rFonts w:hint="default" w:ascii="Times New Roman" w:hAnsi="Times New Roman" w:cs="Times New Roman"/>
        </w:rPr>
        <w:t xml:space="preserve"> denotes an anomalous window. Under the current preprocessing implementation, a window that crosses the fault injection time is labeled as mixed and assigned to the anomalous class for binary classification. This label describes the temporal relationship between a window and the fault injection time; it does not mean that every log message within the window has been individually classified as anomalous.</w:t>
      </w:r>
    </w:p>
    <w:bookmarkEnd w:id="17"/>
    <w:p w14:paraId="085F8F8C">
      <w:pPr>
        <w:pStyle w:val="5"/>
        <w:keepNext w:val="0"/>
        <w:keepLines w:val="0"/>
        <w:widowControl/>
        <w:suppressLineNumbers w:val="0"/>
        <w:rPr>
          <w:rFonts w:hint="default" w:ascii="Times New Roman" w:hAnsi="Times New Roman" w:cs="Times New Roman"/>
          <w:color w:val="auto"/>
          <w:sz w:val="24"/>
          <w:szCs w:val="24"/>
        </w:rPr>
      </w:pPr>
      <w:bookmarkStart w:id="18" w:name="service-level-log-statistics"/>
      <w:r>
        <w:rPr>
          <w:rFonts w:hint="default" w:ascii="Times New Roman" w:hAnsi="Times New Roman" w:cs="Times New Roman"/>
          <w:color w:val="auto"/>
          <w:sz w:val="24"/>
          <w:szCs w:val="24"/>
        </w:rPr>
        <w:t>3.2.2 Service-Level Log Statistics</w:t>
      </w:r>
    </w:p>
    <w:p w14:paraId="496C078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After time-window partitioning, the program groups logs by window and service and calculates the total number of logs, error logs, and warning logs for each service within the corresponding window.</w:t>
      </w:r>
    </w:p>
    <w:p w14:paraId="353C6D4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sSubSup>
          <m:sSubSupPr>
            <m:ctrlPr>
              <w:rPr>
                <w:rFonts w:hint="default" w:ascii="Cambria Math" w:hAnsi="Cambria Math" w:cs="Times New Roman"/>
              </w:rPr>
            </m:ctrlPr>
          </m:sSubSup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oMath>
      <w:r>
        <w:rPr>
          <w:rFonts w:hint="default" w:ascii="Times New Roman" w:hAnsi="Times New Roman" w:cs="Times New Roman"/>
        </w:rPr>
        <w:t xml:space="preserve"> denote the total number of logs generated by service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in window </w:t>
      </w:r>
      <m:oMath>
        <m:r>
          <m:rPr>
            <m:sty m:val="p"/>
          </m:rPr>
          <w:rPr>
            <w:rFonts w:hint="default" w:ascii="Times New Roman" w:hAnsi="Times New Roman" w:cs="Times New Roman"/>
          </w:rPr>
          <m:t>w</m:t>
        </m:r>
      </m:oMath>
      <w:r>
        <w:rPr>
          <w:rFonts w:hint="default" w:ascii="Times New Roman" w:hAnsi="Times New Roman" w:cs="Times New Roman"/>
        </w:rPr>
        <w:t xml:space="preserve">, while </w:t>
      </w:r>
      <m:oMath>
        <m:sSubSup>
          <m:sSubSupPr>
            <m:ctrlPr>
              <w:rPr>
                <w:rFonts w:hint="default" w:ascii="Cambria Math" w:hAnsi="Cambria Math" w:cs="Times New Roman"/>
              </w:rPr>
            </m:ctrlPr>
          </m:sSubSup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i,err</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oMath>
      <w:r>
        <w:rPr>
          <w:rFonts w:hint="default" w:ascii="Times New Roman" w:hAnsi="Times New Roman" w:cs="Times New Roman"/>
        </w:rPr>
        <w:t xml:space="preserve"> and </w:t>
      </w:r>
      <m:oMath>
        <m:sSubSup>
          <m:sSubSupPr>
            <m:ctrlPr>
              <w:rPr>
                <w:rFonts w:hint="default" w:ascii="Cambria Math" w:hAnsi="Cambria Math" w:cs="Times New Roman"/>
              </w:rPr>
            </m:ctrlPr>
          </m:sSubSup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i,warn</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oMath>
      <w:r>
        <w:rPr>
          <w:rFonts w:hint="default" w:ascii="Times New Roman" w:hAnsi="Times New Roman" w:cs="Times New Roman"/>
        </w:rPr>
        <w:t xml:space="preserve"> denote the numbers of error and warning logs, respectively. The error-log ratio and warning-log ratio are defined as:</w:t>
      </w:r>
    </w:p>
    <w:p w14:paraId="4A94A7E0">
      <w:pPr>
        <w:pStyle w:val="3"/>
      </w:pPr>
      <m:oMathPara>
        <m:oMathParaPr>
          <m:jc m:val="center"/>
        </m:oMathParaPr>
        <m:oMath>
          <m:sSubSup>
            <m:sSubSupPr/>
            <m:e>
              <m:r>
                <m:rPr/>
                <m:t>r</m:t>
              </m:r>
            </m:e>
            <m:sub>
              <m:r>
                <m:rPr/>
                <m:t>i</m:t>
              </m:r>
              <m:r>
                <m:rPr>
                  <m:sty m:val="p"/>
                </m:rPr>
                <m:t>,err</m:t>
              </m:r>
            </m:sub>
            <m:sup>
              <m:r>
                <m:rPr/>
                <m:t>w</m:t>
              </m:r>
            </m:sup>
          </m:sSubSup>
          <m:r>
            <m:rPr>
              <m:sty m:val="p"/>
            </m:rPr>
            <m:t>=</m:t>
          </m:r>
          <m:f>
            <m:fPr/>
            <m:num>
              <m:sSubSup>
                <m:sSubSupPr/>
                <m:e>
                  <m:r>
                    <m:rPr/>
                    <m:t>n</m:t>
                  </m:r>
                </m:e>
                <m:sub>
                  <m:r>
                    <m:rPr/>
                    <m:t>i</m:t>
                  </m:r>
                  <m:r>
                    <m:rPr>
                      <m:sty m:val="p"/>
                    </m:rPr>
                    <m:t>,err</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5F8D9456">
      <w:pPr>
        <w:pStyle w:val="23"/>
      </w:pPr>
      <m:oMathPara>
        <m:oMathParaPr>
          <m:jc m:val="center"/>
        </m:oMathParaPr>
        <m:oMath>
          <m:sSubSup>
            <m:sSubSupPr/>
            <m:e>
              <m:r>
                <m:rPr/>
                <m:t>r</m:t>
              </m:r>
            </m:e>
            <m:sub>
              <m:r>
                <m:rPr/>
                <m:t>i</m:t>
              </m:r>
              <m:r>
                <m:rPr>
                  <m:sty m:val="p"/>
                </m:rPr>
                <m:t>,warn</m:t>
              </m:r>
            </m:sub>
            <m:sup>
              <m:r>
                <m:rPr/>
                <m:t>w</m:t>
              </m:r>
            </m:sup>
          </m:sSubSup>
          <m:r>
            <m:rPr>
              <m:sty m:val="p"/>
            </m:rPr>
            <m:t>=</m:t>
          </m:r>
          <m:f>
            <m:fPr/>
            <m:num>
              <m:sSubSup>
                <m:sSubSupPr/>
                <m:e>
                  <m:r>
                    <m:rPr/>
                    <m:t>n</m:t>
                  </m:r>
                </m:e>
                <m:sub>
                  <m:r>
                    <m:rPr/>
                    <m:t>i</m:t>
                  </m:r>
                  <m:r>
                    <m:rPr>
                      <m:sty m:val="p"/>
                    </m:rPr>
                    <m:t>,warn</m:t>
                  </m:r>
                </m:sub>
                <m:sup>
                  <m:r>
                    <m:rPr/>
                    <m:t>w</m:t>
                  </m:r>
                </m:sup>
              </m:sSubSup>
            </m:num>
            <m:den>
              <m:r>
                <m:rPr>
                  <m:sty m:val="p"/>
                </m:rPr>
                <m:t>max</m:t>
              </m:r>
              <m:d>
                <m:dPr>
                  <m:sepChr m:val=""/>
                </m:dPr>
                <m:e>
                  <m:sSubSup>
                    <m:sSubSupPr/>
                    <m:e>
                      <m:r>
                        <m:rPr/>
                        <m:t>n</m:t>
                      </m:r>
                    </m:e>
                    <m:sub>
                      <m:r>
                        <m:rPr/>
                        <m:t>i</m:t>
                      </m:r>
                    </m:sub>
                    <m:sup>
                      <m:r>
                        <m:rPr/>
                        <m:t>w</m:t>
                      </m:r>
                    </m:sup>
                  </m:sSubSup>
                  <m:r>
                    <m:rPr>
                      <m:sty m:val="p"/>
                    </m:rPr>
                    <m:t>,</m:t>
                  </m:r>
                  <m:r>
                    <m:rPr/>
                    <m:t>1</m:t>
                  </m:r>
                </m:e>
              </m:d>
            </m:den>
          </m:f>
        </m:oMath>
      </m:oMathPara>
    </w:p>
    <w:p w14:paraId="6EBE989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The denominator </w:t>
      </w:r>
      <m:oMath>
        <m:r>
          <m:rPr>
            <m:sty m:val="p"/>
          </m:rPr>
          <w:rPr>
            <w:rFonts w:hint="default" w:ascii="Times New Roman" w:hAnsi="Times New Roman" w:cs="Times New Roman"/>
          </w:rPr>
          <m:t>max</m:t>
        </m:r>
        <m:d>
          <m:dPr>
            <m:sepChr m:val=""/>
            <m:ctrlPr>
              <w:rPr>
                <w:rFonts w:hint="default" w:ascii="Cambria Math" w:hAnsi="Cambria Math" w:cs="Times New Roman"/>
              </w:rPr>
            </m:ctrlPr>
          </m:dPr>
          <m:e>
            <m:sSubSup>
              <m:sSubSupPr>
                <m:ctrlPr>
                  <w:rPr>
                    <w:rFonts w:hint="default" w:ascii="Cambria Math" w:hAnsi="Cambria Math" w:cs="Times New Roman"/>
                  </w:rPr>
                </m:ctrlPr>
              </m:sSubSup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r>
              <m:rPr>
                <m:sty m:val="p"/>
              </m:rPr>
              <w:rPr>
                <w:rFonts w:hint="default" w:ascii="Times New Roman" w:hAnsi="Times New Roman" w:cs="Times New Roman"/>
              </w:rPr>
              <m:t>,1</m:t>
            </m:r>
            <m:ctrlPr>
              <w:rPr>
                <w:rFonts w:hint="default" w:ascii="Cambria Math" w:hAnsi="Cambria Math" w:cs="Times New Roman"/>
              </w:rPr>
            </m:ctrlPr>
          </m:e>
        </m:d>
      </m:oMath>
      <w:r>
        <w:rPr>
          <w:rFonts w:hint="default" w:ascii="Times New Roman" w:hAnsi="Times New Roman" w:cs="Times New Roman"/>
        </w:rPr>
        <w:t xml:space="preserve"> prevents division by zero when a service has no logs in a window.</w:t>
      </w:r>
    </w:p>
    <w:p w14:paraId="2699967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eastAsiaTheme="minorEastAsia"/>
          <w:kern w:val="0"/>
          <w:sz w:val="24"/>
          <w:szCs w:val="22"/>
          <w:lang w:val="en-US" w:eastAsia="zh-CN" w:bidi="ar"/>
        </w:rPr>
        <w:t>In the current implementation, error logs are identified using case-insensitive regular-expression matching for ERROR or EXCEPTION. Warning logs are identified using WARN or WARNING. These ratios are therefore statistical features</w:t>
      </w:r>
      <w:r>
        <w:rPr>
          <w:rFonts w:hint="default" w:ascii="Times New Roman" w:hAnsi="Times New Roman" w:cs="Times New Roman"/>
          <w:lang w:val="en-US" w:eastAsia="zh-CN"/>
        </w:rPr>
        <w:t xml:space="preserve"> derive</w:t>
      </w:r>
      <w:r>
        <w:rPr>
          <w:rFonts w:hint="default" w:ascii="Times New Roman" w:hAnsi="Times New Roman" w:cs="Times New Roman"/>
        </w:rPr>
        <w:t>d from keyword-based rules rather than probabilities predicted by a separate classification model.</w:t>
      </w:r>
    </w:p>
    <w:p w14:paraId="4967956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preprocessing program also aggregates monitoring metrics by time window. However, the current graph-model loading program does not concatenate the aggregated monitoring metrics into the node input features. Consequently, the statistical features used by the subsequent model are derived from logs rather than from direct fusion of log and monitoring-metric features.</w:t>
      </w:r>
    </w:p>
    <w:bookmarkEnd w:id="18"/>
    <w:p w14:paraId="040D151B">
      <w:pPr>
        <w:pStyle w:val="5"/>
        <w:keepNext w:val="0"/>
        <w:keepLines w:val="0"/>
        <w:widowControl/>
        <w:suppressLineNumbers w:val="0"/>
        <w:rPr>
          <w:rFonts w:hint="default" w:ascii="Times New Roman" w:hAnsi="Times New Roman" w:cs="Times New Roman"/>
          <w:color w:val="auto"/>
          <w:sz w:val="24"/>
          <w:szCs w:val="24"/>
        </w:rPr>
      </w:pPr>
      <w:bookmarkStart w:id="19" w:name="qwen-based-log-semantic-representation"/>
      <w:r>
        <w:rPr>
          <w:rFonts w:hint="default" w:ascii="Times New Roman" w:hAnsi="Times New Roman" w:cs="Times New Roman"/>
          <w:color w:val="auto"/>
          <w:sz w:val="24"/>
          <w:szCs w:val="24"/>
        </w:rPr>
        <w:t>3.2.3 Qwen-Based Log Semantic Representation</w:t>
      </w:r>
    </w:p>
    <w:p w14:paraId="1F6B7A8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Anomalous information in logs is not necessarily expressed through fixed keywords alone. It may also involve operation semantics, exception descriptions, and service-processing behavior. To complement the semantic information that cannot be fully represented by keyword statistics, this study uses large language model-based semantic representations as part of the service-node input features.</w:t>
      </w:r>
    </w:p>
    <w:p w14:paraId="0AA762A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According to the configuration file, the semantic representation pipeline uses Qwen2.5-7B-Instruct with Mean Pooling, a maximum input length of 512 tokens, the bfloat16 data type, and an embedding-generation batch size of 4. The configuration also specifies the local model path and revision identifier [11].</w:t>
      </w:r>
    </w:p>
    <w:p w14:paraId="615680E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the log semantic vector for service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in window </w:t>
      </w:r>
      <m:oMath>
        <m:r>
          <m:rPr>
            <m:sty m:val="p"/>
          </m:rPr>
          <w:rPr>
            <w:rFonts w:hint="default" w:ascii="Times New Roman" w:hAnsi="Times New Roman" w:cs="Times New Roman"/>
          </w:rPr>
          <m:t>w</m:t>
        </m:r>
      </m:oMath>
      <w:r>
        <w:rPr>
          <w:rFonts w:hint="default" w:ascii="Times New Roman" w:hAnsi="Times New Roman" w:cs="Times New Roman"/>
        </w:rPr>
        <w:t xml:space="preserve"> be:</w:t>
      </w:r>
    </w:p>
    <w:p w14:paraId="6DCC74BA">
      <w:pPr>
        <w:pStyle w:val="3"/>
      </w:pPr>
      <m:oMathPara>
        <m:oMathParaPr>
          <m:jc m:val="center"/>
        </m:oMathParaPr>
        <m:oMath>
          <m:sSubSup>
            <m:sSubSupPr/>
            <m:e>
              <m:r>
                <m:rPr>
                  <m:sty m:val="b"/>
                </m:rPr>
                <m:t>e</m:t>
              </m:r>
            </m:e>
            <m:sub>
              <m:r>
                <m:rPr/>
                <m:t>i</m:t>
              </m:r>
            </m:sub>
            <m:sup>
              <m:r>
                <m:rPr/>
                <m:t>w</m:t>
              </m:r>
            </m:sup>
          </m:sSubSup>
          <m:r>
            <m:rPr>
              <m:sty m:val="p"/>
            </m:rPr>
            <m:t>∈</m:t>
          </m:r>
          <m:sSup>
            <m:sSupPr/>
            <m:e>
              <m:r>
                <m:rPr>
                  <m:sty m:val="p"/>
                  <m:scr m:val="double-struck"/>
                </m:rPr>
                <m:t>ℝ</m:t>
              </m:r>
            </m:e>
            <m:sup>
              <m:sSub>
                <m:sSubPr/>
                <m:e>
                  <m:r>
                    <m:rPr/>
                    <m:t>d</m:t>
                  </m:r>
                </m:e>
                <m:sub>
                  <m:r>
                    <m:rPr/>
                    <m:t>e</m:t>
                  </m:r>
                </m:sub>
              </m:sSub>
            </m:sup>
          </m:sSup>
        </m:oMath>
      </m:oMathPara>
    </w:p>
    <w:p w14:paraId="275EDB2F">
      <w:pPr>
        <w:pStyle w:val="23"/>
        <w:rPr>
          <w:rFonts w:hint="default" w:ascii="Times New Roman" w:hAnsi="Times New Roman" w:cs="Times New Roman" w:eastAsiaTheme="minorEastAsia"/>
          <w:kern w:val="0"/>
          <w:sz w:val="24"/>
          <w:szCs w:val="22"/>
          <w:lang w:val="en-US" w:eastAsia="zh-CN" w:bidi="ar"/>
        </w:rPr>
      </w:pPr>
      <w:r>
        <w:rPr>
          <w:rFonts w:hint="default" w:ascii="Times New Roman" w:hAnsi="Times New Roman" w:cs="Times New Roman" w:eastAsiaTheme="minorEastAsia"/>
          <w:kern w:val="0"/>
          <w:sz w:val="24"/>
          <w:szCs w:val="22"/>
          <w:lang w:val="en-US" w:eastAsia="zh-CN" w:bidi="ar"/>
        </w:rPr>
        <w:t xml:space="preserve">Here, </w:t>
      </w:r>
      <m:oMath>
        <m:sSub>
          <m:sSubPr>
            <m:ctrlPr>
              <w:rPr>
                <w:rFonts w:hint="default" w:ascii="Cambria Math" w:hAnsi="Cambria Math" w:cs="Times New Roman" w:eastAsiaTheme="minorEastAsia"/>
                <w:kern w:val="0"/>
                <w:sz w:val="24"/>
                <w:szCs w:val="22"/>
                <w:lang w:val="en-US" w:eastAsia="zh-CN" w:bidi="ar"/>
              </w:rPr>
            </m:ctrlPr>
          </m:sSubPr>
          <m:e>
            <m:r>
              <m:rPr>
                <m:sty m:val="p"/>
              </m:rPr>
              <w:rPr>
                <w:rFonts w:hint="default" w:ascii="Times New Roman" w:hAnsi="Times New Roman" w:cs="Times New Roman" w:eastAsiaTheme="minorEastAsia"/>
                <w:kern w:val="0"/>
                <w:sz w:val="24"/>
                <w:szCs w:val="22"/>
                <w:lang w:val="en-US" w:eastAsia="zh-CN" w:bidi="ar"/>
              </w:rPr>
              <m:t>d</m:t>
            </m:r>
            <m:ctrlPr>
              <w:rPr>
                <w:rFonts w:hint="default" w:ascii="Cambria Math" w:hAnsi="Cambria Math" w:cs="Times New Roman" w:eastAsiaTheme="minorEastAsia"/>
                <w:kern w:val="0"/>
                <w:sz w:val="24"/>
                <w:szCs w:val="22"/>
                <w:lang w:val="en-US" w:eastAsia="zh-CN" w:bidi="ar"/>
              </w:rPr>
            </m:ctrlPr>
          </m:e>
          <m:sub>
            <m:r>
              <m:rPr>
                <m:sty m:val="p"/>
              </m:rPr>
              <w:rPr>
                <w:rFonts w:hint="default" w:ascii="Times New Roman" w:hAnsi="Times New Roman" w:cs="Times New Roman" w:eastAsiaTheme="minorEastAsia"/>
                <w:kern w:val="0"/>
                <w:sz w:val="24"/>
                <w:szCs w:val="22"/>
                <w:lang w:val="en-US" w:eastAsia="zh-CN" w:bidi="ar"/>
              </w:rPr>
              <m:t>e</m:t>
            </m:r>
            <m:ctrlPr>
              <w:rPr>
                <w:rFonts w:hint="default" w:ascii="Cambria Math" w:hAnsi="Cambria Math" w:cs="Times New Roman" w:eastAsiaTheme="minorEastAsia"/>
                <w:kern w:val="0"/>
                <w:sz w:val="24"/>
                <w:szCs w:val="22"/>
                <w:lang w:val="en-US" w:eastAsia="zh-CN" w:bidi="ar"/>
              </w:rPr>
            </m:ctrlPr>
          </m:sub>
        </m:sSub>
      </m:oMath>
      <w:r>
        <w:rPr>
          <w:rFonts w:hint="default" w:ascii="Times New Roman" w:hAnsi="Times New Roman" w:cs="Times New Roman" w:eastAsiaTheme="minorEastAsia"/>
          <w:kern w:val="0"/>
          <w:sz w:val="24"/>
          <w:szCs w:val="22"/>
          <w:lang w:val="en-US" w:eastAsia="zh-CN" w:bidi="ar"/>
        </w:rPr>
        <w:t xml:space="preserve"> denotes the embedding dimension. According to the project implementation description, the semantic representation is obtained by mean pooling model hidden states. The graph-model loading program directly reads the precomputed embedding array. When the array is available, its shape determines the embedding dimension. If the embedding array is absent, the code uses 3584 as the default dimension and initializes unfilled semantic features to zero.</w:t>
      </w:r>
    </w:p>
    <w:p w14:paraId="4C106F29">
      <w:pPr>
        <w:pStyle w:val="3"/>
        <w:rPr>
          <w:rFonts w:hint="default" w:ascii="Times New Roman" w:hAnsi="Times New Roman" w:cs="Times New Roman" w:eastAsiaTheme="minorEastAsia"/>
          <w:kern w:val="0"/>
          <w:sz w:val="24"/>
          <w:szCs w:val="22"/>
          <w:lang w:val="en-US" w:eastAsia="zh-CN" w:bidi="ar"/>
        </w:rPr>
      </w:pPr>
      <w:r>
        <w:rPr>
          <w:rFonts w:hint="default" w:ascii="Times New Roman" w:hAnsi="Times New Roman" w:cs="Times New Roman" w:eastAsiaTheme="minorEastAsia"/>
          <w:kern w:val="0"/>
          <w:sz w:val="24"/>
          <w:szCs w:val="22"/>
          <w:lang w:val="en-US" w:eastAsia="zh-CN" w:bidi="ar"/>
        </w:rPr>
        <w:t>Therefore, 3584 is the default dimension used by the current loading code. Whether the embeddings used in a particular experiment are complete and have the expected dimension must be verified from the corresponding embedding files. Since the complete embedding-generation script has not been provided, this study does not make further assumptions about the specific hidden-state layer or the handling of special tokens.</w:t>
      </w:r>
    </w:p>
    <w:bookmarkEnd w:id="16"/>
    <w:bookmarkEnd w:id="19"/>
    <w:p w14:paraId="4D32CA72">
      <w:pPr>
        <w:pStyle w:val="4"/>
        <w:keepNext w:val="0"/>
        <w:keepLines w:val="0"/>
        <w:widowControl/>
        <w:suppressLineNumbers w:val="0"/>
        <w:rPr>
          <w:rFonts w:hint="default" w:ascii="Times New Roman" w:hAnsi="Times New Roman" w:cs="Times New Roman"/>
          <w:color w:val="auto"/>
          <w:sz w:val="28"/>
          <w:szCs w:val="28"/>
        </w:rPr>
      </w:pPr>
      <w:bookmarkStart w:id="20" w:name="_Toc14225"/>
      <w:bookmarkStart w:id="21" w:name="microservice-call-graph-construction"/>
      <w:r>
        <w:rPr>
          <w:rFonts w:hint="default" w:ascii="Times New Roman" w:hAnsi="Times New Roman" w:cs="Times New Roman"/>
          <w:color w:val="auto"/>
          <w:sz w:val="28"/>
          <w:szCs w:val="28"/>
        </w:rPr>
        <w:t>3.3 Microservice Call Graph Construction</w:t>
      </w:r>
      <w:bookmarkEnd w:id="20"/>
    </w:p>
    <w:p w14:paraId="6FBF2B94">
      <w:pPr>
        <w:pStyle w:val="5"/>
        <w:keepNext w:val="0"/>
        <w:keepLines w:val="0"/>
        <w:widowControl/>
        <w:suppressLineNumbers w:val="0"/>
        <w:rPr>
          <w:rFonts w:hint="default" w:ascii="Times New Roman" w:hAnsi="Times New Roman" w:cs="Times New Roman"/>
          <w:color w:val="auto"/>
          <w:sz w:val="24"/>
          <w:szCs w:val="24"/>
        </w:rPr>
      </w:pPr>
      <w:bookmarkStart w:id="22" w:name="graph-representation"/>
      <w:r>
        <w:rPr>
          <w:rFonts w:hint="default" w:ascii="Times New Roman" w:hAnsi="Times New Roman" w:cs="Times New Roman"/>
          <w:color w:val="auto"/>
          <w:sz w:val="24"/>
          <w:szCs w:val="24"/>
        </w:rPr>
        <w:t>3.3.1 Graph Representation</w:t>
      </w:r>
    </w:p>
    <w:p w14:paraId="7DC0C6C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Services in a microservice system typically cooperate through request-based calls. When a service becomes faulty, its effects may propagate along service-call relationships. This study therefore uses a service call graph to represent the structural relationships among microservices and uses service-level log information as node features.</w:t>
      </w:r>
    </w:p>
    <w:p w14:paraId="78DECD2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For time window </w:t>
      </w:r>
      <m:oMath>
        <m:r>
          <m:rPr>
            <m:sty m:val="p"/>
          </m:rPr>
          <w:rPr>
            <w:rFonts w:hint="default" w:ascii="Times New Roman" w:hAnsi="Times New Roman" w:cs="Times New Roman"/>
          </w:rPr>
          <m:t>w</m:t>
        </m:r>
      </m:oMath>
      <w:r>
        <w:rPr>
          <w:rFonts w:hint="default" w:ascii="Times New Roman" w:hAnsi="Times New Roman" w:cs="Times New Roman"/>
        </w:rPr>
        <w:t>, the graph is represented as:</w:t>
      </w:r>
    </w:p>
    <w:p w14:paraId="3A15B12D">
      <w:pPr>
        <w:pStyle w:val="3"/>
      </w:pPr>
      <m:oMathPara>
        <m:oMathParaPr>
          <m:jc m:val="center"/>
        </m:oMathParaPr>
        <m:oMath>
          <m:sSub>
            <m:sSubPr/>
            <m:e>
              <m:r>
                <m:rPr/>
                <m:t>G</m:t>
              </m:r>
            </m:e>
            <m:sub>
              <m:r>
                <m:rPr/>
                <m:t>w</m:t>
              </m:r>
            </m:sub>
          </m:sSub>
          <m:r>
            <m:rPr>
              <m:sty m:val="p"/>
            </m:rPr>
            <m:t>=</m:t>
          </m:r>
          <m:d>
            <m:dPr>
              <m:sepChr m:val=""/>
            </m:dPr>
            <m:e>
              <m:sSub>
                <m:sSubPr/>
                <m:e>
                  <m:r>
                    <m:rPr/>
                    <m:t>V</m:t>
                  </m:r>
                </m:e>
                <m:sub>
                  <m:r>
                    <m:rPr/>
                    <m:t>w</m:t>
                  </m:r>
                </m:sub>
              </m:sSub>
              <m:r>
                <m:rPr>
                  <m:sty m:val="p"/>
                </m:rPr>
                <m:t>,</m:t>
              </m:r>
              <m:sSub>
                <m:sSubPr/>
                <m:e>
                  <m:r>
                    <m:rPr/>
                    <m:t>E</m:t>
                  </m:r>
                </m:e>
                <m:sub>
                  <m:r>
                    <m:rPr/>
                    <m:t>w</m:t>
                  </m:r>
                </m:sub>
              </m:sSub>
              <m:r>
                <m:rPr>
                  <m:sty m:val="p"/>
                </m:rPr>
                <m:t>,</m:t>
              </m:r>
              <m:sSub>
                <m:sSubPr/>
                <m:e>
                  <m:r>
                    <m:rPr/>
                    <m:t>X</m:t>
                  </m:r>
                </m:e>
                <m:sub>
                  <m:r>
                    <m:rPr/>
                    <m:t>w</m:t>
                  </m:r>
                </m:sub>
              </m:sSub>
            </m:e>
          </m:d>
        </m:oMath>
      </m:oMathPara>
    </w:p>
    <w:p w14:paraId="61A3496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xml:space="preserve"> is the set of service nodes in the current window, </w:t>
      </w:r>
      <m:oMath>
        <m:sSub>
          <m:sSubPr>
            <m:ctrlPr>
              <w:rPr>
                <w:rFonts w:hint="default" w:ascii="Cambria Math" w:hAnsi="Cambria Math" w:cs="Times New Roman"/>
              </w:rPr>
            </m:ctrlPr>
          </m:sSubPr>
          <m:e>
            <m:r>
              <m:rPr>
                <m:sty m:val="p"/>
              </m:rPr>
              <w:rPr>
                <w:rFonts w:hint="default" w:ascii="Times New Roman" w:hAnsi="Times New Roman" w:cs="Times New Roman"/>
              </w:rPr>
              <m:t>E</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xml:space="preserve"> is the set of service-call edges, and </w:t>
      </w:r>
      <m:oMath>
        <m:sSub>
          <m:sSubPr>
            <m:ctrlPr>
              <w:rPr>
                <w:rFonts w:hint="default" w:ascii="Cambria Math" w:hAnsi="Cambria Math" w:cs="Times New Roman"/>
              </w:rPr>
            </m:ctrlPr>
          </m:sSubPr>
          <m:e>
            <m:r>
              <m:rPr>
                <m:sty m:val="p"/>
              </m:rPr>
              <w:rPr>
                <w:rFonts w:hint="default" w:ascii="Times New Roman" w:hAnsi="Times New Roman" w:cs="Times New Roman"/>
              </w:rPr>
              <m:t>X</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xml:space="preserve"> is the node feature matrix.</w:t>
      </w:r>
    </w:p>
    <w:p w14:paraId="143824E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If the window contains </w:t>
      </w:r>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xml:space="preserve"> service nodes, then:</w:t>
      </w:r>
    </w:p>
    <w:p w14:paraId="5E470A9A">
      <w:pPr>
        <w:pStyle w:val="3"/>
      </w:pPr>
      <m:oMathPara>
        <m:oMathParaPr>
          <m:jc m:val="center"/>
        </m:oMathParaPr>
        <m:oMath>
          <m:sSub>
            <m:sSubPr/>
            <m:e>
              <m:r>
                <m:rPr/>
                <m:t>X</m:t>
              </m:r>
            </m:e>
            <m:sub>
              <m:r>
                <m:rPr/>
                <m:t>w</m:t>
              </m:r>
            </m:sub>
          </m:sSub>
          <m:r>
            <m:rPr>
              <m:sty m:val="p"/>
            </m:rPr>
            <m:t>∈</m:t>
          </m:r>
          <m:sSup>
            <m:sSupPr/>
            <m:e>
              <m:r>
                <m:rPr>
                  <m:sty m:val="p"/>
                  <m:scr m:val="double-struck"/>
                </m:rPr>
                <m:t>ℝ</m:t>
              </m:r>
            </m:e>
            <m:sup>
              <m:sSub>
                <m:sSubPr/>
                <m:e>
                  <m:r>
                    <m:rPr/>
                    <m:t>N</m:t>
                  </m:r>
                </m:e>
                <m:sub>
                  <m:r>
                    <m:rPr/>
                    <m:t>w</m:t>
                  </m:r>
                </m:sub>
              </m:sSub>
              <m:r>
                <m:rPr>
                  <m:sty m:val="p"/>
                </m:rPr>
                <m:t>×</m:t>
              </m:r>
              <m:d>
                <m:dPr>
                  <m:sepChr m:val=""/>
                </m:dPr>
                <m:e>
                  <m:sSub>
                    <m:sSubPr/>
                    <m:e>
                      <m:r>
                        <m:rPr/>
                        <m:t>d</m:t>
                      </m:r>
                    </m:e>
                    <m:sub>
                      <m:r>
                        <m:rPr/>
                        <m:t>e</m:t>
                      </m:r>
                    </m:sub>
                  </m:sSub>
                  <m:r>
                    <m:rPr>
                      <m:sty m:val="p"/>
                    </m:rPr>
                    <m:t>+</m:t>
                  </m:r>
                  <m:r>
                    <m:rPr/>
                    <m:t>3</m:t>
                  </m:r>
                </m:e>
              </m:d>
            </m:sup>
          </m:sSup>
        </m:oMath>
      </m:oMathPara>
    </w:p>
    <w:p w14:paraId="7BAA0A4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rPr>
              <w:rPr>
                <w:rFonts w:hint="default" w:ascii="Times New Roman" w:hAnsi="Times New Roman" w:cs="Times New Roman"/>
              </w:rPr>
              <m:t>d</m:t>
            </m:r>
            <m:ctrlPr>
              <w:rPr>
                <w:rFonts w:hint="default" w:ascii="Cambria Math" w:hAnsi="Cambria Math" w:cs="Times New Roman"/>
              </w:rPr>
            </m:ctrlPr>
          </m:e>
          <m:sub>
            <m:r>
              <m:rPr>
                <m:sty m:val="p"/>
              </m:rPr>
              <w:rPr>
                <w:rFonts w:hint="default" w:ascii="Times New Roman" w:hAnsi="Times New Roman" w:cs="Times New Roman"/>
              </w:rPr>
              <m:t>e</m:t>
            </m:r>
            <m:ctrlPr>
              <w:rPr>
                <w:rFonts w:hint="default" w:ascii="Cambria Math" w:hAnsi="Cambria Math" w:cs="Times New Roman"/>
              </w:rPr>
            </m:ctrlPr>
          </m:sub>
        </m:sSub>
      </m:oMath>
      <w:r>
        <w:rPr>
          <w:rFonts w:hint="default" w:ascii="Times New Roman" w:hAnsi="Times New Roman" w:cs="Times New Roman"/>
        </w:rPr>
        <w:t xml:space="preserve"> is the dimension of the log semantic vector. The additional three dimensions represent the logarithmically transformed log count, error-log ratio, and warning-log ratio. Each window corresponds to a graph snapshot representing the services and their call relationships within that time interval.</w:t>
      </w:r>
    </w:p>
    <w:bookmarkEnd w:id="22"/>
    <w:p w14:paraId="7CA4C858">
      <w:pPr>
        <w:pStyle w:val="5"/>
        <w:keepNext w:val="0"/>
        <w:keepLines w:val="0"/>
        <w:widowControl/>
        <w:suppressLineNumbers w:val="0"/>
        <w:rPr>
          <w:rFonts w:hint="default" w:ascii="Times New Roman" w:hAnsi="Times New Roman" w:cs="Times New Roman"/>
          <w:color w:val="auto"/>
          <w:sz w:val="24"/>
          <w:szCs w:val="24"/>
        </w:rPr>
      </w:pPr>
      <w:bookmarkStart w:id="23" w:name="Xec1554ab1b168c0524c8bc8ed4c4d723d76e474"/>
      <w:r>
        <w:rPr>
          <w:rFonts w:hint="default" w:ascii="Times New Roman" w:hAnsi="Times New Roman" w:cs="Times New Roman"/>
          <w:color w:val="auto"/>
          <w:sz w:val="24"/>
          <w:szCs w:val="24"/>
        </w:rPr>
        <w:t>3.3.2 Extracting Call Relationships from Trace Data</w:t>
      </w:r>
    </w:p>
    <w:p w14:paraId="5507394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eastAsiaTheme="minorEastAsia"/>
          <w:kern w:val="0"/>
          <w:sz w:val="24"/>
          <w:szCs w:val="22"/>
          <w:lang w:val="en-US" w:eastAsia="zh-CN" w:bidi="ar"/>
        </w:rPr>
        <w:t>The current implementation reads fields from Trace data, including trace identif</w:t>
      </w:r>
      <w:r>
        <w:rPr>
          <w:rFonts w:hint="default" w:ascii="Times New Roman" w:hAnsi="Times New Roman" w:cs="Times New Roman"/>
          <w:lang w:val="en-US" w:eastAsia="zh-CN"/>
        </w:rPr>
        <w:t>iers, Sp</w:t>
      </w:r>
      <w:r>
        <w:rPr>
          <w:rFonts w:hint="default" w:ascii="Times New Roman" w:hAnsi="Times New Roman" w:cs="Times New Roman"/>
        </w:rPr>
        <w:t>an identifiers, parent Span identifiers, service names, start times, and status codes. The program first maps Span identifiers to service names and then uses parent Span identifiers to identify caller services. Cross-service calls are retained when both the caller and callee are known and represent different services.</w:t>
      </w:r>
    </w:p>
    <w:p w14:paraId="5BA349C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be the caller and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j</m:t>
            </m:r>
            <m:ctrlPr>
              <w:rPr>
                <w:rFonts w:hint="default" w:ascii="Cambria Math" w:hAnsi="Cambria Math" w:cs="Times New Roman"/>
              </w:rPr>
            </m:ctrlPr>
          </m:sub>
        </m:sSub>
      </m:oMath>
      <w:r>
        <w:rPr>
          <w:rFonts w:hint="default" w:ascii="Times New Roman" w:hAnsi="Times New Roman" w:cs="Times New Roman"/>
        </w:rPr>
        <w:t xml:space="preserve"> the callee. A call edge in window </w:t>
      </w:r>
      <m:oMath>
        <m:r>
          <m:rPr>
            <m:sty m:val="p"/>
          </m:rPr>
          <w:rPr>
            <w:rFonts w:hint="default" w:ascii="Times New Roman" w:hAnsi="Times New Roman" w:cs="Times New Roman"/>
          </w:rPr>
          <m:t>w</m:t>
        </m:r>
      </m:oMath>
      <w:r>
        <w:rPr>
          <w:rFonts w:hint="default" w:ascii="Times New Roman" w:hAnsi="Times New Roman" w:cs="Times New Roman"/>
        </w:rPr>
        <w:t xml:space="preserve"> is represented as:</w:t>
      </w:r>
    </w:p>
    <w:p w14:paraId="6B2C3C56">
      <w:pPr>
        <w:pStyle w:val="3"/>
      </w:pPr>
      <m:oMathPara>
        <m:oMathParaPr>
          <m:jc m:val="center"/>
        </m:oMathParaPr>
        <m:oMath>
          <m:sSub>
            <m:sSubPr/>
            <m:e>
              <m:r>
                <m:rPr/>
                <m:t>E</m:t>
              </m:r>
            </m:e>
            <m:sub>
              <m:r>
                <m:rPr/>
                <m:t>w</m:t>
              </m:r>
            </m:sub>
          </m:sSub>
          <m:r>
            <m:rPr>
              <m:sty m:val="p"/>
            </m:rPr>
            <m:t>={</m:t>
          </m:r>
          <m:d>
            <m:dPr>
              <m:sepChr m:val=""/>
            </m:dPr>
            <m:e>
              <m:sSub>
                <m:sSubPr/>
                <m:e>
                  <m:r>
                    <m:rPr/>
                    <m:t>v</m:t>
                  </m:r>
                </m:e>
                <m:sub>
                  <m:r>
                    <m:rPr/>
                    <m:t>i</m:t>
                  </m:r>
                </m:sub>
              </m:sSub>
              <m:r>
                <m:rPr>
                  <m:sty m:val="p"/>
                </m:rPr>
                <m:t>,</m:t>
              </m:r>
              <m:sSub>
                <m:sSubPr/>
                <m:e>
                  <m:r>
                    <m:rPr/>
                    <m:t>v</m:t>
                  </m:r>
                </m:e>
                <m:sub>
                  <m:r>
                    <m:rPr/>
                    <m:t>j</m:t>
                  </m:r>
                </m:sub>
              </m:sSub>
            </m:e>
          </m:d>
          <m:r>
            <m:rPr>
              <m:sty m:val="p"/>
            </m:rPr>
            <m:t>∣</m:t>
          </m:r>
          <m:sSub>
            <m:sSubPr/>
            <m:e>
              <m:r>
                <m:rPr/>
                <m:t>v</m:t>
              </m:r>
            </m:e>
            <m:sub>
              <m:r>
                <m:rPr/>
                <m:t>i</m:t>
              </m:r>
            </m:sub>
          </m:sSub>
          <m:r>
            <m:rPr>
              <m:nor/>
              <m:sty m:val="p"/>
            </m:rPr>
            <w:rPr>
              <w:b w:val="0"/>
              <w:i w:val="0"/>
            </w:rPr>
            <m:t>calls</m:t>
          </m:r>
          <m:sSub>
            <m:sSubPr/>
            <m:e>
              <m:r>
                <m:rPr/>
                <m:t>v</m:t>
              </m:r>
            </m:e>
            <m:sub>
              <m:r>
                <m:rPr/>
                <m:t>j</m:t>
              </m:r>
            </m:sub>
          </m:sSub>
          <m:r>
            <m:rPr>
              <m:nor/>
              <m:sty m:val="p"/>
            </m:rPr>
            <w:rPr>
              <w:b w:val="0"/>
              <w:i w:val="0"/>
            </w:rPr>
            <m:t>in window</m:t>
          </m:r>
          <m:r>
            <m:rPr/>
            <m:t>w</m:t>
          </m:r>
          <m:r>
            <m:rPr>
              <m:sty m:val="p"/>
            </m:rPr>
            <m:t>}</m:t>
          </m:r>
        </m:oMath>
      </m:oMathPara>
    </w:p>
    <w:p w14:paraId="65167BD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program assigns call records to time windows according to Trace start times and aggregates them by window, caller, and callee. The resulting edge table provides the source and target nodes required to construct the graph neural network’s edge_index.</w:t>
      </w:r>
    </w:p>
    <w:p w14:paraId="65212F6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the preprocessing program also calculates call counts and statistics related to certain error status codes, the current graph model does not use these statistics as explicit edge weights or edge features. The implemented model therefore represents service dependencies through graph connectivity rather than through weighted-edge feature modeling.</w:t>
      </w:r>
    </w:p>
    <w:bookmarkEnd w:id="23"/>
    <w:p w14:paraId="1A08F2FD">
      <w:pPr>
        <w:pStyle w:val="5"/>
        <w:keepNext w:val="0"/>
        <w:keepLines w:val="0"/>
        <w:widowControl/>
        <w:suppressLineNumbers w:val="0"/>
        <w:rPr>
          <w:rFonts w:hint="default" w:ascii="Times New Roman" w:hAnsi="Times New Roman" w:cs="Times New Roman"/>
          <w:color w:val="auto"/>
          <w:sz w:val="24"/>
          <w:szCs w:val="24"/>
        </w:rPr>
      </w:pPr>
      <w:bookmarkStart w:id="24" w:name="node-feature-integration"/>
      <w:r>
        <w:rPr>
          <w:rFonts w:hint="default" w:ascii="Times New Roman" w:hAnsi="Times New Roman" w:cs="Times New Roman"/>
          <w:color w:val="auto"/>
          <w:sz w:val="24"/>
          <w:szCs w:val="24"/>
        </w:rPr>
        <w:t>3.3.3 Node Feature Integration</w:t>
      </w:r>
    </w:p>
    <w:p w14:paraId="7256385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After graph construction, the program concatenates each service’s log semantic vector with three statistical features to obtain the final node input representation:</w:t>
      </w:r>
    </w:p>
    <w:p w14:paraId="2242266A">
      <w:pPr>
        <w:pStyle w:val="3"/>
      </w:pPr>
      <m:oMathPara>
        <m:oMathParaPr>
          <m:jc m:val="center"/>
        </m:oMathParaPr>
        <m:oMath>
          <m:sSubSup>
            <m:sSubSupPr/>
            <m:e>
              <m:r>
                <m:rPr>
                  <m:sty m:val="b"/>
                </m:rPr>
                <m:t>x</m:t>
              </m:r>
            </m:e>
            <m:sub>
              <m:r>
                <m:rPr/>
                <m:t>i</m:t>
              </m:r>
            </m:sub>
            <m:sup>
              <m:r>
                <m:rPr/>
                <m:t>w</m:t>
              </m:r>
            </m:sup>
          </m:sSubSup>
          <m:r>
            <m:rPr>
              <m:sty m:val="p"/>
            </m:rPr>
            <m:t>=</m:t>
          </m:r>
          <m:d>
            <m:dPr>
              <m:begChr m:val="["/>
              <m:sepChr m:val=""/>
              <m:endChr m:val="]"/>
            </m:dPr>
            <m:e>
              <m:sSubSup>
                <m:sSubSupPr/>
                <m:e>
                  <m:r>
                    <m:rPr>
                      <m:sty m:val="b"/>
                    </m:rPr>
                    <m:t>e</m:t>
                  </m:r>
                </m:e>
                <m:sub>
                  <m:r>
                    <m:rPr/>
                    <m:t>i</m:t>
                  </m:r>
                </m:sub>
                <m:sup>
                  <m:r>
                    <m:rPr/>
                    <m:t>w</m:t>
                  </m:r>
                </m:sup>
              </m:sSubSup>
              <m:r>
                <m:rPr>
                  <m:sty m:val="p"/>
                </m:rPr>
                <m:t>‖log</m:t>
              </m:r>
              <m:d>
                <m:dPr>
                  <m:sepChr m:val=""/>
                </m:dPr>
                <m:e>
                  <m:r>
                    <m:rPr/>
                    <m:t>1</m:t>
                  </m:r>
                  <m:r>
                    <m:rPr>
                      <m:sty m:val="p"/>
                    </m:rPr>
                    <m:t>+</m:t>
                  </m:r>
                  <m:sSubSup>
                    <m:sSubSupPr/>
                    <m:e>
                      <m:r>
                        <m:rPr/>
                        <m:t>n</m:t>
                      </m:r>
                    </m:e>
                    <m:sub>
                      <m:r>
                        <m:rPr/>
                        <m:t>i</m:t>
                      </m:r>
                    </m:sub>
                    <m:sup>
                      <m:r>
                        <m:rPr/>
                        <m:t>w</m:t>
                      </m:r>
                    </m:sup>
                  </m:sSubSup>
                </m:e>
              </m:d>
              <m:r>
                <m:rPr>
                  <m:sty m:val="p"/>
                </m:rPr>
                <m:t>‖</m:t>
              </m:r>
              <m:sSubSup>
                <m:sSubSupPr/>
                <m:e>
                  <m:r>
                    <m:rPr/>
                    <m:t>r</m:t>
                  </m:r>
                </m:e>
                <m:sub>
                  <m:r>
                    <m:rPr/>
                    <m:t>i</m:t>
                  </m:r>
                  <m:r>
                    <m:rPr>
                      <m:sty m:val="p"/>
                    </m:rPr>
                    <m:t>,err</m:t>
                  </m:r>
                </m:sub>
                <m:sup>
                  <m:r>
                    <m:rPr/>
                    <m:t>w</m:t>
                  </m:r>
                </m:sup>
              </m:sSubSup>
              <m:r>
                <m:rPr>
                  <m:sty m:val="p"/>
                </m:rPr>
                <m:t>‖</m:t>
              </m:r>
              <m:sSubSup>
                <m:sSubSupPr/>
                <m:e>
                  <m:r>
                    <m:rPr/>
                    <m:t>r</m:t>
                  </m:r>
                </m:e>
                <m:sub>
                  <m:r>
                    <m:rPr/>
                    <m:t>i</m:t>
                  </m:r>
                  <m:r>
                    <m:rPr>
                      <m:sty m:val="p"/>
                    </m:rPr>
                    <m:t>,warn</m:t>
                  </m:r>
                </m:sub>
                <m:sup>
                  <m:r>
                    <m:rPr/>
                    <m:t>w</m:t>
                  </m:r>
                </m:sup>
              </m:sSubSup>
            </m:e>
          </m:d>
        </m:oMath>
      </m:oMathPara>
    </w:p>
    <w:p w14:paraId="3D74DB8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r>
          <m:rPr>
            <m:sty m:val="p"/>
          </m:rPr>
          <w:rPr>
            <w:rFonts w:hint="default" w:ascii="Times New Roman" w:hAnsi="Times New Roman" w:cs="Times New Roman"/>
          </w:rPr>
          <m:t>‖</m:t>
        </m:r>
      </m:oMath>
      <w:r>
        <w:rPr>
          <w:rFonts w:hint="default" w:ascii="Times New Roman" w:hAnsi="Times New Roman" w:cs="Times New Roman"/>
        </w:rPr>
        <w:t xml:space="preserve"> denotes vector concatenation. The term </w:t>
      </w:r>
      <m:oMath>
        <m:r>
          <m:rPr>
            <m:sty m:val="p"/>
          </m:rPr>
          <w:rPr>
            <w:rFonts w:hint="default" w:ascii="Times New Roman" w:hAnsi="Times New Roman" w:cs="Times New Roman"/>
          </w:rPr>
          <m:t>log</m:t>
        </m:r>
        <m:d>
          <m:dPr>
            <m:sepChr m:val=""/>
            <m:ctrlPr>
              <w:rPr>
                <w:rFonts w:hint="default" w:ascii="Cambria Math" w:hAnsi="Cambria Math" w:cs="Times New Roman"/>
              </w:rPr>
            </m:ctrlPr>
          </m:dPr>
          <m:e>
            <m:r>
              <m:rPr>
                <m:sty m:val="p"/>
              </m:rPr>
              <w:rPr>
                <w:rFonts w:hint="default" w:ascii="Times New Roman" w:hAnsi="Times New Roman" w:cs="Times New Roman"/>
              </w:rPr>
              <m:t>1+</m:t>
            </m:r>
            <m:sSubSup>
              <m:sSubSupPr>
                <m:ctrlPr>
                  <w:rPr>
                    <w:rFonts w:hint="default" w:ascii="Cambria Math" w:hAnsi="Cambria Math" w:cs="Times New Roman"/>
                  </w:rPr>
                </m:ctrlPr>
              </m:sSubSup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ctrlPr>
              <w:rPr>
                <w:rFonts w:hint="default" w:ascii="Cambria Math" w:hAnsi="Cambria Math" w:cs="Times New Roman"/>
              </w:rPr>
            </m:ctrlPr>
          </m:e>
        </m:d>
      </m:oMath>
      <w:r>
        <w:rPr>
          <w:rFonts w:hint="default" w:ascii="Times New Roman" w:hAnsi="Times New Roman" w:cs="Times New Roman"/>
        </w:rPr>
        <w:t xml:space="preserve"> reduces the numerical scale associated with large log counts, while the error-log and warning-log ratios provide additional statistics about the service’s logging activity in the current window.</w:t>
      </w:r>
    </w:p>
    <w:p w14:paraId="679ADBF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The node feature vectors are arranged in node order to form the feature matrix </w:t>
      </w:r>
      <m:oMath>
        <m:sSub>
          <m:sSubPr>
            <m:ctrlPr>
              <w:rPr>
                <w:rFonts w:hint="default" w:ascii="Cambria Math" w:hAnsi="Cambria Math" w:cs="Times New Roman"/>
              </w:rPr>
            </m:ctrlPr>
          </m:sSubPr>
          <m:e>
            <m:r>
              <m:rPr>
                <m:sty m:val="p"/>
              </m:rPr>
              <w:rPr>
                <w:rFonts w:hint="default" w:ascii="Times New Roman" w:hAnsi="Times New Roman" w:cs="Times New Roman"/>
              </w:rPr>
              <m:t>X</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The node feature matrix and call-edge index are then jointly supplied to the graph neural network. This representation enables the model to learn from both service-level log characteristics and service-call relationships.</w:t>
      </w:r>
    </w:p>
    <w:bookmarkEnd w:id="21"/>
    <w:bookmarkEnd w:id="24"/>
    <w:p w14:paraId="21667262">
      <w:pPr>
        <w:pStyle w:val="4"/>
        <w:keepNext w:val="0"/>
        <w:keepLines w:val="0"/>
        <w:widowControl/>
        <w:suppressLineNumbers w:val="0"/>
        <w:rPr>
          <w:rFonts w:hint="default" w:ascii="Times New Roman" w:hAnsi="Times New Roman" w:cs="Times New Roman"/>
          <w:color w:val="auto"/>
          <w:sz w:val="28"/>
          <w:szCs w:val="28"/>
        </w:rPr>
      </w:pPr>
      <w:bookmarkStart w:id="25" w:name="_Toc3502"/>
      <w:bookmarkStart w:id="26" w:name="X834cc6d715275aac900b617ef9bd7a1d23a51ab"/>
      <w:r>
        <w:rPr>
          <w:rFonts w:hint="default" w:ascii="Times New Roman" w:hAnsi="Times New Roman" w:cs="Times New Roman"/>
          <w:color w:val="auto"/>
          <w:sz w:val="28"/>
          <w:szCs w:val="28"/>
        </w:rPr>
        <w:t>3.4 Joint Modeling with Graph Neural Networks</w:t>
      </w:r>
      <w:bookmarkEnd w:id="25"/>
    </w:p>
    <w:p w14:paraId="014CAAFF">
      <w:pPr>
        <w:pStyle w:val="5"/>
        <w:keepNext w:val="0"/>
        <w:keepLines w:val="0"/>
        <w:widowControl/>
        <w:suppressLineNumbers w:val="0"/>
        <w:rPr>
          <w:rFonts w:hint="default" w:ascii="Times New Roman" w:hAnsi="Times New Roman" w:cs="Times New Roman"/>
          <w:color w:val="auto"/>
          <w:sz w:val="24"/>
          <w:szCs w:val="24"/>
        </w:rPr>
      </w:pPr>
      <w:bookmarkStart w:id="27" w:name="graph-neural-network-encoder"/>
      <w:r>
        <w:rPr>
          <w:rFonts w:hint="default" w:ascii="Times New Roman" w:hAnsi="Times New Roman" w:cs="Times New Roman"/>
          <w:color w:val="auto"/>
          <w:sz w:val="24"/>
          <w:szCs w:val="24"/>
        </w:rPr>
        <w:t>3.4.1 Graph Neural Network Encoder</w:t>
      </w:r>
    </w:p>
    <w:p w14:paraId="2A40B19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compare different graph information aggregation mechanisms for anomaly detection and root cause localization, this study uses GCN, GAT, and GATv2 as alternative graph encoders. GCN updates node representations by propagating neighborhood information through the graph structure [8]. GAT performs weighted aggregation of neighboring information through an attention mechanism [9]. GATv2 employs a modified graph-attention calculation mechanism [10].</w:t>
      </w:r>
    </w:p>
    <w:p w14:paraId="4391DE0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First, the input node features are projected into a common hidden dimension:</w:t>
      </w:r>
    </w:p>
    <w:p w14:paraId="4163799C">
      <w:pPr>
        <w:pStyle w:val="3"/>
      </w:pPr>
      <m:oMathPara>
        <m:oMathParaPr>
          <m:jc m:val="center"/>
        </m:oMathParaPr>
        <m:oMath>
          <m:sSubSup>
            <m:sSubSupPr/>
            <m:e>
              <m:r>
                <m:rPr/>
                <m:t>H</m:t>
              </m:r>
            </m:e>
            <m:sub>
              <m:r>
                <m:rPr/>
                <m:t>w</m:t>
              </m:r>
            </m:sub>
            <m:sup>
              <m:d>
                <m:dPr>
                  <m:sepChr m:val=""/>
                </m:dPr>
                <m:e>
                  <m:r>
                    <m:rPr/>
                    <m:t>0</m:t>
                  </m:r>
                </m:e>
              </m:d>
            </m:sup>
          </m:sSubSup>
          <m:r>
            <m:rPr>
              <m:sty m:val="p"/>
            </m:rPr>
            <m:t>=ReLU</m:t>
          </m:r>
          <m:d>
            <m:dPr>
              <m:sepChr m:val=""/>
            </m:dPr>
            <m:e>
              <m:sSub>
                <m:sSubPr/>
                <m:e>
                  <m:r>
                    <m:rPr/>
                    <m:t>X</m:t>
                  </m:r>
                </m:e>
                <m:sub>
                  <m:r>
                    <m:rPr/>
                    <m:t>w</m:t>
                  </m:r>
                </m:sub>
              </m:sSub>
              <m:sSub>
                <m:sSubPr/>
                <m:e>
                  <m:r>
                    <m:rPr/>
                    <m:t>W</m:t>
                  </m:r>
                </m:e>
                <m:sub>
                  <m:r>
                    <m:rPr/>
                    <m:t>p</m:t>
                  </m:r>
                </m:sub>
              </m:sSub>
              <m:r>
                <m:rPr>
                  <m:sty m:val="p"/>
                </m:rPr>
                <m:t>+</m:t>
              </m:r>
              <m:sSub>
                <m:sSubPr/>
                <m:e>
                  <m:r>
                    <m:rPr/>
                    <m:t>b</m:t>
                  </m:r>
                </m:e>
                <m:sub>
                  <m:r>
                    <m:rPr/>
                    <m:t>p</m:t>
                  </m:r>
                </m:sub>
              </m:sSub>
            </m:e>
          </m:d>
        </m:oMath>
      </m:oMathPara>
    </w:p>
    <w:p w14:paraId="2C8076B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p</m:t>
            </m:r>
            <m:ctrlPr>
              <w:rPr>
                <w:rFonts w:hint="default" w:ascii="Cambria Math" w:hAnsi="Cambria Math" w:cs="Times New Roman"/>
              </w:rPr>
            </m:ctrlPr>
          </m:sub>
        </m:sSub>
      </m:oMath>
      <w:r>
        <w:rPr>
          <w:rFonts w:hint="default" w:ascii="Times New Roman" w:hAnsi="Times New Roman" w:cs="Times New Roman"/>
        </w:rPr>
        <w:t xml:space="preserve"> and </w:t>
      </w:r>
      <m:oMath>
        <m:sSub>
          <m:sSubPr>
            <m:ctrlPr>
              <w:rPr>
                <w:rFonts w:hint="default" w:ascii="Cambria Math" w:hAnsi="Cambria Math" w:cs="Times New Roman"/>
              </w:rPr>
            </m:ctrlPr>
          </m:sSubPr>
          <m:e>
            <m:r>
              <m:rPr>
                <m:sty m:val="p"/>
              </m:rPr>
              <w:rPr>
                <w:rFonts w:hint="default" w:ascii="Times New Roman" w:hAnsi="Times New Roman" w:cs="Times New Roman"/>
              </w:rPr>
              <m:t>b</m:t>
            </m:r>
            <m:ctrlPr>
              <w:rPr>
                <w:rFonts w:hint="default" w:ascii="Cambria Math" w:hAnsi="Cambria Math" w:cs="Times New Roman"/>
              </w:rPr>
            </m:ctrlPr>
          </m:e>
          <m:sub>
            <m:r>
              <m:rPr>
                <m:sty m:val="p"/>
              </m:rPr>
              <w:rPr>
                <w:rFonts w:hint="default" w:ascii="Times New Roman" w:hAnsi="Times New Roman" w:cs="Times New Roman"/>
              </w:rPr>
              <m:t>p</m:t>
            </m:r>
            <m:ctrlPr>
              <w:rPr>
                <w:rFonts w:hint="default" w:ascii="Cambria Math" w:hAnsi="Cambria Math" w:cs="Times New Roman"/>
              </w:rPr>
            </m:ctrlPr>
          </m:sub>
        </m:sSub>
      </m:oMath>
      <w:r>
        <w:rPr>
          <w:rFonts w:hint="default" w:ascii="Times New Roman" w:hAnsi="Times New Roman" w:cs="Times New Roman"/>
        </w:rPr>
        <w:t xml:space="preserve"> denote the weight matrix and bias of the linear projection layer, respectively. According to the final configuration file provided, the hidden dimension is 256, the number of graph neural network layers is 2, the number of attention heads is 4, and the dropout rate is 0.2.</w:t>
      </w:r>
    </w:p>
    <w:p w14:paraId="446D63BA">
      <w:pPr>
        <w:pStyle w:val="3"/>
      </w:pPr>
      <w:r>
        <w:t xml:space="preserve">At layer </w:t>
      </w:r>
      <m:oMath>
        <m:r>
          <m:rPr/>
          <m:t>l</m:t>
        </m:r>
      </m:oMath>
      <w:r>
        <w:t>, a graph convolution or graph attention operation updates the node representations using node features and call edges:</w:t>
      </w:r>
    </w:p>
    <w:p w14:paraId="2C90DA7D">
      <w:pPr>
        <w:pStyle w:val="3"/>
      </w:pPr>
      <m:oMathPara>
        <m:oMathParaPr>
          <m:jc m:val="center"/>
        </m:oMathParaPr>
        <m:oMath>
          <m:sSubSup>
            <m:sSubSupPr/>
            <m:e>
              <m:acc>
                <m:accPr>
                  <m:chr m:val="̃"/>
                </m:accPr>
                <m:e>
                  <m:r>
                    <m:rPr/>
                    <m:t>H</m:t>
                  </m:r>
                </m:e>
              </m:acc>
            </m:e>
            <m:sub>
              <m:r>
                <m:rPr/>
                <m:t>w</m:t>
              </m:r>
            </m:sub>
            <m:sup>
              <m:d>
                <m:dPr>
                  <m:sepChr m:val=""/>
                </m:dPr>
                <m:e>
                  <m:r>
                    <m:rPr/>
                    <m:t>l</m:t>
                  </m:r>
                </m:e>
              </m:d>
            </m:sup>
          </m:sSubSup>
          <m:r>
            <m:rPr>
              <m:sty m:val="p"/>
            </m:rPr>
            <m:t>=</m:t>
          </m:r>
          <m:sSup>
            <m:sSupPr/>
            <m:e>
              <m:r>
                <m:rPr>
                  <m:sty m:val="p"/>
                </m:rPr>
                <m:t>GraphConv</m:t>
              </m:r>
            </m:e>
            <m:sup>
              <m:d>
                <m:dPr>
                  <m:sepChr m:val=""/>
                </m:dPr>
                <m:e>
                  <m:r>
                    <m:rPr/>
                    <m:t>l</m:t>
                  </m:r>
                </m:e>
              </m:d>
            </m:sup>
          </m:sSup>
          <m:d>
            <m:dPr>
              <m:sepChr m:val=""/>
            </m:dPr>
            <m:e>
              <m:sSubSup>
                <m:sSubSupPr/>
                <m:e>
                  <m:r>
                    <m:rPr/>
                    <m:t>H</m:t>
                  </m:r>
                </m:e>
                <m:sub>
                  <m:r>
                    <m:rPr/>
                    <m:t>w</m:t>
                  </m:r>
                </m:sub>
                <m:sup>
                  <m:d>
                    <m:dPr>
                      <m:sepChr m:val=""/>
                    </m:dPr>
                    <m:e>
                      <m:r>
                        <m:rPr/>
                        <m:t>l</m:t>
                      </m:r>
                      <m:r>
                        <m:rPr>
                          <m:sty m:val="p"/>
                        </m:rPr>
                        <m:t>−</m:t>
                      </m:r>
                      <m:r>
                        <m:rPr/>
                        <m:t>1</m:t>
                      </m:r>
                    </m:e>
                  </m:d>
                </m:sup>
              </m:sSubSup>
              <m:r>
                <m:rPr>
                  <m:sty m:val="p"/>
                </m:rPr>
                <m:t>,</m:t>
              </m:r>
              <m:sSub>
                <m:sSubPr/>
                <m:e>
                  <m:r>
                    <m:rPr/>
                    <m:t>E</m:t>
                  </m:r>
                </m:e>
                <m:sub>
                  <m:r>
                    <m:rPr/>
                    <m:t>w</m:t>
                  </m:r>
                </m:sub>
              </m:sSub>
            </m:e>
          </m:d>
        </m:oMath>
      </m:oMathPara>
    </w:p>
    <w:p w14:paraId="36AACE1F">
      <w:pPr>
        <w:pStyle w:val="23"/>
      </w:pPr>
      <w:r>
        <w:t>The program then applies ReLU, LayerNorm, and Dropout in sequence:</w:t>
      </w:r>
    </w:p>
    <w:p w14:paraId="3588B55B">
      <w:pPr>
        <w:pStyle w:val="3"/>
      </w:pPr>
      <m:oMathPara>
        <m:oMathParaPr>
          <m:jc m:val="center"/>
        </m:oMathParaPr>
        <m:oMath>
          <m:sSubSup>
            <m:sSubSupPr/>
            <m:e>
              <m:r>
                <m:rPr/>
                <m:t>H</m:t>
              </m:r>
            </m:e>
            <m:sub>
              <m:r>
                <m:rPr/>
                <m:t>w</m:t>
              </m:r>
            </m:sub>
            <m:sup>
              <m:d>
                <m:dPr>
                  <m:sepChr m:val=""/>
                </m:dPr>
                <m:e>
                  <m:r>
                    <m:rPr/>
                    <m:t>l</m:t>
                  </m:r>
                </m:e>
              </m:d>
            </m:sup>
          </m:sSubSup>
          <m:r>
            <m:rPr>
              <m:sty m:val="p"/>
            </m:rPr>
            <m:t>=Dropout</m:t>
          </m:r>
          <m:d>
            <m:dPr>
              <m:sepChr m:val=""/>
            </m:dPr>
            <m:e>
              <m:r>
                <m:rPr>
                  <m:sty m:val="p"/>
                </m:rPr>
                <m:t>LayerNorm</m:t>
              </m:r>
              <m:d>
                <m:dPr>
                  <m:sepChr m:val=""/>
                </m:dPr>
                <m:e>
                  <m:r>
                    <m:rPr>
                      <m:sty m:val="p"/>
                    </m:rPr>
                    <m:t>ReLU</m:t>
                  </m:r>
                  <m:d>
                    <m:dPr>
                      <m:sepChr m:val=""/>
                    </m:dPr>
                    <m:e>
                      <m:sSubSup>
                        <m:sSubSupPr/>
                        <m:e>
                          <m:acc>
                            <m:accPr>
                              <m:chr m:val="̃"/>
                            </m:accPr>
                            <m:e>
                              <m:r>
                                <m:rPr/>
                                <m:t>H</m:t>
                              </m:r>
                            </m:e>
                          </m:acc>
                        </m:e>
                        <m:sub>
                          <m:r>
                            <m:rPr/>
                            <m:t>w</m:t>
                          </m:r>
                        </m:sub>
                        <m:sup>
                          <m:d>
                            <m:dPr>
                              <m:sepChr m:val=""/>
                            </m:dPr>
                            <m:e>
                              <m:r>
                                <m:rPr/>
                                <m:t>l</m:t>
                              </m:r>
                            </m:e>
                          </m:d>
                        </m:sup>
                      </m:sSubSup>
                    </m:e>
                  </m:d>
                </m:e>
              </m:d>
            </m:e>
          </m:d>
        </m:oMath>
      </m:oMathPara>
    </w:p>
    <w:p w14:paraId="0D004537">
      <w:pPr>
        <w:pStyle w:val="23"/>
      </w:pPr>
      <w:r>
        <w:t xml:space="preserve">Here, </w:t>
      </w:r>
      <m:oMath>
        <m:sSup>
          <m:sSupPr/>
          <m:e>
            <m:r>
              <m:rPr>
                <m:sty m:val="p"/>
              </m:rPr>
              <m:t>GraphConv</m:t>
            </m:r>
          </m:e>
          <m:sup>
            <m:d>
              <m:dPr>
                <m:sepChr m:val=""/>
              </m:dPr>
              <m:e>
                <m:r>
                  <m:rPr/>
                  <m:t>l</m:t>
                </m:r>
              </m:e>
            </m:d>
          </m:sup>
        </m:sSup>
      </m:oMath>
      <w:r>
        <w:t xml:space="preserve"> corresponds to GCNConv, GATConv, or GATv2Conv according to the selected model. For GAT and GATv2, the code uses four attention heads and sets </w:t>
      </w:r>
      <w:r>
        <w:rPr>
          <w:rStyle w:val="24"/>
        </w:rPr>
        <w:t>concat=False</w:t>
      </w:r>
      <w:r>
        <w:t>; thus, the multi-head outputs are not concatenated directly along the feature dimension.</w:t>
      </w:r>
    </w:p>
    <w:p w14:paraId="55E8BE6B">
      <w:pPr>
        <w:pStyle w:val="3"/>
      </w:pPr>
      <w:r>
        <w:t>After two layers of graph information propagation, the node representations contain both the services’ own input features and neighborhood information. These representations are passed to the graph-level anomaly detection head and the node-level root cause localization head.</w:t>
      </w:r>
    </w:p>
    <w:bookmarkEnd w:id="27"/>
    <w:p w14:paraId="4B29A19C">
      <w:pPr>
        <w:pStyle w:val="5"/>
        <w:keepNext w:val="0"/>
        <w:keepLines w:val="0"/>
        <w:widowControl/>
        <w:suppressLineNumbers w:val="0"/>
        <w:rPr>
          <w:rFonts w:hint="default" w:ascii="Times New Roman" w:hAnsi="Times New Roman" w:cs="Times New Roman"/>
          <w:color w:val="auto"/>
          <w:sz w:val="24"/>
          <w:szCs w:val="24"/>
        </w:rPr>
      </w:pPr>
      <w:bookmarkStart w:id="28" w:name="graph-level-anomaly-detection-branch"/>
      <w:r>
        <w:rPr>
          <w:rFonts w:hint="default" w:ascii="Times New Roman" w:hAnsi="Times New Roman" w:cs="Times New Roman"/>
          <w:color w:val="auto"/>
          <w:sz w:val="24"/>
          <w:szCs w:val="24"/>
        </w:rPr>
        <w:t>3.4.2 Graph-Level Anomaly Detection Branch</w:t>
      </w:r>
    </w:p>
    <w:p w14:paraId="2542C3C8">
      <w:pPr>
        <w:pStyle w:val="23"/>
      </w:pPr>
      <w:r>
        <w:t>The anomaly detection task determines whether the current microservice graph snapshot is anomalous. After graph encoding, the program aggregates the node representations within each graph using global mean pooling:</w:t>
      </w:r>
    </w:p>
    <w:p w14:paraId="4143F450">
      <w:pPr>
        <w:pStyle w:val="3"/>
      </w:pPr>
      <m:oMathPara>
        <m:oMathParaPr>
          <m:jc m:val="center"/>
        </m:oMathParaPr>
        <m:oMath>
          <m:sSubSup>
            <m:sSubSupPr/>
            <m:e>
              <m:r>
                <m:rPr>
                  <m:sty m:val="b"/>
                </m:rPr>
                <m:t>h</m:t>
              </m:r>
            </m:e>
            <m:sub>
              <m:r>
                <m:rPr/>
                <m:t>w</m:t>
              </m:r>
            </m:sub>
            <m:sup>
              <m:r>
                <m:rPr/>
                <m:t>G</m:t>
              </m:r>
            </m:sup>
          </m:sSubSup>
          <m:r>
            <m:rPr>
              <m:sty m:val="p"/>
            </m:rPr>
            <m:t>=</m:t>
          </m:r>
          <m:f>
            <m:fPr/>
            <m:num>
              <m:r>
                <m:rPr/>
                <m:t>1</m:t>
              </m:r>
            </m:num>
            <m:den>
              <m:d>
                <m:dPr>
                  <m:begChr m:val="|"/>
                  <m:sepChr m:val=""/>
                  <m:endChr m:val="|"/>
                </m:dPr>
                <m:e>
                  <m:sSub>
                    <m:sSubPr/>
                    <m:e>
                      <m:r>
                        <m:rPr/>
                        <m:t>V</m:t>
                      </m:r>
                    </m:e>
                    <m:sub>
                      <m:r>
                        <m:rPr/>
                        <m:t>w</m:t>
                      </m:r>
                    </m:sub>
                  </m:sSub>
                </m:e>
              </m:d>
            </m:den>
          </m:f>
          <m:nary>
            <m:naryPr>
              <m:chr m:val="∑"/>
              <m:limLoc m:val="undOvr"/>
              <m:supHide m:val="1"/>
            </m:naryPr>
            <m:sub>
              <m:sSub>
                <m:sSubPr/>
                <m:e>
                  <m:r>
                    <m:rPr/>
                    <m:t>v</m:t>
                  </m:r>
                </m:e>
                <m:sub>
                  <m:r>
                    <m:rPr/>
                    <m:t>i</m:t>
                  </m:r>
                </m:sub>
              </m:sSub>
              <m:r>
                <m:rPr>
                  <m:sty m:val="p"/>
                </m:rPr>
                <m:t>∈</m:t>
              </m:r>
              <m:sSub>
                <m:sSubPr/>
                <m:e>
                  <m:r>
                    <m:rPr/>
                    <m:t>V</m:t>
                  </m:r>
                </m:e>
                <m:sub>
                  <m:r>
                    <m:rPr/>
                    <m:t>w</m:t>
                  </m:r>
                </m:sub>
              </m:sSub>
            </m:sub>
            <m:sup>
              <m:r>
                <m:rPr/>
                <m:t>​</m:t>
              </m:r>
            </m:sup>
            <m:e>
              <m:sSubSup>
                <m:sSubSupPr/>
                <m:e>
                  <m:r>
                    <m:rPr>
                      <m:sty m:val="b"/>
                    </m:rPr>
                    <m:t>h</m:t>
                  </m:r>
                </m:e>
                <m:sub>
                  <m:r>
                    <m:rPr/>
                    <m:t>i</m:t>
                  </m:r>
                </m:sub>
                <m:sup>
                  <m:r>
                    <m:rPr/>
                    <m:t>w</m:t>
                  </m:r>
                </m:sup>
              </m:sSubSup>
            </m:e>
          </m:nary>
        </m:oMath>
      </m:oMathPara>
    </w:p>
    <w:p w14:paraId="51A0693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Sup>
          <m:sSubSupPr>
            <m:ctrlPr>
              <w:rPr>
                <w:rFonts w:hint="default" w:ascii="Cambria Math" w:hAnsi="Cambria Math" w:cs="Times New Roman"/>
              </w:rPr>
            </m:ctrlPr>
          </m:sSubSup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up>
            <m:r>
              <m:rPr>
                <m:sty m:val="p"/>
              </m:rPr>
              <w:rPr>
                <w:rFonts w:hint="default" w:ascii="Times New Roman" w:hAnsi="Times New Roman" w:cs="Times New Roman"/>
              </w:rPr>
              <m:t>w</m:t>
            </m:r>
            <m:ctrlPr>
              <w:rPr>
                <w:rFonts w:hint="default" w:ascii="Cambria Math" w:hAnsi="Cambria Math" w:cs="Times New Roman"/>
              </w:rPr>
            </m:ctrlPr>
          </m:sup>
        </m:sSubSup>
      </m:oMath>
      <w:r>
        <w:rPr>
          <w:rFonts w:hint="default" w:ascii="Times New Roman" w:hAnsi="Times New Roman" w:cs="Times New Roman"/>
        </w:rPr>
        <w:t xml:space="preserve"> is the final hidden representation of service node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and </w:t>
      </w:r>
      <m:oMath>
        <m:sSubSup>
          <m:sSubSupPr>
            <m:ctrlPr>
              <w:rPr>
                <w:rFonts w:hint="default" w:ascii="Cambria Math" w:hAnsi="Cambria Math" w:cs="Times New Roman"/>
              </w:rPr>
            </m:ctrlPr>
          </m:sSubSupPr>
          <m:e>
            <m:r>
              <m:rPr>
                <m:sty m:val="p"/>
              </m:rPr>
              <w:rPr>
                <w:rFonts w:hint="default" w:ascii="Times New Roman" w:hAnsi="Times New Roman" w:cs="Times New Roman"/>
              </w:rPr>
              <m:t>h</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up>
            <m:r>
              <m:rPr>
                <m:sty m:val="p"/>
              </m:rPr>
              <w:rPr>
                <w:rFonts w:hint="default" w:ascii="Times New Roman" w:hAnsi="Times New Roman" w:cs="Times New Roman"/>
              </w:rPr>
              <m:t>G</m:t>
            </m:r>
            <m:ctrlPr>
              <w:rPr>
                <w:rFonts w:hint="default" w:ascii="Cambria Math" w:hAnsi="Cambria Math" w:cs="Times New Roman"/>
              </w:rPr>
            </m:ctrlPr>
          </m:sup>
        </m:sSubSup>
      </m:oMath>
      <w:r>
        <w:rPr>
          <w:rFonts w:hint="default" w:ascii="Times New Roman" w:hAnsi="Times New Roman" w:cs="Times New Roman"/>
        </w:rPr>
        <w:t xml:space="preserve"> is the graph-level representation. This operation corresponds to global_mean_pool in the implementation.</w:t>
      </w:r>
    </w:p>
    <w:p w14:paraId="1F14C66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 linear output head then computes the anomaly detection logit:</w:t>
      </w:r>
    </w:p>
    <w:p w14:paraId="62412DFF">
      <w:pPr>
        <w:pStyle w:val="3"/>
      </w:pPr>
      <m:oMathPara>
        <m:oMathParaPr>
          <m:jc m:val="center"/>
        </m:oMathParaPr>
        <m:oMath>
          <m:sSubSup>
            <m:sSubSupPr/>
            <m:e>
              <m:r>
                <m:rPr/>
                <m:t>z</m:t>
              </m:r>
            </m:e>
            <m:sub>
              <m:r>
                <m:rPr/>
                <m:t>w</m:t>
              </m:r>
            </m:sub>
            <m:sup>
              <m:r>
                <m:rPr/>
                <m:t>A</m:t>
              </m:r>
            </m:sup>
          </m:sSubSup>
          <m:r>
            <m:rPr>
              <m:sty m:val="p"/>
            </m:rPr>
            <m:t>=</m:t>
          </m:r>
          <m:sSub>
            <m:sSubPr/>
            <m:e>
              <m:r>
                <m:rPr/>
                <m:t>W</m:t>
              </m:r>
            </m:e>
            <m:sub>
              <m:r>
                <m:rPr/>
                <m:t>A</m:t>
              </m:r>
            </m:sub>
          </m:sSub>
          <m:sSubSup>
            <m:sSubSupPr/>
            <m:e>
              <m:r>
                <m:rPr>
                  <m:sty m:val="b"/>
                </m:rPr>
                <m:t>h</m:t>
              </m:r>
            </m:e>
            <m:sub>
              <m:r>
                <m:rPr/>
                <m:t>w</m:t>
              </m:r>
            </m:sub>
            <m:sup>
              <m:r>
                <m:rPr/>
                <m:t>G</m:t>
              </m:r>
            </m:sup>
          </m:sSubSup>
          <m:r>
            <m:rPr>
              <m:sty m:val="p"/>
            </m:rPr>
            <m:t>+</m:t>
          </m:r>
          <m:sSub>
            <m:sSubPr/>
            <m:e>
              <m:r>
                <m:rPr/>
                <m:t>b</m:t>
              </m:r>
            </m:e>
            <m:sub>
              <m:r>
                <m:rPr/>
                <m:t>A</m:t>
              </m:r>
            </m:sub>
          </m:sSub>
        </m:oMath>
      </m:oMathPara>
    </w:p>
    <w:p w14:paraId="4C59641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anomaly score is obtained using the Sigmoid function:</w:t>
      </w:r>
    </w:p>
    <w:p w14:paraId="48A76A30">
      <w:pPr>
        <w:pStyle w:val="3"/>
      </w:pPr>
      <m:oMathPara>
        <m:oMathParaPr>
          <m:jc m:val="center"/>
        </m:oMathParaPr>
        <m:oMath>
          <m:sSubSup>
            <m:sSubSupPr/>
            <m:e>
              <m:r>
                <m:rPr/>
                <m:t>p</m:t>
              </m:r>
            </m:e>
            <m:sub>
              <m:r>
                <m:rPr/>
                <m:t>w</m:t>
              </m:r>
            </m:sub>
            <m:sup>
              <m:r>
                <m:rPr/>
                <m:t>A</m:t>
              </m:r>
            </m:sup>
          </m:sSubSup>
          <m:r>
            <m:rPr>
              <m:sty m:val="p"/>
            </m:rPr>
            <m:t>=</m:t>
          </m:r>
          <m:r>
            <m:rPr/>
            <m:t>σ</m:t>
          </m:r>
          <m:d>
            <m:dPr>
              <m:sepChr m:val=""/>
            </m:dPr>
            <m:e>
              <m:sSubSup>
                <m:sSubSupPr/>
                <m:e>
                  <m:r>
                    <m:rPr/>
                    <m:t>z</m:t>
                  </m:r>
                </m:e>
                <m:sub>
                  <m:r>
                    <m:rPr/>
                    <m:t>w</m:t>
                  </m:r>
                </m:sub>
                <m:sup>
                  <m:r>
                    <m:rPr/>
                    <m:t>A</m:t>
                  </m:r>
                </m:sup>
              </m:sSubSup>
            </m:e>
          </m:d>
          <m:r>
            <m:rPr>
              <m:sty m:val="p"/>
            </m:rPr>
            <m:t>=</m:t>
          </m:r>
          <m:f>
            <m:fPr/>
            <m:num>
              <m:r>
                <m:rPr/>
                <m:t>1</m:t>
              </m:r>
            </m:num>
            <m:den>
              <m:r>
                <m:rPr/>
                <m:t>1</m:t>
              </m:r>
              <m:r>
                <m:rPr>
                  <m:sty m:val="p"/>
                </m:rPr>
                <m:t>+exp</m:t>
              </m:r>
              <m:d>
                <m:dPr>
                  <m:sepChr m:val=""/>
                </m:dPr>
                <m:e>
                  <m:r>
                    <m:rPr>
                      <m:sty m:val="p"/>
                    </m:rPr>
                    <m:t>−</m:t>
                  </m:r>
                  <m:sSubSup>
                    <m:sSubSupPr/>
                    <m:e>
                      <m:r>
                        <m:rPr/>
                        <m:t>z</m:t>
                      </m:r>
                    </m:e>
                    <m:sub>
                      <m:r>
                        <m:rPr/>
                        <m:t>w</m:t>
                      </m:r>
                    </m:sub>
                    <m:sup>
                      <m:r>
                        <m:rPr/>
                        <m:t>A</m:t>
                      </m:r>
                    </m:sup>
                  </m:sSubSup>
                </m:e>
              </m:d>
            </m:den>
          </m:f>
        </m:oMath>
      </m:oMathPara>
    </w:p>
    <w:p w14:paraId="01440A1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Sup>
          <m:sSubSupPr>
            <m:ctrlPr>
              <w:rPr>
                <w:rFonts w:hint="default" w:ascii="Cambria Math" w:hAnsi="Cambria Math" w:cs="Times New Roman"/>
              </w:rPr>
            </m:ctrlPr>
          </m:sSubSupPr>
          <m:e>
            <m:r>
              <m:rPr>
                <m:sty m:val="p"/>
              </m:rPr>
              <w:rPr>
                <w:rFonts w:hint="default" w:ascii="Times New Roman" w:hAnsi="Times New Roman" w:cs="Times New Roman"/>
              </w:rPr>
              <m:t>p</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up>
            <m:r>
              <m:rPr>
                <m:sty m:val="p"/>
              </m:rPr>
              <w:rPr>
                <w:rFonts w:hint="default" w:ascii="Times New Roman" w:hAnsi="Times New Roman" w:cs="Times New Roman"/>
              </w:rPr>
              <m:t>A</m:t>
            </m:r>
            <m:ctrlPr>
              <w:rPr>
                <w:rFonts w:hint="default" w:ascii="Cambria Math" w:hAnsi="Cambria Math" w:cs="Times New Roman"/>
              </w:rPr>
            </m:ctrlPr>
          </m:sup>
        </m:sSubSup>
      </m:oMath>
      <w:r>
        <w:rPr>
          <w:rFonts w:hint="default" w:ascii="Times New Roman" w:hAnsi="Times New Roman" w:cs="Times New Roman"/>
        </w:rPr>
        <w:t xml:space="preserve"> represents the model’s score for classifying the current window as anomalous. The evaluation program converts this score into a binary prediction using the configured classification threshold and calculates the corresponding anomaly detection metrics.</w:t>
      </w:r>
    </w:p>
    <w:bookmarkEnd w:id="28"/>
    <w:p w14:paraId="63525A5F">
      <w:pPr>
        <w:pStyle w:val="5"/>
        <w:keepNext w:val="0"/>
        <w:keepLines w:val="0"/>
        <w:widowControl/>
        <w:suppressLineNumbers w:val="0"/>
        <w:rPr>
          <w:rFonts w:hint="default" w:ascii="Times New Roman" w:hAnsi="Times New Roman" w:cs="Times New Roman"/>
          <w:color w:val="auto"/>
          <w:sz w:val="24"/>
          <w:szCs w:val="24"/>
        </w:rPr>
      </w:pPr>
      <w:bookmarkStart w:id="29" w:name="Xec02da87aefde21dcf3488e2bbefc3bbe1600b1"/>
      <w:r>
        <w:rPr>
          <w:rFonts w:hint="default" w:ascii="Times New Roman" w:hAnsi="Times New Roman" w:cs="Times New Roman"/>
          <w:color w:val="auto"/>
          <w:sz w:val="24"/>
          <w:szCs w:val="24"/>
        </w:rPr>
        <w:t>3.4.3 Node-Level Root Cause Localization Branch</w:t>
      </w:r>
    </w:p>
    <w:p w14:paraId="263EB44F">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root cause localization task aims to rank candidate services so that the true root cause appears as high as possible in the ranking. Unlike graph-level anomaly detection, this task requires a separate root cause score for each service node.</w:t>
      </w:r>
    </w:p>
    <w:p w14:paraId="502ED90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For service node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the node-level output head computes:</w:t>
      </w:r>
    </w:p>
    <w:p w14:paraId="02E9C981">
      <w:pPr>
        <w:pStyle w:val="3"/>
      </w:pPr>
      <m:oMathPara>
        <m:oMathParaPr>
          <m:jc m:val="center"/>
        </m:oMathParaPr>
        <m:oMath>
          <m:sSubSup>
            <m:sSubSupPr/>
            <m:e>
              <m:r>
                <m:rPr/>
                <m:t>z</m:t>
              </m:r>
            </m:e>
            <m:sub>
              <m:r>
                <m:rPr/>
                <m:t>i</m:t>
              </m:r>
              <m:r>
                <m:rPr>
                  <m:sty m:val="p"/>
                </m:rPr>
                <m:t>,</m:t>
              </m:r>
              <m:r>
                <m:rPr/>
                <m:t>w</m:t>
              </m:r>
            </m:sub>
            <m:sup>
              <m:r>
                <m:rPr/>
                <m:t>R</m:t>
              </m:r>
            </m:sup>
          </m:sSubSup>
          <m:r>
            <m:rPr>
              <m:sty m:val="p"/>
            </m:rPr>
            <m:t>=</m:t>
          </m:r>
          <m:sSub>
            <m:sSubPr/>
            <m:e>
              <m:r>
                <m:rPr/>
                <m:t>W</m:t>
              </m:r>
            </m:e>
            <m:sub>
              <m:r>
                <m:rPr/>
                <m:t>R</m:t>
              </m:r>
            </m:sub>
          </m:sSub>
          <m:sSubSup>
            <m:sSubSupPr/>
            <m:e>
              <m:r>
                <m:rPr>
                  <m:sty m:val="b"/>
                </m:rPr>
                <m:t>h</m:t>
              </m:r>
            </m:e>
            <m:sub>
              <m:r>
                <m:rPr/>
                <m:t>i</m:t>
              </m:r>
            </m:sub>
            <m:sup>
              <m:r>
                <m:rPr/>
                <m:t>w</m:t>
              </m:r>
            </m:sup>
          </m:sSubSup>
          <m:r>
            <m:rPr>
              <m:sty m:val="p"/>
            </m:rPr>
            <m:t>+</m:t>
          </m:r>
          <m:sSub>
            <m:sSubPr/>
            <m:e>
              <m:r>
                <m:rPr/>
                <m:t>b</m:t>
              </m:r>
            </m:e>
            <m:sub>
              <m:r>
                <m:rPr/>
                <m:t>R</m:t>
              </m:r>
            </m:sub>
          </m:sSub>
        </m:oMath>
      </m:oMathPara>
    </w:p>
    <w:p w14:paraId="55C9D23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node score is then obtained using the Sigmoid function:</w:t>
      </w:r>
    </w:p>
    <w:p w14:paraId="0ECCC972">
      <w:pPr>
        <w:pStyle w:val="3"/>
      </w:pPr>
      <m:oMathPara>
        <m:oMathParaPr>
          <m:jc m:val="center"/>
        </m:oMathParaPr>
        <m:oMath>
          <m:sSubSup>
            <m:sSubSupPr/>
            <m:e>
              <m:r>
                <m:rPr/>
                <m:t>p</m:t>
              </m:r>
            </m:e>
            <m:sub>
              <m:r>
                <m:rPr/>
                <m:t>i</m:t>
              </m:r>
              <m:r>
                <m:rPr>
                  <m:sty m:val="p"/>
                </m:rPr>
                <m:t>,</m:t>
              </m:r>
              <m:r>
                <m:rPr/>
                <m:t>w</m:t>
              </m:r>
            </m:sub>
            <m:sup>
              <m:r>
                <m:rPr/>
                <m:t>R</m:t>
              </m:r>
            </m:sup>
          </m:sSubSup>
          <m:r>
            <m:rPr>
              <m:sty m:val="p"/>
            </m:rPr>
            <m:t>=</m:t>
          </m:r>
          <m:r>
            <m:rPr/>
            <m:t>σ</m:t>
          </m:r>
          <m:d>
            <m:dPr>
              <m:sepChr m:val=""/>
            </m:dPr>
            <m:e>
              <m:sSubSup>
                <m:sSubSupPr/>
                <m:e>
                  <m:r>
                    <m:rPr/>
                    <m:t>z</m:t>
                  </m:r>
                </m:e>
                <m:sub>
                  <m:r>
                    <m:rPr/>
                    <m:t>i</m:t>
                  </m:r>
                  <m:r>
                    <m:rPr>
                      <m:sty m:val="p"/>
                    </m:rPr>
                    <m:t>,</m:t>
                  </m:r>
                  <m:r>
                    <m:rPr/>
                    <m:t>w</m:t>
                  </m:r>
                </m:sub>
                <m:sup>
                  <m:r>
                    <m:rPr/>
                    <m:t>R</m:t>
                  </m:r>
                </m:sup>
              </m:sSubSup>
            </m:e>
          </m:d>
        </m:oMath>
      </m:oMathPara>
    </w:p>
    <w:p w14:paraId="10CF2E8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eastAsiaTheme="minorEastAsia"/>
          <w:kern w:val="0"/>
          <w:sz w:val="24"/>
          <w:szCs w:val="22"/>
          <w:lang w:val="en-US" w:eastAsia="zh-CN" w:bidi="ar"/>
        </w:rPr>
        <w:t xml:space="preserve">Here, </w:t>
      </w:r>
      <m:oMath>
        <m:sSubSup>
          <m:sSubSupPr>
            <m:ctrlPr>
              <w:rPr>
                <w:rFonts w:hint="default" w:ascii="Cambria Math" w:hAnsi="Cambria Math" w:cs="Times New Roman" w:eastAsiaTheme="minorEastAsia"/>
                <w:kern w:val="0"/>
                <w:sz w:val="24"/>
                <w:szCs w:val="22"/>
                <w:lang w:val="en-US" w:eastAsia="zh-CN" w:bidi="ar"/>
              </w:rPr>
            </m:ctrlPr>
          </m:sSubSupPr>
          <m:e>
            <m:r>
              <m:rPr>
                <m:sty m:val="p"/>
              </m:rPr>
              <w:rPr>
                <w:rFonts w:hint="default" w:ascii="Times New Roman" w:hAnsi="Times New Roman" w:cs="Times New Roman" w:eastAsiaTheme="minorEastAsia"/>
                <w:kern w:val="0"/>
                <w:sz w:val="24"/>
                <w:szCs w:val="22"/>
                <w:lang w:val="en-US" w:eastAsia="zh-CN" w:bidi="ar"/>
              </w:rPr>
              <m:t>p</m:t>
            </m:r>
            <m:ctrlPr>
              <w:rPr>
                <w:rFonts w:hint="default" w:ascii="Cambria Math" w:hAnsi="Cambria Math" w:cs="Times New Roman" w:eastAsiaTheme="minorEastAsia"/>
                <w:kern w:val="0"/>
                <w:sz w:val="24"/>
                <w:szCs w:val="22"/>
                <w:lang w:val="en-US" w:eastAsia="zh-CN" w:bidi="ar"/>
              </w:rPr>
            </m:ctrlPr>
          </m:e>
          <m:sub>
            <m:r>
              <m:rPr>
                <m:sty m:val="p"/>
              </m:rPr>
              <w:rPr>
                <w:rFonts w:hint="default" w:ascii="Times New Roman" w:hAnsi="Times New Roman" w:cs="Times New Roman" w:eastAsiaTheme="minorEastAsia"/>
                <w:kern w:val="0"/>
                <w:sz w:val="24"/>
                <w:szCs w:val="22"/>
                <w:lang w:val="en-US" w:eastAsia="zh-CN" w:bidi="ar"/>
              </w:rPr>
              <m:t>i,w</m:t>
            </m:r>
            <m:ctrlPr>
              <w:rPr>
                <w:rFonts w:hint="default" w:ascii="Cambria Math" w:hAnsi="Cambria Math" w:cs="Times New Roman" w:eastAsiaTheme="minorEastAsia"/>
                <w:kern w:val="0"/>
                <w:sz w:val="24"/>
                <w:szCs w:val="22"/>
                <w:lang w:val="en-US" w:eastAsia="zh-CN" w:bidi="ar"/>
              </w:rPr>
            </m:ctrlPr>
          </m:sub>
          <m:sup>
            <m:r>
              <m:rPr>
                <m:sty m:val="p"/>
              </m:rPr>
              <w:rPr>
                <w:rFonts w:hint="default" w:ascii="Times New Roman" w:hAnsi="Times New Roman" w:cs="Times New Roman" w:eastAsiaTheme="minorEastAsia"/>
                <w:kern w:val="0"/>
                <w:sz w:val="24"/>
                <w:szCs w:val="22"/>
                <w:lang w:val="en-US" w:eastAsia="zh-CN" w:bidi="ar"/>
              </w:rPr>
              <m:t>R</m:t>
            </m:r>
            <m:ctrlPr>
              <w:rPr>
                <w:rFonts w:hint="default" w:ascii="Cambria Math" w:hAnsi="Cambria Math" w:cs="Times New Roman" w:eastAsiaTheme="minorEastAsia"/>
                <w:kern w:val="0"/>
                <w:sz w:val="24"/>
                <w:szCs w:val="22"/>
                <w:lang w:val="en-US" w:eastAsia="zh-CN" w:bidi="ar"/>
              </w:rPr>
            </m:ctrlPr>
          </m:sup>
        </m:sSubSup>
      </m:oMath>
      <w:r>
        <w:rPr>
          <w:rFonts w:hint="default" w:ascii="Times New Roman" w:hAnsi="Times New Roman" w:cs="Times New Roman" w:eastAsiaTheme="minorEastAsia"/>
          <w:kern w:val="0"/>
          <w:sz w:val="24"/>
          <w:szCs w:val="22"/>
          <w:lang w:val="en-US" w:eastAsia="zh-CN" w:bidi="ar"/>
        </w:rPr>
        <w:t xml:space="preserve"> is the root cause localization score for the node in window </w:t>
      </w:r>
      <m:oMath>
        <m:r>
          <m:rPr>
            <m:sty m:val="p"/>
          </m:rPr>
          <w:rPr>
            <w:rFonts w:hint="default" w:ascii="Times New Roman" w:hAnsi="Times New Roman" w:cs="Times New Roman" w:eastAsiaTheme="minorEastAsia"/>
            <w:kern w:val="0"/>
            <w:sz w:val="24"/>
            <w:szCs w:val="22"/>
            <w:lang w:val="en-US" w:eastAsia="zh-CN" w:bidi="ar"/>
          </w:rPr>
          <m:t>w</m:t>
        </m:r>
      </m:oMath>
      <w:r>
        <w:rPr>
          <w:rFonts w:hint="default" w:ascii="Times New Roman" w:hAnsi="Times New Roman" w:cs="Times New Roman" w:eastAsiaTheme="minorEastAsia"/>
          <w:kern w:val="0"/>
          <w:sz w:val="24"/>
          <w:szCs w:val="22"/>
          <w:lang w:val="en-US" w:eastAsia="zh-CN" w:bidi="ar"/>
        </w:rPr>
        <w:t>. This</w:t>
      </w:r>
      <w:r>
        <w:rPr>
          <w:rFonts w:hint="default" w:ascii="Times New Roman" w:hAnsi="Times New Roman" w:cs="Times New Roman"/>
          <w:lang w:val="en-US" w:eastAsia="zh-CN"/>
        </w:rPr>
        <w:t xml:space="preserve"> score is </w:t>
      </w:r>
      <w:r>
        <w:rPr>
          <w:rFonts w:hint="default" w:ascii="Times New Roman" w:hAnsi="Times New Roman" w:cs="Times New Roman"/>
        </w:rPr>
        <w:t>primarily used to rank candidate services and should not be interpreted as confirmation that the service is the actual root cause.</w:t>
      </w:r>
    </w:p>
    <w:p w14:paraId="2C9462E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Node supervision labels are generated from the true root cause service recorded in the fault-case metadata. A node receives a label of 1 if its service name matches the case’s root_cause_service; otherwise, the label is 0. According to the current training program, these labels are applied to all service nodes in the training graph snapshots, including nodes in normal and anomalous windows.</w:t>
      </w:r>
    </w:p>
    <w:p w14:paraId="592FCE2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graph-level anomaly detection head and the node-level root cause localization head share the graph neural network encoder but use separate linear output layers to perform graph-level binary classification and node-level scoring, respectively.</w:t>
      </w:r>
    </w:p>
    <w:p w14:paraId="5BF4E14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For GATv2, the inference program can also save graph attention weights for subsequent analysis. However, the current root cause ranking is calculated directly from the node-level root cause scores rather than from the attention weights.</w:t>
      </w:r>
    </w:p>
    <w:bookmarkEnd w:id="26"/>
    <w:bookmarkEnd w:id="29"/>
    <w:p w14:paraId="00AF2AA2">
      <w:pPr>
        <w:pStyle w:val="4"/>
        <w:keepNext w:val="0"/>
        <w:keepLines w:val="0"/>
        <w:widowControl/>
        <w:suppressLineNumbers w:val="0"/>
        <w:rPr>
          <w:rFonts w:hint="default" w:ascii="Times New Roman" w:hAnsi="Times New Roman" w:cs="Times New Roman"/>
          <w:color w:val="auto"/>
          <w:sz w:val="28"/>
          <w:szCs w:val="28"/>
        </w:rPr>
      </w:pPr>
      <w:bookmarkStart w:id="30" w:name="_Toc5933"/>
      <w:bookmarkStart w:id="31" w:name="multi-task-joint-training"/>
      <w:r>
        <w:rPr>
          <w:rFonts w:hint="default" w:ascii="Times New Roman" w:hAnsi="Times New Roman" w:cs="Times New Roman"/>
          <w:color w:val="auto"/>
          <w:sz w:val="28"/>
          <w:szCs w:val="28"/>
        </w:rPr>
        <w:t>3.5 Multi-Task Joint Training</w:t>
      </w:r>
      <w:bookmarkEnd w:id="30"/>
    </w:p>
    <w:p w14:paraId="11DE6F33">
      <w:pPr>
        <w:pStyle w:val="5"/>
        <w:keepNext w:val="0"/>
        <w:keepLines w:val="0"/>
        <w:widowControl/>
        <w:suppressLineNumbers w:val="0"/>
        <w:rPr>
          <w:rFonts w:hint="default" w:ascii="Times New Roman" w:hAnsi="Times New Roman" w:cs="Times New Roman"/>
          <w:color w:val="auto"/>
          <w:sz w:val="24"/>
          <w:szCs w:val="24"/>
        </w:rPr>
      </w:pPr>
      <w:bookmarkStart w:id="32" w:name="anomaly-detection-loss"/>
      <w:r>
        <w:rPr>
          <w:rFonts w:hint="default" w:ascii="Times New Roman" w:hAnsi="Times New Roman" w:cs="Times New Roman"/>
          <w:color w:val="auto"/>
          <w:sz w:val="24"/>
          <w:szCs w:val="24"/>
        </w:rPr>
        <w:t>3.5.1 Anomaly Detection Loss</w:t>
      </w:r>
    </w:p>
    <w:p w14:paraId="42A44FA8">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anomaly detection branch is trained using binary cross-entropy loss. To account for a possible imbalance between normal and anomalous graph snapshots in the training data, the program assigns a positive-class weight to the loss function.</w:t>
      </w:r>
    </w:p>
    <w:p w14:paraId="1CA9BD3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pos</m:t>
            </m:r>
            <m:ctrlPr>
              <w:rPr>
                <w:rFonts w:hint="default" w:ascii="Cambria Math" w:hAnsi="Cambria Math" w:cs="Times New Roman"/>
              </w:rPr>
            </m:ctrlPr>
          </m:sub>
        </m:sSub>
      </m:oMath>
      <w:r>
        <w:rPr>
          <w:rFonts w:hint="default" w:ascii="Times New Roman" w:hAnsi="Times New Roman" w:cs="Times New Roman"/>
        </w:rPr>
        <w:t xml:space="preserve"> be the number of anomalous graph snapshots in the training data and </w:t>
      </w:r>
      <m:oMath>
        <m:sSub>
          <m:sSubPr>
            <m:ctrlPr>
              <w:rPr>
                <w:rFonts w:hint="default" w:ascii="Cambria Math" w:hAnsi="Cambria Math" w:cs="Times New Roman"/>
              </w:rPr>
            </m:ctrlPr>
          </m:sSubPr>
          <m:e>
            <m:r>
              <m:rPr>
                <m:sty m:val="p"/>
              </m:rPr>
              <w:rPr>
                <w:rFonts w:hint="default" w:ascii="Times New Roman" w:hAnsi="Times New Roman" w:cs="Times New Roman"/>
              </w:rPr>
              <m:t>N</m:t>
            </m:r>
            <m:ctrlPr>
              <w:rPr>
                <w:rFonts w:hint="default" w:ascii="Cambria Math" w:hAnsi="Cambria Math" w:cs="Times New Roman"/>
              </w:rPr>
            </m:ctrlPr>
          </m:e>
          <m:sub>
            <m:r>
              <m:rPr>
                <m:sty m:val="p"/>
              </m:rPr>
              <w:rPr>
                <w:rFonts w:hint="default" w:ascii="Times New Roman" w:hAnsi="Times New Roman" w:cs="Times New Roman"/>
              </w:rPr>
              <m:t>neg</m:t>
            </m:r>
            <m:ctrlPr>
              <w:rPr>
                <w:rFonts w:hint="default" w:ascii="Cambria Math" w:hAnsi="Cambria Math" w:cs="Times New Roman"/>
              </w:rPr>
            </m:ctrlPr>
          </m:sub>
        </m:sSub>
      </m:oMath>
      <w:r>
        <w:rPr>
          <w:rFonts w:hint="default" w:ascii="Times New Roman" w:hAnsi="Times New Roman" w:cs="Times New Roman"/>
        </w:rPr>
        <w:t xml:space="preserve"> the number of normal graph snapshots. The positive-class weight used by the code is:</w:t>
      </w:r>
    </w:p>
    <w:p w14:paraId="3482825D">
      <w:pPr>
        <w:pStyle w:val="3"/>
      </w:pPr>
      <m:oMathPara>
        <m:oMathParaPr>
          <m:jc m:val="center"/>
        </m:oMathParaPr>
        <m:oMath>
          <m:sSub>
            <m:sSubPr/>
            <m:e>
              <m:r>
                <m:rPr/>
                <m:t>α</m:t>
              </m:r>
            </m:e>
            <m:sub>
              <m:r>
                <m:rPr>
                  <m:sty m:val="p"/>
                </m:rPr>
                <m:t>pos</m:t>
              </m:r>
            </m:sub>
          </m:sSub>
          <m:r>
            <m:rPr>
              <m:sty m:val="p"/>
            </m:rPr>
            <m:t>=</m:t>
          </m:r>
          <m:f>
            <m:fPr/>
            <m:num>
              <m:r>
                <m:rPr>
                  <m:sty m:val="p"/>
                </m:rPr>
                <m:t>max</m:t>
              </m:r>
              <m:d>
                <m:dPr>
                  <m:sepChr m:val=""/>
                </m:dPr>
                <m:e>
                  <m:sSub>
                    <m:sSubPr/>
                    <m:e>
                      <m:r>
                        <m:rPr/>
                        <m:t>N</m:t>
                      </m:r>
                    </m:e>
                    <m:sub>
                      <m:r>
                        <m:rPr>
                          <m:sty m:val="p"/>
                        </m:rPr>
                        <m:t>neg</m:t>
                      </m:r>
                    </m:sub>
                  </m:sSub>
                  <m:r>
                    <m:rPr>
                      <m:sty m:val="p"/>
                    </m:rPr>
                    <m:t>,</m:t>
                  </m:r>
                  <m:r>
                    <m:rPr/>
                    <m:t>1</m:t>
                  </m:r>
                </m:e>
              </m:d>
            </m:num>
            <m:den>
              <m:r>
                <m:rPr>
                  <m:sty m:val="p"/>
                </m:rPr>
                <m:t>max</m:t>
              </m:r>
              <m:d>
                <m:dPr>
                  <m:sepChr m:val=""/>
                </m:dPr>
                <m:e>
                  <m:sSub>
                    <m:sSubPr/>
                    <m:e>
                      <m:r>
                        <m:rPr/>
                        <m:t>N</m:t>
                      </m:r>
                    </m:e>
                    <m:sub>
                      <m:r>
                        <m:rPr>
                          <m:sty m:val="p"/>
                        </m:rPr>
                        <m:t>pos</m:t>
                      </m:r>
                    </m:sub>
                  </m:sSub>
                  <m:r>
                    <m:rPr>
                      <m:sty m:val="p"/>
                    </m:rPr>
                    <m:t>,</m:t>
                  </m:r>
                  <m:r>
                    <m:rPr/>
                    <m:t>1</m:t>
                  </m:r>
                </m:e>
              </m:d>
            </m:den>
          </m:f>
        </m:oMath>
      </m:oMathPara>
    </w:p>
    <w:p w14:paraId="257AAD1D">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minimum-value safeguards prevent division by zero if either class count is zero.</w:t>
      </w:r>
    </w:p>
    <w:p w14:paraId="4E69490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Let </w:t>
      </w:r>
      <m:oMath>
        <m:sSubSup>
          <m:sSubSupPr>
            <m:ctrlPr>
              <w:rPr>
                <w:rFonts w:hint="default" w:ascii="Cambria Math" w:hAnsi="Cambria Math" w:cs="Times New Roman"/>
              </w:rPr>
            </m:ctrlPr>
          </m:sSubSupPr>
          <m:e>
            <m:r>
              <m:rPr>
                <m:sty m:val="p"/>
              </m:rPr>
              <w:rPr>
                <w:rFonts w:hint="default" w:ascii="Times New Roman" w:hAnsi="Times New Roman" w:cs="Times New Roman"/>
              </w:rPr>
              <m:t>z</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up>
            <m:r>
              <m:rPr>
                <m:sty m:val="p"/>
              </m:rPr>
              <w:rPr>
                <w:rFonts w:hint="default" w:ascii="Times New Roman" w:hAnsi="Times New Roman" w:cs="Times New Roman"/>
              </w:rPr>
              <m:t>A</m:t>
            </m:r>
            <m:ctrlPr>
              <w:rPr>
                <w:rFonts w:hint="default" w:ascii="Cambria Math" w:hAnsi="Cambria Math" w:cs="Times New Roman"/>
              </w:rPr>
            </m:ctrlPr>
          </m:sup>
        </m:sSubSup>
      </m:oMath>
      <w:r>
        <w:rPr>
          <w:rFonts w:hint="default" w:ascii="Times New Roman" w:hAnsi="Times New Roman" w:cs="Times New Roman"/>
        </w:rPr>
        <w:t xml:space="preserve"> denote the graph-level anomaly logit and </w:t>
      </w:r>
      <m:oMath>
        <m:sSub>
          <m:sSubPr>
            <m:ctrlPr>
              <w:rPr>
                <w:rFonts w:hint="default" w:ascii="Cambria Math" w:hAnsi="Cambria Math" w:cs="Times New Roman"/>
              </w:rPr>
            </m:ctrlPr>
          </m:sSubPr>
          <m:e>
            <m:r>
              <m:rPr>
                <m:sty m:val="p"/>
              </m:rPr>
              <w:rPr>
                <w:rFonts w:hint="default" w:ascii="Times New Roman" w:hAnsi="Times New Roman" w:cs="Times New Roman"/>
              </w:rPr>
              <m:t>y</m:t>
            </m:r>
            <m:ctrlPr>
              <w:rPr>
                <w:rFonts w:hint="default" w:ascii="Cambria Math" w:hAnsi="Cambria Math" w:cs="Times New Roman"/>
              </w:rPr>
            </m:ctrlPr>
          </m:e>
          <m:sub>
            <m:r>
              <m:rPr>
                <m:sty m:val="p"/>
              </m:rPr>
              <w:rPr>
                <w:rFonts w:hint="default" w:ascii="Times New Roman" w:hAnsi="Times New Roman" w:cs="Times New Roman"/>
              </w:rPr>
              <m:t>w</m:t>
            </m:r>
            <m:ctrlPr>
              <w:rPr>
                <w:rFonts w:hint="default" w:ascii="Cambria Math" w:hAnsi="Cambria Math" w:cs="Times New Roman"/>
              </w:rPr>
            </m:ctrlPr>
          </m:sub>
        </m:sSub>
      </m:oMath>
      <w:r>
        <w:rPr>
          <w:rFonts w:hint="default" w:ascii="Times New Roman" w:hAnsi="Times New Roman" w:cs="Times New Roman"/>
        </w:rPr>
        <w:t xml:space="preserve"> the ground-truth window label. The anomaly detection loss is expressed as:</w:t>
      </w:r>
    </w:p>
    <w:p w14:paraId="195BA11D">
      <w:pPr>
        <w:pStyle w:val="3"/>
      </w:pPr>
      <m:oMathPara>
        <m:oMathParaPr>
          <m:jc m:val="center"/>
        </m:oMathParaPr>
        <m:oMath>
          <m:sSub>
            <m:sSubPr/>
            <m:e>
              <m:r>
                <m:rPr>
                  <m:sty m:val="p"/>
                  <m:scr m:val="script"/>
                </m:rPr>
                <m:t>ℒ</m:t>
              </m:r>
            </m:e>
            <m:sub>
              <m:r>
                <m:rPr/>
                <m:t>A</m:t>
              </m:r>
            </m:sub>
          </m:sSub>
          <m:r>
            <m:rPr>
              <m:sty m:val="p"/>
            </m:rPr>
            <m:t>=BCEWithLogits</m:t>
          </m:r>
          <m:d>
            <m:dPr>
              <m:sepChr m:val=""/>
            </m:dPr>
            <m:e>
              <m:r>
                <m:rPr>
                  <m:sty m:val="p"/>
                </m:rPr>
                <m:t>{</m:t>
              </m:r>
              <m:sSubSup>
                <m:sSubSupPr/>
                <m:e>
                  <m:r>
                    <m:rPr/>
                    <m:t>z</m:t>
                  </m:r>
                </m:e>
                <m:sub>
                  <m:r>
                    <m:rPr/>
                    <m:t>w</m:t>
                  </m:r>
                </m:sub>
                <m:sup>
                  <m:r>
                    <m:rPr/>
                    <m:t>A</m:t>
                  </m:r>
                </m:sup>
              </m:sSubSup>
              <m:r>
                <m:rPr>
                  <m:sty m:val="p"/>
                </m:rPr>
                <m:t>},{</m:t>
              </m:r>
              <m:sSub>
                <m:sSubPr/>
                <m:e>
                  <m:r>
                    <m:rPr/>
                    <m:t>y</m:t>
                  </m:r>
                </m:e>
                <m:sub>
                  <m:r>
                    <m:rPr/>
                    <m:t>w</m:t>
                  </m:r>
                </m:sub>
              </m:sSub>
              <m:r>
                <m:rPr>
                  <m:sty m:val="p"/>
                </m:rPr>
                <m:t>};pos_weight=</m:t>
              </m:r>
              <m:sSub>
                <m:sSubPr/>
                <m:e>
                  <m:r>
                    <m:rPr/>
                    <m:t>α</m:t>
                  </m:r>
                </m:e>
                <m:sub>
                  <m:r>
                    <m:rPr>
                      <m:sty m:val="p"/>
                    </m:rPr>
                    <m:t>pos</m:t>
                  </m:r>
                </m:sub>
              </m:sSub>
            </m:e>
          </m:d>
        </m:oMath>
      </m:oMathPara>
    </w:p>
    <w:p w14:paraId="4BA00F9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corresponds to BCEWithLogitsLoss in the code. The loss function takes logits directly and uses the positive-class weight to adjust the contribution of anomalous samples to the training objective.</w:t>
      </w:r>
    </w:p>
    <w:bookmarkEnd w:id="32"/>
    <w:p w14:paraId="55C237EF">
      <w:pPr>
        <w:pStyle w:val="5"/>
        <w:keepNext w:val="0"/>
        <w:keepLines w:val="0"/>
        <w:widowControl/>
        <w:suppressLineNumbers w:val="0"/>
        <w:rPr>
          <w:rFonts w:hint="default" w:ascii="Times New Roman" w:hAnsi="Times New Roman" w:cs="Times New Roman"/>
          <w:color w:val="auto"/>
          <w:sz w:val="24"/>
          <w:szCs w:val="24"/>
        </w:rPr>
      </w:pPr>
      <w:bookmarkStart w:id="33" w:name="root-cause-localization-loss"/>
      <w:r>
        <w:rPr>
          <w:rFonts w:hint="default" w:ascii="Times New Roman" w:hAnsi="Times New Roman" w:cs="Times New Roman"/>
          <w:color w:val="auto"/>
          <w:sz w:val="24"/>
          <w:szCs w:val="24"/>
        </w:rPr>
        <w:t>3.5.2 Root Cause Localization Loss</w:t>
      </w:r>
    </w:p>
    <w:p w14:paraId="7CDAB09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The root cause localization branch is trained through node-level supervision. Let </w:t>
      </w:r>
      <m:oMath>
        <m:sSubSup>
          <m:sSubSupPr>
            <m:ctrlPr>
              <w:rPr>
                <w:rFonts w:hint="default" w:ascii="Cambria Math" w:hAnsi="Cambria Math" w:cs="Times New Roman"/>
              </w:rPr>
            </m:ctrlPr>
          </m:sSubSupPr>
          <m:e>
            <m:r>
              <m:rPr>
                <m:sty m:val="p"/>
              </m:rPr>
              <w:rPr>
                <w:rFonts w:hint="default" w:ascii="Times New Roman" w:hAnsi="Times New Roman" w:cs="Times New Roman"/>
              </w:rPr>
              <m:t>z</m:t>
            </m:r>
            <m:ctrlPr>
              <w:rPr>
                <w:rFonts w:hint="default" w:ascii="Cambria Math" w:hAnsi="Cambria Math" w:cs="Times New Roman"/>
              </w:rPr>
            </m:ctrlPr>
          </m:e>
          <m:sub>
            <m:r>
              <m:rPr>
                <m:sty m:val="p"/>
              </m:rPr>
              <w:rPr>
                <w:rFonts w:hint="default" w:ascii="Times New Roman" w:hAnsi="Times New Roman" w:cs="Times New Roman"/>
              </w:rPr>
              <m:t>i,w</m:t>
            </m:r>
            <m:ctrlPr>
              <w:rPr>
                <w:rFonts w:hint="default" w:ascii="Cambria Math" w:hAnsi="Cambria Math" w:cs="Times New Roman"/>
              </w:rPr>
            </m:ctrlPr>
          </m:sub>
          <m:sup>
            <m:r>
              <m:rPr>
                <m:sty m:val="p"/>
              </m:rPr>
              <w:rPr>
                <w:rFonts w:hint="default" w:ascii="Times New Roman" w:hAnsi="Times New Roman" w:cs="Times New Roman"/>
              </w:rPr>
              <m:t>R</m:t>
            </m:r>
            <m:ctrlPr>
              <w:rPr>
                <w:rFonts w:hint="default" w:ascii="Cambria Math" w:hAnsi="Cambria Math" w:cs="Times New Roman"/>
              </w:rPr>
            </m:ctrlPr>
          </m:sup>
        </m:sSubSup>
      </m:oMath>
      <w:r>
        <w:rPr>
          <w:rFonts w:hint="default" w:ascii="Times New Roman" w:hAnsi="Times New Roman" w:cs="Times New Roman"/>
        </w:rPr>
        <w:t xml:space="preserve"> denote the root cause localization logit for node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in window </w:t>
      </w:r>
      <m:oMath>
        <m:r>
          <m:rPr>
            <m:sty m:val="p"/>
          </m:rPr>
          <w:rPr>
            <w:rFonts w:hint="default" w:ascii="Times New Roman" w:hAnsi="Times New Roman" w:cs="Times New Roman"/>
          </w:rPr>
          <m:t>w</m:t>
        </m:r>
      </m:oMath>
      <w:r>
        <w:rPr>
          <w:rFonts w:hint="default" w:ascii="Times New Roman" w:hAnsi="Times New Roman" w:cs="Times New Roman"/>
        </w:rPr>
        <w:t xml:space="preserve">, and let </w:t>
      </w:r>
      <m:oMath>
        <m:sSub>
          <m:sSubPr>
            <m:ctrlPr>
              <w:rPr>
                <w:rFonts w:hint="default" w:ascii="Cambria Math" w:hAnsi="Cambria Math" w:cs="Times New Roman"/>
              </w:rPr>
            </m:ctrlPr>
          </m:sSubPr>
          <m:e>
            <m:r>
              <m:rPr>
                <m:sty m:val="p"/>
              </m:rPr>
              <w:rPr>
                <w:rFonts w:hint="default" w:ascii="Times New Roman" w:hAnsi="Times New Roman" w:cs="Times New Roman"/>
              </w:rPr>
              <m:t>r</m:t>
            </m:r>
            <m:ctrlPr>
              <w:rPr>
                <w:rFonts w:hint="default" w:ascii="Cambria Math" w:hAnsi="Cambria Math" w:cs="Times New Roman"/>
              </w:rPr>
            </m:ctrlPr>
          </m:e>
          <m:sub>
            <m:r>
              <m:rPr>
                <m:sty m:val="p"/>
              </m:rPr>
              <w:rPr>
                <w:rFonts w:hint="default" w:ascii="Times New Roman" w:hAnsi="Times New Roman" w:cs="Times New Roman"/>
              </w:rPr>
              <m:t>i,w</m:t>
            </m:r>
            <m:ctrlPr>
              <w:rPr>
                <w:rFonts w:hint="default" w:ascii="Cambria Math" w:hAnsi="Cambria Math" w:cs="Times New Roman"/>
              </w:rPr>
            </m:ctrlPr>
          </m:sub>
        </m:sSub>
      </m:oMath>
      <w:r>
        <w:rPr>
          <w:rFonts w:hint="default" w:ascii="Times New Roman" w:hAnsi="Times New Roman" w:cs="Times New Roman"/>
        </w:rPr>
        <w:t xml:space="preserve"> denote its ground-truth root cause label. A label of 1 is assigned when the node corresponds to the true root cause service of the case; otherwise, the label is 0.</w:t>
      </w:r>
    </w:p>
    <w:p w14:paraId="40F90719">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root cause localization loss uses binary cross-entropy:</w:t>
      </w:r>
    </w:p>
    <w:p w14:paraId="70840E59">
      <w:pPr>
        <w:pStyle w:val="3"/>
      </w:pPr>
      <m:oMathPara>
        <m:oMathParaPr>
          <m:jc m:val="center"/>
        </m:oMathParaPr>
        <m:oMath>
          <m:sSub>
            <m:sSubPr/>
            <m:e>
              <m:r>
                <m:rPr>
                  <m:sty m:val="p"/>
                  <m:scr m:val="script"/>
                </m:rPr>
                <m:t>ℒ</m:t>
              </m:r>
            </m:e>
            <m:sub>
              <m:r>
                <m:rPr/>
                <m:t>R</m:t>
              </m:r>
            </m:sub>
          </m:sSub>
          <m:r>
            <m:rPr>
              <m:sty m:val="p"/>
            </m:rPr>
            <m:t>=BCEWithLogits</m:t>
          </m:r>
          <m:d>
            <m:dPr>
              <m:sepChr m:val=""/>
            </m:dPr>
            <m:e>
              <m:r>
                <m:rPr>
                  <m:sty m:val="p"/>
                </m:rPr>
                <m:t>{</m:t>
              </m:r>
              <m:sSubSup>
                <m:sSubSupPr/>
                <m:e>
                  <m:r>
                    <m:rPr/>
                    <m:t>z</m:t>
                  </m:r>
                </m:e>
                <m:sub>
                  <m:r>
                    <m:rPr/>
                    <m:t>i</m:t>
                  </m:r>
                  <m:r>
                    <m:rPr>
                      <m:sty m:val="p"/>
                    </m:rPr>
                    <m:t>,</m:t>
                  </m:r>
                  <m:r>
                    <m:rPr/>
                    <m:t>w</m:t>
                  </m:r>
                </m:sub>
                <m:sup>
                  <m:r>
                    <m:rPr/>
                    <m:t>R</m:t>
                  </m:r>
                </m:sup>
              </m:sSubSup>
              <m:r>
                <m:rPr>
                  <m:sty m:val="p"/>
                </m:rPr>
                <m:t>},{</m:t>
              </m:r>
              <m:sSub>
                <m:sSubPr/>
                <m:e>
                  <m:r>
                    <m:rPr/>
                    <m:t>r</m:t>
                  </m:r>
                </m:e>
                <m:sub>
                  <m:r>
                    <m:rPr/>
                    <m:t>i</m:t>
                  </m:r>
                  <m:r>
                    <m:rPr>
                      <m:sty m:val="p"/>
                    </m:rPr>
                    <m:t>,</m:t>
                  </m:r>
                  <m:r>
                    <m:rPr/>
                    <m:t>w</m:t>
                  </m:r>
                </m:sub>
              </m:sSub>
              <m:r>
                <m:rPr>
                  <m:sty m:val="p"/>
                </m:rPr>
                <m:t>}</m:t>
              </m:r>
            </m:e>
          </m:d>
        </m:oMath>
      </m:oMathPara>
    </w:p>
    <w:p w14:paraId="0CC2045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According to the current implementation, this loss is computed directly from the node scores and labels in each training batch. The program does not first filter the data to retain only anomalous windows. Therefore, describing this branch as node-level supervision based on the true root cause service recorded for each case is consistent with the implementation.</w:t>
      </w:r>
    </w:p>
    <w:bookmarkEnd w:id="33"/>
    <w:p w14:paraId="07E266C0">
      <w:pPr>
        <w:pStyle w:val="5"/>
        <w:keepNext w:val="0"/>
        <w:keepLines w:val="0"/>
        <w:widowControl/>
        <w:suppressLineNumbers w:val="0"/>
        <w:rPr>
          <w:rFonts w:hint="default" w:ascii="Times New Roman" w:hAnsi="Times New Roman" w:cs="Times New Roman"/>
          <w:color w:val="auto"/>
          <w:sz w:val="24"/>
          <w:szCs w:val="24"/>
        </w:rPr>
      </w:pPr>
      <w:bookmarkStart w:id="34" w:name="joint-loss-function"/>
      <w:r>
        <w:rPr>
          <w:rFonts w:hint="default" w:ascii="Times New Roman" w:hAnsi="Times New Roman" w:cs="Times New Roman"/>
          <w:color w:val="auto"/>
          <w:sz w:val="24"/>
          <w:szCs w:val="24"/>
        </w:rPr>
        <w:t>3.5.3 Joint Loss Function</w:t>
      </w:r>
    </w:p>
    <w:p w14:paraId="2CD9704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To optimize anomaly detection and root cause localization simultaneously, this study uses a weighted joint loss:</w:t>
      </w:r>
    </w:p>
    <w:p w14:paraId="44FBE4C1">
      <w:pPr>
        <w:pStyle w:val="3"/>
      </w:pPr>
      <m:oMathPara>
        <m:oMathParaPr>
          <m:jc m:val="center"/>
        </m:oMathParaPr>
        <m:oMath>
          <m:sSub>
            <m:sSubPr/>
            <m:e>
              <m:r>
                <m:rPr>
                  <m:sty m:val="p"/>
                  <m:scr m:val="script"/>
                </m:rPr>
                <m:t>ℒ</m:t>
              </m:r>
            </m:e>
            <m:sub>
              <m:r>
                <m:rPr>
                  <m:sty m:val="p"/>
                </m:rPr>
                <m:t>total</m:t>
              </m:r>
            </m:sub>
          </m:sSub>
          <m:r>
            <m:rPr>
              <m:sty m:val="p"/>
            </m:rPr>
            <m:t>=</m:t>
          </m:r>
          <m:sSub>
            <m:sSubPr/>
            <m:e>
              <m:r>
                <m:rPr>
                  <m:sty m:val="p"/>
                  <m:scr m:val="script"/>
                </m:rPr>
                <m:t>ℒ</m:t>
              </m:r>
            </m:e>
            <m:sub>
              <m:r>
                <m:rPr/>
                <m:t>A</m:t>
              </m:r>
            </m:sub>
          </m:sSub>
          <m:r>
            <m:rPr>
              <m:sty m:val="p"/>
            </m:rPr>
            <m:t>+</m:t>
          </m:r>
          <m:sSub>
            <m:sSubPr/>
            <m:e>
              <m:r>
                <m:rPr/>
                <m:t>λ</m:t>
              </m:r>
            </m:e>
            <m:sub>
              <m:r>
                <m:rPr/>
                <m:t>R</m:t>
              </m:r>
            </m:sub>
          </m:sSub>
          <m:sSub>
            <m:sSubPr/>
            <m:e>
              <m:r>
                <m:rPr>
                  <m:sty m:val="p"/>
                  <m:scr m:val="script"/>
                </m:rPr>
                <m:t>ℒ</m:t>
              </m:r>
            </m:e>
            <m:sub>
              <m:r>
                <m:rPr/>
                <m:t>R</m:t>
              </m:r>
            </m:sub>
          </m:sSub>
        </m:oMath>
      </m:oMathPara>
    </w:p>
    <w:p w14:paraId="7CC257BB">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scr m:val="script"/>
              </m:rPr>
              <w:rPr>
                <w:rFonts w:hint="default" w:ascii="Times New Roman" w:hAnsi="Times New Roman" w:eastAsia="MS Mincho" w:cs="MS Mincho"/>
              </w:rPr>
              <m:t>ℒ</m:t>
            </m:r>
            <m:ctrlPr>
              <w:rPr>
                <w:rFonts w:hint="default" w:ascii="Cambria Math" w:hAnsi="Cambria Math" w:cs="Times New Roman"/>
              </w:rPr>
            </m:ctrlPr>
          </m:e>
          <m:sub>
            <m:r>
              <m:rPr>
                <m:sty m:val="p"/>
              </m:rPr>
              <w:rPr>
                <w:rFonts w:hint="default" w:ascii="Times New Roman" w:hAnsi="Times New Roman" w:cs="Times New Roman"/>
              </w:rPr>
              <m:t>A</m:t>
            </m:r>
            <m:ctrlPr>
              <w:rPr>
                <w:rFonts w:hint="default" w:ascii="Cambria Math" w:hAnsi="Cambria Math" w:cs="Times New Roman"/>
              </w:rPr>
            </m:ctrlPr>
          </m:sub>
        </m:sSub>
      </m:oMath>
      <w:r>
        <w:rPr>
          <w:rFonts w:hint="default" w:ascii="Times New Roman" w:hAnsi="Times New Roman" w:cs="Times New Roman"/>
        </w:rPr>
        <w:t xml:space="preserve"> denotes the anomaly detection loss, </w:t>
      </w:r>
      <m:oMath>
        <m:sSub>
          <m:sSubPr>
            <m:ctrlPr>
              <w:rPr>
                <w:rFonts w:hint="default" w:ascii="Cambria Math" w:hAnsi="Cambria Math" w:cs="Times New Roman"/>
              </w:rPr>
            </m:ctrlPr>
          </m:sSubPr>
          <m:e>
            <m:r>
              <m:rPr>
                <m:sty m:val="p"/>
                <m:scr m:val="script"/>
              </m:rPr>
              <w:rPr>
                <w:rFonts w:hint="default" w:ascii="Times New Roman" w:hAnsi="Times New Roman" w:eastAsia="MS Mincho" w:cs="MS Mincho"/>
              </w:rPr>
              <m:t>ℒ</m:t>
            </m:r>
            <m:ctrlPr>
              <w:rPr>
                <w:rFonts w:hint="default" w:ascii="Cambria Math" w:hAnsi="Cambria Math" w:cs="Times New Roman"/>
              </w:rPr>
            </m:ctrlPr>
          </m:e>
          <m:sub>
            <m:r>
              <m:rPr>
                <m:sty m:val="p"/>
              </m:rPr>
              <w:rPr>
                <w:rFonts w:hint="default" w:ascii="Times New Roman" w:hAnsi="Times New Roman" w:cs="Times New Roman"/>
              </w:rPr>
              <m:t>R</m:t>
            </m:r>
            <m:ctrlPr>
              <w:rPr>
                <w:rFonts w:hint="default" w:ascii="Cambria Math" w:hAnsi="Cambria Math" w:cs="Times New Roman"/>
              </w:rPr>
            </m:ctrlPr>
          </m:sub>
        </m:sSub>
      </m:oMath>
      <w:r>
        <w:rPr>
          <w:rFonts w:hint="default" w:ascii="Times New Roman" w:hAnsi="Times New Roman" w:cs="Times New Roman"/>
        </w:rPr>
        <w:t xml:space="preserve"> denotes the root cause localization loss, and </w:t>
      </w:r>
      <m:oMath>
        <m:sSub>
          <m:sSubPr>
            <m:ctrlPr>
              <w:rPr>
                <w:rFonts w:hint="default" w:ascii="Cambria Math" w:hAnsi="Cambria Math" w:cs="Times New Roman"/>
              </w:rPr>
            </m:ctrlPr>
          </m:sSubPr>
          <m:e>
            <m:r>
              <m:rPr>
                <m:sty m:val="p"/>
              </m:rPr>
              <w:rPr>
                <w:rFonts w:hint="default" w:ascii="Times New Roman" w:hAnsi="Times New Roman" w:cs="Times New Roman"/>
              </w:rPr>
              <m:t>λ</m:t>
            </m:r>
            <m:ctrlPr>
              <w:rPr>
                <w:rFonts w:hint="default" w:ascii="Cambria Math" w:hAnsi="Cambria Math" w:cs="Times New Roman"/>
              </w:rPr>
            </m:ctrlPr>
          </m:e>
          <m:sub>
            <m:r>
              <m:rPr>
                <m:sty m:val="p"/>
              </m:rPr>
              <w:rPr>
                <w:rFonts w:hint="default" w:ascii="Times New Roman" w:hAnsi="Times New Roman" w:cs="Times New Roman"/>
              </w:rPr>
              <m:t>R</m:t>
            </m:r>
            <m:ctrlPr>
              <w:rPr>
                <w:rFonts w:hint="default" w:ascii="Cambria Math" w:hAnsi="Cambria Math" w:cs="Times New Roman"/>
              </w:rPr>
            </m:ctrlPr>
          </m:sub>
        </m:sSub>
      </m:oMath>
      <w:r>
        <w:rPr>
          <w:rFonts w:hint="default" w:ascii="Times New Roman" w:hAnsi="Times New Roman" w:cs="Times New Roman"/>
        </w:rPr>
        <w:t xml:space="preserve"> is the root cause localization loss weight specified by the rca_loss_weight parameter read by the training script.</w:t>
      </w:r>
    </w:p>
    <w:p w14:paraId="4608A93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joint objective allows the shared graph encoder to receive supervision from both graph-level anomaly labels and node-level root cause labels, enabling it to learn node representations for anomaly identification and root cause ranking.</w:t>
      </w:r>
    </w:p>
    <w:p w14:paraId="40E5053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It should be noted that the provided default.yaml does not show the graph_experiments parameter section read by the training script. The form of the joint loss can therefore be verified from the code, but the specific value of </w:t>
      </w:r>
      <m:oMath>
        <m:sSub>
          <m:sSubPr>
            <m:ctrlPr>
              <w:rPr>
                <w:rFonts w:hint="default" w:ascii="Cambria Math" w:hAnsi="Cambria Math" w:cs="Times New Roman"/>
              </w:rPr>
            </m:ctrlPr>
          </m:sSubPr>
          <m:e>
            <m:r>
              <m:rPr>
                <m:sty m:val="p"/>
              </m:rPr>
              <w:rPr>
                <w:rFonts w:hint="default" w:ascii="Times New Roman" w:hAnsi="Times New Roman" w:cs="Times New Roman"/>
              </w:rPr>
              <m:t>λ</m:t>
            </m:r>
            <m:ctrlPr>
              <w:rPr>
                <w:rFonts w:hint="default" w:ascii="Cambria Math" w:hAnsi="Cambria Math" w:cs="Times New Roman"/>
              </w:rPr>
            </m:ctrlPr>
          </m:e>
          <m:sub>
            <m:r>
              <m:rPr>
                <m:sty m:val="p"/>
              </m:rPr>
              <w:rPr>
                <w:rFonts w:hint="default" w:ascii="Times New Roman" w:hAnsi="Times New Roman" w:cs="Times New Roman"/>
              </w:rPr>
              <m:t>R</m:t>
            </m:r>
            <m:ctrlPr>
              <w:rPr>
                <w:rFonts w:hint="default" w:ascii="Cambria Math" w:hAnsi="Cambria Math" w:cs="Times New Roman"/>
              </w:rPr>
            </m:ctrlPr>
          </m:sub>
        </m:sSub>
      </m:oMath>
      <w:r>
        <w:rPr>
          <w:rFonts w:hint="default" w:ascii="Times New Roman" w:hAnsi="Times New Roman" w:cs="Times New Roman"/>
        </w:rPr>
        <w:t xml:space="preserve"> cannot be determined from the currently provided configuration file. No unverified value is assigned in this chapter.</w:t>
      </w:r>
    </w:p>
    <w:bookmarkEnd w:id="34"/>
    <w:p w14:paraId="418B9A56">
      <w:pPr>
        <w:pStyle w:val="5"/>
        <w:keepNext w:val="0"/>
        <w:keepLines w:val="0"/>
        <w:widowControl/>
        <w:suppressLineNumbers w:val="0"/>
        <w:rPr>
          <w:rFonts w:hint="default" w:ascii="Times New Roman" w:hAnsi="Times New Roman" w:cs="Times New Roman"/>
          <w:color w:val="auto"/>
          <w:sz w:val="24"/>
          <w:szCs w:val="24"/>
        </w:rPr>
      </w:pPr>
      <w:bookmarkStart w:id="35" w:name="model-optimization-and-data-splitting"/>
      <w:r>
        <w:rPr>
          <w:rFonts w:hint="default" w:ascii="Times New Roman" w:hAnsi="Times New Roman" w:cs="Times New Roman"/>
          <w:color w:val="auto"/>
          <w:sz w:val="24"/>
          <w:szCs w:val="24"/>
        </w:rPr>
        <w:t>3.5.4 Model Optimization and Data Splitting</w:t>
      </w:r>
    </w:p>
    <w:p w14:paraId="7B4E395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current training program uses the AdamW optimizer to update the graph neural network parameters. At each iteration, the program clears existing gradients, performs forward computation, calculates the loss, backpropagates the gradients, and updates the parameters. The average training loss is recorded at the end of each epoch.</w:t>
      </w:r>
    </w:p>
    <w:p w14:paraId="30CEEBB3">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Data splitting is based on a pre-generated case-level split file. The program first identifies whether each fault case belongs to the training, validation, or test set, and then assigns all graph snapshots associated with that case to the same subset. This approach prevents windows from the same fault case from being distributed across different subsets and helps reduce the risk of data leakage caused by similar windows within a case.</w:t>
      </w:r>
    </w:p>
    <w:p w14:paraId="4C9A2CD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configuration file specifies a random seed of 42. The training program uses this seed to initialize the random generators for Python, NumPy, PyTorch, and CUDA. It should be noted that the current code does not implement automatic early stopping based on validation metrics, nor does it select the best checkpoint according to validation performance. Instead, the program completes the configured number of training epochs, saves the model, and then calculates validation and test metrics.</w:t>
      </w:r>
    </w:p>
    <w:p w14:paraId="630AB64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Although the training script reads parameters such as learning rate, weight decay, graph-training batch size, number of epochs, and root cause loss weight from the graph_experiments section, their specific values cannot be retrieved from the final default.yaml currently provided. This chapter therefore describes only the optimization procedure supported by the available code and does not add unverified parameter values. The configuration’s llm.batch_size=4 belongs to the embedding-generation settings and should not be treated as the graph neural network training batch size.</w:t>
      </w:r>
    </w:p>
    <w:bookmarkEnd w:id="31"/>
    <w:bookmarkEnd w:id="35"/>
    <w:p w14:paraId="658F88CE">
      <w:pPr>
        <w:pStyle w:val="4"/>
        <w:keepNext w:val="0"/>
        <w:keepLines w:val="0"/>
        <w:widowControl/>
        <w:suppressLineNumbers w:val="0"/>
        <w:rPr>
          <w:rFonts w:hint="default" w:ascii="Times New Roman" w:hAnsi="Times New Roman" w:cs="Times New Roman"/>
          <w:color w:val="auto"/>
          <w:sz w:val="28"/>
          <w:szCs w:val="28"/>
        </w:rPr>
      </w:pPr>
      <w:bookmarkStart w:id="36" w:name="_Toc2075"/>
      <w:bookmarkStart w:id="37" w:name="evaluation-metrics"/>
      <w:r>
        <w:rPr>
          <w:rFonts w:hint="default" w:ascii="Times New Roman" w:hAnsi="Times New Roman" w:cs="Times New Roman"/>
          <w:color w:val="auto"/>
          <w:sz w:val="28"/>
          <w:szCs w:val="28"/>
        </w:rPr>
        <w:t>3.6 Evaluation Metrics</w:t>
      </w:r>
      <w:bookmarkEnd w:id="36"/>
    </w:p>
    <w:p w14:paraId="3408BFD5">
      <w:pPr>
        <w:pStyle w:val="5"/>
        <w:keepNext w:val="0"/>
        <w:keepLines w:val="0"/>
        <w:widowControl/>
        <w:suppressLineNumbers w:val="0"/>
        <w:rPr>
          <w:rFonts w:hint="default" w:ascii="Times New Roman" w:hAnsi="Times New Roman" w:cs="Times New Roman"/>
          <w:color w:val="auto"/>
          <w:sz w:val="24"/>
          <w:szCs w:val="24"/>
        </w:rPr>
      </w:pPr>
      <w:bookmarkStart w:id="38" w:name="anomaly-detection-metrics"/>
      <w:r>
        <w:rPr>
          <w:rFonts w:hint="default" w:ascii="Times New Roman" w:hAnsi="Times New Roman" w:cs="Times New Roman"/>
          <w:color w:val="auto"/>
          <w:sz w:val="24"/>
          <w:szCs w:val="24"/>
        </w:rPr>
        <w:t>3.6.1 Anomaly Detection Metrics</w:t>
      </w:r>
    </w:p>
    <w:p w14:paraId="18F9D4B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study uses Precision, Recall, F1, ROC-AUC, and PR-AUC to evaluate anomaly detection performance. Let TP, TN, FP, and FN denote true positives, true negatives, false positives, and false negatives, respectively.</w:t>
      </w:r>
    </w:p>
    <w:p w14:paraId="2D27C6D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Precision measures the proportion of correctly identified anomalous samples among all samples predicted as anomalous:</w:t>
      </w:r>
    </w:p>
    <w:p w14:paraId="298053D6">
      <w:pPr>
        <w:pStyle w:val="3"/>
      </w:pPr>
      <m:oMathPara>
        <m:oMathParaPr>
          <m:jc m:val="center"/>
        </m:oMathParaPr>
        <m:oMath>
          <m:r>
            <m:rPr>
              <m:sty m:val="p"/>
            </m:rPr>
            <m:t>Precision=</m:t>
          </m:r>
          <m:f>
            <m:fPr/>
            <m:num>
              <m:r>
                <m:rPr/>
                <m:t>TP</m:t>
              </m:r>
            </m:num>
            <m:den>
              <m:r>
                <m:rPr/>
                <m:t>TP</m:t>
              </m:r>
              <m:r>
                <m:rPr>
                  <m:sty m:val="p"/>
                </m:rPr>
                <m:t>+</m:t>
              </m:r>
              <m:r>
                <m:rPr/>
                <m:t>FP</m:t>
              </m:r>
            </m:den>
          </m:f>
        </m:oMath>
      </m:oMathPara>
    </w:p>
    <w:p w14:paraId="201E36C6">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Recall measures the proportion of actual anomalous samples correctly identified by the model:</w:t>
      </w:r>
    </w:p>
    <w:p w14:paraId="04E16E73">
      <w:pPr>
        <w:pStyle w:val="3"/>
      </w:pPr>
      <m:oMathPara>
        <m:oMathParaPr>
          <m:jc m:val="center"/>
        </m:oMathParaPr>
        <m:oMath>
          <m:r>
            <m:rPr>
              <m:sty m:val="p"/>
            </m:rPr>
            <m:t>Recall=</m:t>
          </m:r>
          <m:f>
            <m:fPr/>
            <m:num>
              <m:r>
                <m:rPr/>
                <m:t>TP</m:t>
              </m:r>
            </m:num>
            <m:den>
              <m:r>
                <m:rPr/>
                <m:t>TP</m:t>
              </m:r>
              <m:r>
                <m:rPr>
                  <m:sty m:val="p"/>
                </m:rPr>
                <m:t>+</m:t>
              </m:r>
              <m:r>
                <m:rPr/>
                <m:t>FN</m:t>
              </m:r>
            </m:den>
          </m:f>
        </m:oMath>
      </m:oMathPara>
    </w:p>
    <w:p w14:paraId="09E8CDD8">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F1 score is the harmonic mean of Precision and Recall:</w:t>
      </w:r>
    </w:p>
    <w:p w14:paraId="0AD7BB94">
      <w:pPr>
        <w:pStyle w:val="3"/>
      </w:pPr>
      <m:oMathPara>
        <m:oMathParaPr>
          <m:jc m:val="center"/>
        </m:oMathParaPr>
        <m:oMath>
          <m:r>
            <m:rPr/>
            <m:t>F1</m:t>
          </m:r>
          <m:r>
            <m:rPr>
              <m:sty m:val="p"/>
            </m:rPr>
            <m:t>=</m:t>
          </m:r>
          <m:r>
            <m:rPr/>
            <m:t>2</m:t>
          </m:r>
          <m:r>
            <m:rPr>
              <m:sty m:val="p"/>
            </m:rPr>
            <m:t>⋅</m:t>
          </m:r>
          <m:f>
            <m:fPr/>
            <m:num>
              <m:r>
                <m:rPr>
                  <m:sty m:val="p"/>
                </m:rPr>
                <m:t>Precision⋅Recall</m:t>
              </m:r>
            </m:num>
            <m:den>
              <m:r>
                <m:rPr>
                  <m:sty m:val="p"/>
                </m:rPr>
                <m:t>Precision+Recall</m:t>
              </m:r>
            </m:den>
          </m:f>
        </m:oMath>
      </m:oMathPara>
    </w:p>
    <w:p w14:paraId="66A46BA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ROC-AUC evaluates the model’s ability to distinguish normal and anomalous windows across different classification thresholds. PR-AUC evaluates performance through the precision-recall relationship. The current program uses average_precision_score to calculate and record pr_auc; this specific calculation should therefore be made clear when interpreting the results.</w:t>
      </w:r>
    </w:p>
    <w:p w14:paraId="0649636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Precision, Recall, and F1 are calculated from discrete predictions at the selected classification threshold, whereas ROC-AUC and PR-AUC are calculated from prediction scores. If an evaluation subset contains only one class, the current program records ROC-AUC as unavailable.</w:t>
      </w:r>
    </w:p>
    <w:bookmarkEnd w:id="38"/>
    <w:p w14:paraId="453F9D06">
      <w:pPr>
        <w:pStyle w:val="5"/>
        <w:keepNext w:val="0"/>
        <w:keepLines w:val="0"/>
        <w:widowControl/>
        <w:suppressLineNumbers w:val="0"/>
        <w:rPr>
          <w:rFonts w:hint="default" w:ascii="Times New Roman" w:hAnsi="Times New Roman" w:cs="Times New Roman"/>
          <w:color w:val="auto"/>
          <w:sz w:val="24"/>
          <w:szCs w:val="24"/>
        </w:rPr>
      </w:pPr>
      <w:bookmarkStart w:id="39" w:name="root-cause-localization-metrics"/>
      <w:r>
        <w:rPr>
          <w:rFonts w:hint="default" w:ascii="Times New Roman" w:hAnsi="Times New Roman" w:cs="Times New Roman"/>
          <w:color w:val="auto"/>
          <w:sz w:val="24"/>
          <w:szCs w:val="24"/>
        </w:rPr>
        <w:t>3.6.2 Root Cause Localization Metrics</w:t>
      </w:r>
    </w:p>
    <w:p w14:paraId="72751B55">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Root cause localization is evaluated using case-level ranking. Since a fault case may contain multiple time windows, the current program first aggregates the root cause localization scores for each service across the windows of that case by taking the maximum score:</w:t>
      </w:r>
    </w:p>
    <w:p w14:paraId="2D7B4EB3">
      <w:pPr>
        <w:pStyle w:val="3"/>
      </w:pPr>
      <m:oMathPara>
        <m:oMathParaPr>
          <m:jc m:val="center"/>
        </m:oMathParaPr>
        <m:oMath>
          <m:sSub>
            <m:sSubPr/>
            <m:e>
              <m:r>
                <m:rPr/>
                <m:t>s</m:t>
              </m:r>
            </m:e>
            <m:sub>
              <m:r>
                <m:rPr/>
                <m:t>c</m:t>
              </m:r>
              <m:r>
                <m:rPr>
                  <m:sty m:val="p"/>
                </m:rPr>
                <m:t>,</m:t>
              </m:r>
              <m:r>
                <m:rPr/>
                <m:t>i</m:t>
              </m:r>
            </m:sub>
          </m:sSub>
          <m:r>
            <m:rPr>
              <m:sty m:val="p"/>
            </m:rPr>
            <m:t>=</m:t>
          </m:r>
          <m:limLow>
            <m:limLowPr/>
            <m:e>
              <m:r>
                <m:rPr>
                  <m:sty m:val="p"/>
                </m:rPr>
                <m:t>max</m:t>
              </m:r>
            </m:e>
            <m:lim>
              <m:r>
                <m:rPr/>
                <m:t>w</m:t>
              </m:r>
              <m:r>
                <m:rPr>
                  <m:sty m:val="p"/>
                </m:rPr>
                <m:t>∈</m:t>
              </m:r>
              <m:sSub>
                <m:sSubPr/>
                <m:e>
                  <m:r>
                    <m:rPr/>
                    <m:t>W</m:t>
                  </m:r>
                </m:e>
                <m:sub>
                  <m:r>
                    <m:rPr/>
                    <m:t>c</m:t>
                  </m:r>
                </m:sub>
              </m:sSub>
            </m:lim>
          </m:limLow>
          <m:sSubSup>
            <m:sSubSupPr/>
            <m:e>
              <m:r>
                <m:rPr/>
                <m:t>p</m:t>
              </m:r>
            </m:e>
            <m:sub>
              <m:r>
                <m:rPr/>
                <m:t>c</m:t>
              </m:r>
              <m:r>
                <m:rPr>
                  <m:sty m:val="p"/>
                </m:rPr>
                <m:t>,</m:t>
              </m:r>
              <m:r>
                <m:rPr/>
                <m:t>w</m:t>
              </m:r>
              <m:r>
                <m:rPr>
                  <m:sty m:val="p"/>
                </m:rPr>
                <m:t>,</m:t>
              </m:r>
              <m:r>
                <m:rPr/>
                <m:t>i</m:t>
              </m:r>
            </m:sub>
            <m:sup>
              <m:r>
                <m:rPr/>
                <m:t>R</m:t>
              </m:r>
            </m:sup>
          </m:sSubSup>
        </m:oMath>
      </m:oMathPara>
    </w:p>
    <w:p w14:paraId="4B464342">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sSub>
          <m:sSubPr>
            <m:ctrlPr>
              <w:rPr>
                <w:rFonts w:hint="default" w:ascii="Cambria Math" w:hAnsi="Cambria Math" w:cs="Times New Roman"/>
              </w:rPr>
            </m:ctrlPr>
          </m:sSubPr>
          <m:e>
            <m:r>
              <m:rPr>
                <m:sty m:val="p"/>
              </m:rPr>
              <w:rPr>
                <w:rFonts w:hint="default" w:ascii="Times New Roman" w:hAnsi="Times New Roman" w:cs="Times New Roman"/>
              </w:rPr>
              <m:t>s</m:t>
            </m:r>
            <m:ctrlPr>
              <w:rPr>
                <w:rFonts w:hint="default" w:ascii="Cambria Math" w:hAnsi="Cambria Math" w:cs="Times New Roman"/>
              </w:rPr>
            </m:ctrlPr>
          </m:e>
          <m:sub>
            <m:r>
              <m:rPr>
                <m:sty m:val="p"/>
              </m:rPr>
              <w:rPr>
                <w:rFonts w:hint="default" w:ascii="Times New Roman" w:hAnsi="Times New Roman" w:cs="Times New Roman"/>
              </w:rPr>
              <m:t>c,i</m:t>
            </m:r>
            <m:ctrlPr>
              <w:rPr>
                <w:rFonts w:hint="default" w:ascii="Cambria Math" w:hAnsi="Cambria Math" w:cs="Times New Roman"/>
              </w:rPr>
            </m:ctrlPr>
          </m:sub>
        </m:sSub>
      </m:oMath>
      <w:r>
        <w:rPr>
          <w:rFonts w:hint="default" w:ascii="Times New Roman" w:hAnsi="Times New Roman" w:cs="Times New Roman"/>
        </w:rPr>
        <w:t xml:space="preserve"> is the case-level score of service </w:t>
      </w:r>
      <m:oMath>
        <m:sSub>
          <m:sSubPr>
            <m:ctrlPr>
              <w:rPr>
                <w:rFonts w:hint="default" w:ascii="Cambria Math" w:hAnsi="Cambria Math" w:cs="Times New Roman"/>
              </w:rPr>
            </m:ctrlPr>
          </m:sSubPr>
          <m:e>
            <m:r>
              <m:rPr>
                <m:sty m:val="p"/>
              </m:rPr>
              <w:rPr>
                <w:rFonts w:hint="default" w:ascii="Times New Roman" w:hAnsi="Times New Roman" w:cs="Times New Roman"/>
              </w:rPr>
              <m:t>v</m:t>
            </m:r>
            <m:ctrlPr>
              <w:rPr>
                <w:rFonts w:hint="default" w:ascii="Cambria Math" w:hAnsi="Cambria Math" w:cs="Times New Roman"/>
              </w:rPr>
            </m:ctrlPr>
          </m:e>
          <m:sub>
            <m:r>
              <m:rPr>
                <m:sty m:val="p"/>
              </m:rPr>
              <w:rPr>
                <w:rFonts w:hint="default" w:ascii="Times New Roman" w:hAnsi="Times New Roman" w:cs="Times New Roman"/>
              </w:rPr>
              <m:t>i</m:t>
            </m:r>
            <m:ctrlPr>
              <w:rPr>
                <w:rFonts w:hint="default" w:ascii="Cambria Math" w:hAnsi="Cambria Math" w:cs="Times New Roman"/>
              </w:rPr>
            </m:ctrlPr>
          </m:sub>
        </m:sSub>
      </m:oMath>
      <w:r>
        <w:rPr>
          <w:rFonts w:hint="default" w:ascii="Times New Roman" w:hAnsi="Times New Roman" w:cs="Times New Roman"/>
        </w:rPr>
        <w:t xml:space="preserve"> in case </w:t>
      </w:r>
      <m:oMath>
        <m:r>
          <m:rPr>
            <m:sty m:val="p"/>
          </m:rPr>
          <w:rPr>
            <w:rFonts w:hint="default" w:ascii="Times New Roman" w:hAnsi="Times New Roman" w:cs="Times New Roman"/>
          </w:rPr>
          <m:t>c</m:t>
        </m:r>
      </m:oMath>
      <w:r>
        <w:rPr>
          <w:rFonts w:hint="default" w:ascii="Times New Roman" w:hAnsi="Times New Roman" w:cs="Times New Roman"/>
        </w:rPr>
        <w:t xml:space="preserve">, </w:t>
      </w:r>
      <m:oMath>
        <m:sSub>
          <m:sSubPr>
            <m:ctrlPr>
              <w:rPr>
                <w:rFonts w:hint="default" w:ascii="Cambria Math" w:hAnsi="Cambria Math" w:cs="Times New Roman"/>
              </w:rPr>
            </m:ctrlPr>
          </m:sSubPr>
          <m:e>
            <m:r>
              <m:rPr>
                <m:sty m:val="p"/>
              </m:rPr>
              <w:rPr>
                <w:rFonts w:hint="default" w:ascii="Times New Roman" w:hAnsi="Times New Roman" w:cs="Times New Roman"/>
              </w:rPr>
              <m:t>W</m:t>
            </m:r>
            <m:ctrlPr>
              <w:rPr>
                <w:rFonts w:hint="default" w:ascii="Cambria Math" w:hAnsi="Cambria Math" w:cs="Times New Roman"/>
              </w:rPr>
            </m:ctrlPr>
          </m:e>
          <m:sub>
            <m:r>
              <m:rPr>
                <m:sty m:val="p"/>
              </m:rPr>
              <w:rPr>
                <w:rFonts w:hint="default" w:ascii="Times New Roman" w:hAnsi="Times New Roman" w:cs="Times New Roman"/>
              </w:rPr>
              <m:t>c</m:t>
            </m:r>
            <m:ctrlPr>
              <w:rPr>
                <w:rFonts w:hint="default" w:ascii="Cambria Math" w:hAnsi="Cambria Math" w:cs="Times New Roman"/>
              </w:rPr>
            </m:ctrlPr>
          </m:sub>
        </m:sSub>
      </m:oMath>
      <w:r>
        <w:rPr>
          <w:rFonts w:hint="default" w:ascii="Times New Roman" w:hAnsi="Times New Roman" w:cs="Times New Roman"/>
        </w:rPr>
        <w:t xml:space="preserve"> is the set of test windows associated with that case, and </w:t>
      </w:r>
      <m:oMath>
        <m:sSubSup>
          <m:sSubSupPr>
            <m:ctrlPr>
              <w:rPr>
                <w:rFonts w:hint="default" w:ascii="Cambria Math" w:hAnsi="Cambria Math" w:cs="Times New Roman"/>
              </w:rPr>
            </m:ctrlPr>
          </m:sSubSupPr>
          <m:e>
            <m:r>
              <m:rPr>
                <m:sty m:val="p"/>
              </m:rPr>
              <w:rPr>
                <w:rFonts w:hint="default" w:ascii="Times New Roman" w:hAnsi="Times New Roman" w:cs="Times New Roman"/>
              </w:rPr>
              <m:t>p</m:t>
            </m:r>
            <m:ctrlPr>
              <w:rPr>
                <w:rFonts w:hint="default" w:ascii="Cambria Math" w:hAnsi="Cambria Math" w:cs="Times New Roman"/>
              </w:rPr>
            </m:ctrlPr>
          </m:e>
          <m:sub>
            <m:r>
              <m:rPr>
                <m:sty m:val="p"/>
              </m:rPr>
              <w:rPr>
                <w:rFonts w:hint="default" w:ascii="Times New Roman" w:hAnsi="Times New Roman" w:cs="Times New Roman"/>
              </w:rPr>
              <m:t>c,w,i</m:t>
            </m:r>
            <m:ctrlPr>
              <w:rPr>
                <w:rFonts w:hint="default" w:ascii="Cambria Math" w:hAnsi="Cambria Math" w:cs="Times New Roman"/>
              </w:rPr>
            </m:ctrlPr>
          </m:sub>
          <m:sup>
            <m:r>
              <m:rPr>
                <m:sty m:val="p"/>
              </m:rPr>
              <w:rPr>
                <w:rFonts w:hint="default" w:ascii="Times New Roman" w:hAnsi="Times New Roman" w:cs="Times New Roman"/>
              </w:rPr>
              <m:t>R</m:t>
            </m:r>
            <m:ctrlPr>
              <w:rPr>
                <w:rFonts w:hint="default" w:ascii="Cambria Math" w:hAnsi="Cambria Math" w:cs="Times New Roman"/>
              </w:rPr>
            </m:ctrlPr>
          </m:sup>
        </m:sSubSup>
      </m:oMath>
      <w:r>
        <w:rPr>
          <w:rFonts w:hint="default" w:ascii="Times New Roman" w:hAnsi="Times New Roman" w:cs="Times New Roman"/>
        </w:rPr>
        <w:t xml:space="preserve"> is the service’s root cause localization score in window </w:t>
      </w:r>
      <m:oMath>
        <m:r>
          <m:rPr>
            <m:sty m:val="p"/>
          </m:rPr>
          <w:rPr>
            <w:rFonts w:hint="default" w:ascii="Times New Roman" w:hAnsi="Times New Roman" w:cs="Times New Roman"/>
          </w:rPr>
          <m:t>w</m:t>
        </m:r>
      </m:oMath>
      <w:r>
        <w:rPr>
          <w:rFonts w:hint="default" w:ascii="Times New Roman" w:hAnsi="Times New Roman" w:cs="Times New Roman"/>
        </w:rPr>
        <w:t>. The program sorts the services in descending order of their case-level scores and determines the rank of the true root cause service.</w:t>
      </w:r>
    </w:p>
    <w:p w14:paraId="041A03A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Top-</w:t>
      </w:r>
      <m:oMath>
        <m:r>
          <m:rPr>
            <m:sty m:val="p"/>
          </m:rPr>
          <w:rPr>
            <w:rFonts w:hint="default" w:ascii="Times New Roman" w:hAnsi="Times New Roman" w:cs="Times New Roman"/>
          </w:rPr>
          <m:t>k</m:t>
        </m:r>
      </m:oMath>
      <w:r>
        <w:rPr>
          <w:rFonts w:hint="default" w:ascii="Times New Roman" w:hAnsi="Times New Roman" w:cs="Times New Roman"/>
        </w:rPr>
        <w:t xml:space="preserve"> metric measures whether the true root cause service appears among the top </w:t>
      </w:r>
      <m:oMath>
        <m:r>
          <m:rPr>
            <m:sty m:val="p"/>
          </m:rPr>
          <w:rPr>
            <w:rFonts w:hint="default" w:ascii="Times New Roman" w:hAnsi="Times New Roman" w:cs="Times New Roman"/>
          </w:rPr>
          <m:t>k</m:t>
        </m:r>
      </m:oMath>
      <w:r>
        <w:rPr>
          <w:rFonts w:hint="default" w:ascii="Times New Roman" w:hAnsi="Times New Roman" w:cs="Times New Roman"/>
        </w:rPr>
        <w:t xml:space="preserve"> ranked candidates:</w:t>
      </w:r>
    </w:p>
    <w:p w14:paraId="425DDC19">
      <w:pPr>
        <w:pStyle w:val="3"/>
      </w:pPr>
      <m:oMathPara>
        <m:oMathParaPr>
          <m:jc m:val="center"/>
        </m:oMathParaPr>
        <m:oMath>
          <m:r>
            <m:rPr>
              <m:sty m:val="p"/>
            </m:rPr>
            <m:t>Top</m:t>
          </m:r>
          <m:r>
            <m:rPr>
              <m:nor/>
              <m:sty m:val="p"/>
            </m:rPr>
            <m:t>-</m:t>
          </m:r>
          <m:r>
            <m:rPr>
              <m:sty m:val="p"/>
            </m:rPr>
            <m:t>k=</m:t>
          </m:r>
          <m:f>
            <m:fPr/>
            <m:num>
              <m:r>
                <m:rPr/>
                <m:t>1</m:t>
              </m:r>
            </m:num>
            <m:den>
              <m:r>
                <m:rPr/>
                <m:t>C</m:t>
              </m:r>
            </m:den>
          </m:f>
          <m:nary>
            <m:naryPr>
              <m:chr m:val="∑"/>
              <m:limLoc m:val="undOvr"/>
            </m:naryPr>
            <m:sub>
              <m:r>
                <m:rPr/>
                <m:t>c</m:t>
              </m:r>
              <m:r>
                <m:rPr>
                  <m:sty m:val="p"/>
                </m:rPr>
                <m:t>=</m:t>
              </m:r>
              <m:r>
                <m:rPr/>
                <m:t>1</m:t>
              </m:r>
            </m:sub>
            <m:sup>
              <m:r>
                <m:rPr/>
                <m:t>C</m:t>
              </m:r>
            </m:sup>
            <m:e>
              <m:r>
                <m:rPr>
                  <m:sty m:val="p"/>
                  <m:scr m:val="double-struck"/>
                </m:rPr>
                <m:t>I</m:t>
              </m:r>
            </m:e>
          </m:nary>
          <m:d>
            <m:dPr>
              <m:sepChr m:val=""/>
            </m:dPr>
            <m:e>
              <m:sSub>
                <m:sSubPr/>
                <m:e>
                  <m:r>
                    <m:rPr/>
                    <m:t>r</m:t>
                  </m:r>
                </m:e>
                <m:sub>
                  <m:r>
                    <m:rPr/>
                    <m:t>c</m:t>
                  </m:r>
                </m:sub>
              </m:sSub>
              <m:r>
                <m:rPr>
                  <m:sty m:val="p"/>
                </m:rPr>
                <m:t>≤</m:t>
              </m:r>
              <m:r>
                <m:rPr/>
                <m:t>k</m:t>
              </m:r>
            </m:e>
          </m:d>
        </m:oMath>
      </m:oMathPara>
    </w:p>
    <w:p w14:paraId="14C4DD4A">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 xml:space="preserve">Here, </w:t>
      </w:r>
      <m:oMath>
        <m:r>
          <m:rPr>
            <m:sty m:val="p"/>
          </m:rPr>
          <w:rPr>
            <w:rFonts w:hint="default" w:ascii="Times New Roman" w:hAnsi="Times New Roman" w:cs="Times New Roman"/>
          </w:rPr>
          <m:t>C</m:t>
        </m:r>
      </m:oMath>
      <w:r>
        <w:rPr>
          <w:rFonts w:hint="default" w:ascii="Times New Roman" w:hAnsi="Times New Roman" w:cs="Times New Roman"/>
        </w:rPr>
        <w:t xml:space="preserve"> is the number of evaluated cases, </w:t>
      </w:r>
      <m:oMath>
        <m:sSub>
          <m:sSubPr>
            <m:ctrlPr>
              <w:rPr>
                <w:rFonts w:hint="default" w:ascii="Cambria Math" w:hAnsi="Cambria Math" w:cs="Times New Roman"/>
              </w:rPr>
            </m:ctrlPr>
          </m:sSubPr>
          <m:e>
            <m:r>
              <m:rPr>
                <m:sty m:val="p"/>
              </m:rPr>
              <w:rPr>
                <w:rFonts w:hint="default" w:ascii="Times New Roman" w:hAnsi="Times New Roman" w:cs="Times New Roman"/>
              </w:rPr>
              <m:t>r</m:t>
            </m:r>
            <m:ctrlPr>
              <w:rPr>
                <w:rFonts w:hint="default" w:ascii="Cambria Math" w:hAnsi="Cambria Math" w:cs="Times New Roman"/>
              </w:rPr>
            </m:ctrlPr>
          </m:e>
          <m:sub>
            <m:r>
              <m:rPr>
                <m:sty m:val="p"/>
              </m:rPr>
              <w:rPr>
                <w:rFonts w:hint="default" w:ascii="Times New Roman" w:hAnsi="Times New Roman" w:cs="Times New Roman"/>
              </w:rPr>
              <m:t>c</m:t>
            </m:r>
            <m:ctrlPr>
              <w:rPr>
                <w:rFonts w:hint="default" w:ascii="Cambria Math" w:hAnsi="Cambria Math" w:cs="Times New Roman"/>
              </w:rPr>
            </m:ctrlPr>
          </m:sub>
        </m:sSub>
      </m:oMath>
      <w:r>
        <w:rPr>
          <w:rFonts w:hint="default" w:ascii="Times New Roman" w:hAnsi="Times New Roman" w:cs="Times New Roman"/>
        </w:rPr>
        <w:t xml:space="preserve"> is the rank of the true root cause service in case </w:t>
      </w:r>
      <m:oMath>
        <m:r>
          <m:rPr>
            <m:sty m:val="p"/>
          </m:rPr>
          <w:rPr>
            <w:rFonts w:hint="default" w:ascii="Times New Roman" w:hAnsi="Times New Roman" w:cs="Times New Roman"/>
          </w:rPr>
          <m:t>c</m:t>
        </m:r>
      </m:oMath>
      <w:r>
        <w:rPr>
          <w:rFonts w:hint="default" w:ascii="Times New Roman" w:hAnsi="Times New Roman" w:cs="Times New Roman"/>
        </w:rPr>
        <w:t xml:space="preserve">, and </w:t>
      </w:r>
      <m:oMath>
        <m:r>
          <m:rPr>
            <m:sty m:val="p"/>
            <m:scr m:val="double-struck"/>
          </m:rPr>
          <w:rPr>
            <w:rFonts w:hint="default" w:ascii="Times New Roman" w:hAnsi="Times New Roman" w:eastAsia="MS Mincho" w:cs="MS Mincho"/>
          </w:rPr>
          <m:t>I</m:t>
        </m:r>
        <m:d>
          <m:dPr>
            <m:sepChr m:val=""/>
            <m:ctrlPr>
              <w:rPr>
                <w:rFonts w:hint="default" w:ascii="Cambria Math" w:hAnsi="Cambria Math" w:cs="Times New Roman"/>
              </w:rPr>
            </m:ctrlPr>
          </m:dPr>
          <m:e>
            <m:r>
              <m:rPr>
                <m:sty m:val="p"/>
              </m:rPr>
              <w:rPr>
                <w:rFonts w:hint="default" w:ascii="Times New Roman" w:hAnsi="Times New Roman" w:cs="Times New Roman"/>
              </w:rPr>
              <m:t>⋅</m:t>
            </m:r>
            <m:ctrlPr>
              <w:rPr>
                <w:rFonts w:hint="default" w:ascii="Cambria Math" w:hAnsi="Cambria Math" w:cs="Times New Roman"/>
              </w:rPr>
            </m:ctrlPr>
          </m:e>
        </m:d>
      </m:oMath>
      <w:r>
        <w:rPr>
          <w:rFonts w:hint="default" w:ascii="Times New Roman" w:hAnsi="Times New Roman" w:cs="Times New Roman"/>
        </w:rPr>
        <w:t xml:space="preserve"> is the indicator function. The current implementation calculates Top-1, Top-3, and Top-5.</w:t>
      </w:r>
    </w:p>
    <w:p w14:paraId="22FE28D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Mean Reciprocal Rank (MRR) evaluates the ranking position of the true root cause service:</w:t>
      </w:r>
    </w:p>
    <w:p w14:paraId="20A5D109">
      <w:pPr>
        <w:pStyle w:val="3"/>
      </w:pPr>
      <m:oMathPara>
        <m:oMathParaPr>
          <m:jc m:val="center"/>
        </m:oMathParaPr>
        <m:oMath>
          <m:r>
            <m:rPr>
              <m:sty m:val="p"/>
            </m:rPr>
            <m:t>MRR=</m:t>
          </m:r>
          <m:f>
            <m:fPr/>
            <m:num>
              <m:r>
                <m:rPr/>
                <m:t>1</m:t>
              </m:r>
            </m:num>
            <m:den>
              <m:r>
                <m:rPr/>
                <m:t>C</m:t>
              </m:r>
            </m:den>
          </m:f>
          <m:nary>
            <m:naryPr>
              <m:chr m:val="∑"/>
              <m:limLoc m:val="undOvr"/>
            </m:naryPr>
            <m:sub>
              <m:r>
                <m:rPr/>
                <m:t>c</m:t>
              </m:r>
              <m:r>
                <m:rPr>
                  <m:sty m:val="p"/>
                </m:rPr>
                <m:t>=</m:t>
              </m:r>
              <m:r>
                <m:rPr/>
                <m:t>1</m:t>
              </m:r>
            </m:sub>
            <m:sup>
              <m:r>
                <m:rPr/>
                <m:t>C</m:t>
              </m:r>
            </m:sup>
            <m:e>
              <m:f>
                <m:fPr/>
                <m:num>
                  <m:r>
                    <m:rPr/>
                    <m:t>1</m:t>
                  </m:r>
                </m:num>
                <m:den>
                  <m:sSub>
                    <m:sSubPr/>
                    <m:e>
                      <m:r>
                        <m:rPr/>
                        <m:t>r</m:t>
                      </m:r>
                    </m:e>
                    <m:sub>
                      <m:r>
                        <m:rPr/>
                        <m:t>c</m:t>
                      </m:r>
                    </m:sub>
                  </m:sSub>
                </m:den>
              </m:f>
            </m:e>
          </m:nary>
        </m:oMath>
      </m:oMathPara>
    </w:p>
    <w:p w14:paraId="6856D6CE">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If the true root cause service does not appear in the candidate ranking, the current program assigns a reciprocal rank of zero to that case. These metrics are calculated using the project’s current case-level ranking procedure. Without corresponding execution records, they should not be described as results produced by the official RCAEval evaluation program.</w:t>
      </w:r>
    </w:p>
    <w:bookmarkEnd w:id="37"/>
    <w:bookmarkEnd w:id="39"/>
    <w:p w14:paraId="030C12FE">
      <w:pPr>
        <w:pStyle w:val="4"/>
        <w:keepNext w:val="0"/>
        <w:keepLines w:val="0"/>
        <w:widowControl/>
        <w:suppressLineNumbers w:val="0"/>
        <w:rPr>
          <w:rFonts w:hint="default" w:ascii="Times New Roman" w:hAnsi="Times New Roman" w:cs="Times New Roman"/>
          <w:color w:val="auto"/>
          <w:sz w:val="28"/>
          <w:szCs w:val="28"/>
        </w:rPr>
      </w:pPr>
      <w:bookmarkStart w:id="40" w:name="_Toc14915"/>
      <w:r>
        <w:rPr>
          <w:rFonts w:hint="default" w:ascii="Times New Roman" w:hAnsi="Times New Roman" w:cs="Times New Roman"/>
          <w:color w:val="auto"/>
          <w:sz w:val="28"/>
          <w:szCs w:val="28"/>
        </w:rPr>
        <w:t>3.7 Chapter Summary</w:t>
      </w:r>
      <w:bookmarkEnd w:id="40"/>
    </w:p>
    <w:p w14:paraId="6C6343D4">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This chapter has presented a method for microservice log anomaly detection and root cause localization that combines large language model-based semantic representations with graph neural networks. First, logs are organized into fixed-length time windows, and window-level anomaly labels are generated according to fault injection times. Log embeddings are then obtained through the semantic representation pipeline associated with Qwen2.5-7B-Instruct and combined with log counts, error-log ratios, and warning-log ratios to form service-node features. Microservice call graphs are further constructed from parent-child Span relationships in Trace data to represent service dependencies.</w:t>
      </w:r>
    </w:p>
    <w:p w14:paraId="5F01D001">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For graph modeling, GCN, GAT, and GATv2 are used as alternative graph encoders, with a graph-level anomaly detection head and a node-level root cause localization head. The model is trained using a weighted joint loss. The two tasks are evaluated using Precision, Recall, F1, ROC-AUC, and PR-AUC for anomaly detection, and Top-1, Top-3, Top-5, and MRR for root cause localization.</w:t>
      </w:r>
    </w:p>
    <w:p w14:paraId="6038436C">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r>
        <w:rPr>
          <w:rFonts w:hint="default" w:ascii="Times New Roman" w:hAnsi="Times New Roman" w:cs="Times New Roman"/>
        </w:rPr>
        <w:t>The descriptions in this chapter are based on the actual code and configuration currently provided. The implementation does not use aggregated monitoring metrics as node input features or Trace call statistics as explicit edge features. Qwen embeddings are supplied to the graph model as precomputed representations. These implementation boundaries form the basis for the experimental settings and result analysis in the following chapter.</w:t>
      </w:r>
    </w:p>
    <w:p w14:paraId="43347457">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sectPr>
          <w:pgSz w:w="11906" w:h="16838"/>
          <w:pgMar w:top="1440" w:right="1800" w:bottom="1440" w:left="1800" w:header="851" w:footer="992" w:gutter="0"/>
          <w:cols w:space="425" w:num="1"/>
          <w:docGrid w:type="lines" w:linePitch="312" w:charSpace="0"/>
        </w:sectPr>
      </w:pPr>
    </w:p>
    <w:p w14:paraId="027979D0">
      <w:pPr>
        <w:pStyle w:val="12"/>
        <w:keepNext w:val="0"/>
        <w:keepLines w:val="0"/>
        <w:pageBreakBefore w:val="0"/>
        <w:widowControl/>
        <w:suppressLineNumbers w:val="0"/>
        <w:kinsoku/>
        <w:wordWrap w:val="0"/>
        <w:overflowPunct/>
        <w:topLinePunct w:val="0"/>
        <w:autoSpaceDE w:val="0"/>
        <w:autoSpaceDN w:val="0"/>
        <w:bidi w:val="0"/>
        <w:adjustRightInd/>
        <w:snapToGrid/>
        <w:spacing w:line="360" w:lineRule="auto"/>
        <w:textAlignment w:val="auto"/>
        <w:rPr>
          <w:rFonts w:hint="default" w:ascii="Times New Roman" w:hAnsi="Times New Roman" w:cs="Times New Roman"/>
        </w:rPr>
      </w:pPr>
    </w:p>
    <w:p w14:paraId="5FAF1A96">
      <w:pPr>
        <w:pStyle w:val="2"/>
        <w:keepNext w:val="0"/>
        <w:keepLines w:val="0"/>
        <w:widowControl/>
        <w:suppressLineNumbers w:val="0"/>
      </w:pPr>
      <w:bookmarkStart w:id="41" w:name="_Toc19810"/>
      <w:r>
        <w:rPr>
          <w:color w:val="auto"/>
        </w:rPr>
        <w:t>References</w:t>
      </w:r>
      <w:bookmarkEnd w:id="41"/>
      <w:r>
        <w:t xml:space="preserve"> </w:t>
      </w:r>
    </w:p>
    <w:p w14:paraId="69262311">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P. He, J. Zhu, Z. Zheng and M. R. Lyu, "Drain: An Online Log Parsing Approach with Fixed Depth Tree," in 2017 IEEE International Conference on Web Services (ICWS), Honolulu, HI, 2017, pp. 33-40, doi: 10.1109/ICWS.2017.13.</w:t>
      </w:r>
    </w:p>
    <w:p w14:paraId="5346DA9D">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DU M, LI F, ZHENG G, SRIKUMAR V. DeepLog: Anomaly Detection and Diagnosis from System Logs through Deep Learning[C]//Proceedings of the 2017 ACM SIGSAC Conference on Computer and Communications Security (CCS). 2017: 1285–1298. DOI: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"https://doi.org/10.1145/3133956.3134015?utm_source=chatgpt.com" </w:instrText>
      </w:r>
      <w:r>
        <w:rPr>
          <w:rFonts w:ascii="SimSun" w:hAnsi="SimSun" w:eastAsia="SimSun" w:cs="SimSun"/>
          <w:sz w:val="24"/>
          <w:szCs w:val="24"/>
        </w:rPr>
        <w:fldChar w:fldCharType="separate"/>
      </w:r>
      <w:r>
        <w:rPr>
          <w:rFonts w:ascii="SimSun" w:hAnsi="SimSun" w:eastAsia="SimSun" w:cs="SimSun"/>
          <w:sz w:val="24"/>
          <w:szCs w:val="24"/>
        </w:rPr>
        <w:t>10.1145/3133956.3134015</w:t>
      </w:r>
      <w:r>
        <w:rPr>
          <w:rFonts w:ascii="SimSun" w:hAnsi="SimSun" w:eastAsia="SimSun" w:cs="SimSun"/>
          <w:sz w:val="24"/>
          <w:szCs w:val="24"/>
        </w:rPr>
        <w:fldChar w:fldCharType="end"/>
      </w:r>
      <w:r>
        <w:rPr>
          <w:rFonts w:ascii="SimSun" w:hAnsi="SimSun" w:eastAsia="SimSun" w:cs="SimSun"/>
          <w:sz w:val="24"/>
          <w:szCs w:val="24"/>
        </w:rPr>
        <w:t>.</w:t>
      </w:r>
    </w:p>
    <w:p w14:paraId="717412DB">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MENG W, LIU Y, ZHU Y, et al. LogAnomaly: Unsupervised Detection of Sequential and Quantitative Anomalies in Unstructured Logs[C]//Proceedings of the Twenty-Eighth International Joint Conference on Artificial Intelligence (IJCAI). 2019: 4739–4745. DOI: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"https://doi.org/10.24963/ijcai.2019/658?utm_source=chatgpt.com" </w:instrText>
      </w:r>
      <w:r>
        <w:rPr>
          <w:rFonts w:ascii="SimSun" w:hAnsi="SimSun" w:eastAsia="SimSun" w:cs="SimSun"/>
          <w:sz w:val="24"/>
          <w:szCs w:val="24"/>
        </w:rPr>
        <w:fldChar w:fldCharType="separate"/>
      </w:r>
      <w:r>
        <w:rPr>
          <w:rFonts w:ascii="SimSun" w:hAnsi="SimSun" w:eastAsia="SimSun" w:cs="SimSun"/>
          <w:sz w:val="24"/>
          <w:szCs w:val="24"/>
        </w:rPr>
        <w:t>10.24963/ijcai.2019/658</w:t>
      </w:r>
      <w:r>
        <w:rPr>
          <w:rFonts w:ascii="SimSun" w:hAnsi="SimSun" w:eastAsia="SimSun" w:cs="SimSun"/>
          <w:sz w:val="24"/>
          <w:szCs w:val="24"/>
        </w:rPr>
        <w:fldChar w:fldCharType="end"/>
      </w:r>
      <w:r>
        <w:rPr>
          <w:rFonts w:ascii="SimSun" w:hAnsi="SimSun" w:eastAsia="SimSun" w:cs="SimSun"/>
          <w:sz w:val="24"/>
          <w:szCs w:val="24"/>
        </w:rPr>
        <w:t>.</w:t>
      </w:r>
    </w:p>
    <w:p w14:paraId="51342B7B">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GUAN W, CAO J, QIAN S, et al. LogLLM: Log-based Anomaly Detection Using Large Language Models[EB/OL]. arXiv:2411.08561, 2024. </w:t>
      </w:r>
      <w:r>
        <w:rPr>
          <w:rFonts w:ascii="SimSun" w:hAnsi="SimSun" w:eastAsia="SimSun" w:cs="SimSun"/>
          <w:sz w:val="24"/>
          <w:szCs w:val="24"/>
        </w:rPr>
        <w:fldChar w:fldCharType="begin"/>
      </w:r>
      <w:r>
        <w:rPr>
          <w:rFonts w:ascii="SimSun" w:hAnsi="SimSun" w:eastAsia="SimSun" w:cs="SimSun"/>
          <w:sz w:val="24"/>
          <w:szCs w:val="24"/>
        </w:rPr>
        <w:instrText xml:space="preserve"> HYPERLINK "https://arxiv.org/abs/2411.08561?utm_source=chatgpt.com" </w:instrText>
      </w:r>
      <w:r>
        <w:rPr>
          <w:rFonts w:ascii="SimSun" w:hAnsi="SimSun" w:eastAsia="SimSun" w:cs="SimSun"/>
          <w:sz w:val="24"/>
          <w:szCs w:val="24"/>
        </w:rPr>
        <w:fldChar w:fldCharType="separate"/>
      </w:r>
      <w:r>
        <w:rPr>
          <w:rFonts w:ascii="SimSun" w:hAnsi="SimSun" w:eastAsia="SimSun" w:cs="SimSun"/>
          <w:sz w:val="24"/>
          <w:szCs w:val="24"/>
        </w:rPr>
        <w:t>https://arxiv.org/abs/2411.08561</w:t>
      </w:r>
      <w:r>
        <w:rPr>
          <w:rFonts w:ascii="SimSun" w:hAnsi="SimSun" w:eastAsia="SimSun" w:cs="SimSun"/>
          <w:sz w:val="24"/>
          <w:szCs w:val="24"/>
        </w:rPr>
        <w:fldChar w:fldCharType="end"/>
      </w:r>
      <w:r>
        <w:rPr>
          <w:rFonts w:ascii="SimSun" w:hAnsi="SimSun" w:eastAsia="SimSun" w:cs="SimSun"/>
          <w:sz w:val="24"/>
          <w:szCs w:val="24"/>
        </w:rPr>
        <w:t>.</w:t>
      </w:r>
    </w:p>
    <w:p w14:paraId="6CF1F4C8">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PHAM L, HA H, ZHANG H. Root Cause Analysis for Microservice System based on Causal Inference: How Far Are We?[C]//Proceedings of the 39th IEEE/ACM International Conference on Automated Software Engineering (ASE). 2024: 706–715. DOI: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"https://doi.org/10.1145/3691620.3695065?utm_source=chatgpt.com" </w:instrText>
      </w:r>
      <w:r>
        <w:rPr>
          <w:rFonts w:ascii="SimSun" w:hAnsi="SimSun" w:eastAsia="SimSun" w:cs="SimSun"/>
          <w:sz w:val="24"/>
          <w:szCs w:val="24"/>
        </w:rPr>
        <w:fldChar w:fldCharType="separate"/>
      </w:r>
      <w:r>
        <w:rPr>
          <w:rFonts w:ascii="SimSun" w:hAnsi="SimSun" w:eastAsia="SimSun" w:cs="SimSun"/>
          <w:sz w:val="24"/>
          <w:szCs w:val="24"/>
        </w:rPr>
        <w:t>10.1145/3691620.3695065</w:t>
      </w:r>
      <w:r>
        <w:rPr>
          <w:rFonts w:ascii="SimSun" w:hAnsi="SimSun" w:eastAsia="SimSun" w:cs="SimSun"/>
          <w:sz w:val="24"/>
          <w:szCs w:val="24"/>
        </w:rPr>
        <w:fldChar w:fldCharType="end"/>
      </w:r>
      <w:r>
        <w:rPr>
          <w:rFonts w:ascii="SimSun" w:hAnsi="SimSun" w:eastAsia="SimSun" w:cs="SimSun"/>
          <w:sz w:val="24"/>
          <w:szCs w:val="24"/>
        </w:rPr>
        <w:t>.</w:t>
      </w:r>
    </w:p>
    <w:p w14:paraId="133AA712">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PHAM L, ZHANG H, HA H, SALIM F, ZHANG X. RCAEval: A Benchmark for Root Cause Analysis of Microservice Systems with Telemetry Data[C]//Companion Proceedings of the ACM Web Conference 2025 (WWW Companion). 2025: 777–780. DOI: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"https://doi.org/10.1145/3701716.3715290?utm_source=chatgpt.com" </w:instrText>
      </w:r>
      <w:r>
        <w:rPr>
          <w:rFonts w:ascii="SimSun" w:hAnsi="SimSun" w:eastAsia="SimSun" w:cs="SimSun"/>
          <w:sz w:val="24"/>
          <w:szCs w:val="24"/>
        </w:rPr>
        <w:fldChar w:fldCharType="separate"/>
      </w:r>
      <w:r>
        <w:rPr>
          <w:rFonts w:ascii="SimSun" w:hAnsi="SimSun" w:eastAsia="SimSun" w:cs="SimSun"/>
          <w:sz w:val="24"/>
          <w:szCs w:val="24"/>
        </w:rPr>
        <w:t>10.1145/3701716.3715290</w:t>
      </w:r>
      <w:r>
        <w:rPr>
          <w:rFonts w:ascii="SimSun" w:hAnsi="SimSun" w:eastAsia="SimSun" w:cs="SimSun"/>
          <w:sz w:val="24"/>
          <w:szCs w:val="24"/>
        </w:rPr>
        <w:fldChar w:fldCharType="end"/>
      </w:r>
      <w:r>
        <w:rPr>
          <w:rFonts w:ascii="SimSun" w:hAnsi="SimSun" w:eastAsia="SimSun" w:cs="SimSun"/>
          <w:sz w:val="24"/>
          <w:szCs w:val="24"/>
        </w:rPr>
        <w:t>.</w:t>
      </w:r>
    </w:p>
    <w:p w14:paraId="57C7A0D3">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ZHANG X, XU Y, LIN Q, et al. Robust Log-Based Anomaly Detection on Unstable Log Data[C]//Proceedings of the 27th ACM Joint European Software Engineering Conference and Symposium on the Foundations of Software Engineering (ESEC/FSE). 2019: 162–172. DOI: </w:t>
      </w:r>
      <w:r>
        <w:rPr>
          <w:rFonts w:ascii="SimSun" w:hAnsi="SimSun" w:eastAsia="SimSun" w:cs="SimSun"/>
          <w:sz w:val="24"/>
          <w:szCs w:val="24"/>
        </w:rPr>
        <w:fldChar w:fldCharType="begin"/>
      </w:r>
      <w:r>
        <w:rPr>
          <w:rFonts w:ascii="SimSun" w:hAnsi="SimSun" w:eastAsia="SimSun" w:cs="SimSun"/>
          <w:sz w:val="24"/>
          <w:szCs w:val="24"/>
        </w:rPr>
        <w:instrText xml:space="preserve"> HYPERLINK "https://doi.org/10.1145/3338906.3338931?utm_source=chatgpt.com" </w:instrText>
      </w:r>
      <w:r>
        <w:rPr>
          <w:rFonts w:ascii="SimSun" w:hAnsi="SimSun" w:eastAsia="SimSun" w:cs="SimSun"/>
          <w:sz w:val="24"/>
          <w:szCs w:val="24"/>
        </w:rPr>
        <w:fldChar w:fldCharType="separate"/>
      </w:r>
      <w:r>
        <w:rPr>
          <w:rFonts w:ascii="SimSun" w:hAnsi="SimSun" w:eastAsia="SimSun" w:cs="SimSun"/>
          <w:sz w:val="24"/>
          <w:szCs w:val="24"/>
        </w:rPr>
        <w:t>10.1145/3338906.3338931</w:t>
      </w:r>
      <w:r>
        <w:rPr>
          <w:rFonts w:ascii="SimSun" w:hAnsi="SimSun" w:eastAsia="SimSun" w:cs="SimSun"/>
          <w:sz w:val="24"/>
          <w:szCs w:val="24"/>
        </w:rPr>
        <w:fldChar w:fldCharType="end"/>
      </w:r>
      <w:r>
        <w:rPr>
          <w:rFonts w:ascii="SimSun" w:hAnsi="SimSun" w:eastAsia="SimSun" w:cs="SimSun"/>
          <w:sz w:val="24"/>
          <w:szCs w:val="24"/>
        </w:rPr>
        <w:t>.</w:t>
      </w:r>
    </w:p>
    <w:p w14:paraId="5F9863A2">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KIPF T N, WELLING M. Semi-Supervised Classification with Graph Convolutional Networks[C]//International Conference on Learning Representations (ICLR). 2017. </w:t>
      </w:r>
    </w:p>
    <w:p w14:paraId="7A09D31C">
      <w:pPr>
        <w:pStyle w:val="12"/>
        <w:keepNext w:val="0"/>
        <w:keepLines w:val="0"/>
        <w:widowControl/>
        <w:numPr>
          <w:ilvl w:val="0"/>
          <w:numId w:val="1"/>
        </w:numPr>
        <w:suppressLineNumbers w:val="0"/>
        <w:rPr>
          <w:rFonts w:ascii="SimSun" w:hAnsi="SimSun" w:eastAsia="SimSun" w:cs="SimSun"/>
          <w:sz w:val="24"/>
          <w:szCs w:val="24"/>
        </w:rPr>
      </w:pPr>
      <w:r>
        <w:rPr>
          <w:rFonts w:ascii="SimSun" w:hAnsi="SimSun" w:eastAsia="SimSun" w:cs="SimSun"/>
          <w:sz w:val="24"/>
          <w:szCs w:val="24"/>
        </w:rPr>
        <w:t xml:space="preserve">VELIČKOVIĆ P, CUCURULL G, CASANOVA A, et al. Graph Attention Networks[C]//International Conference on Learning Representations (ICLR). 2018. </w:t>
      </w:r>
    </w:p>
    <w:p w14:paraId="2C539E16">
      <w:pPr>
        <w:pStyle w:val="12"/>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imSun" w:hAnsi="SimSun" w:eastAsia="SimSun" w:cs="SimSun"/>
          <w:sz w:val="24"/>
          <w:szCs w:val="24"/>
        </w:rPr>
        <w:t>BRODY S, ALON U, YAHAV E. How Attentive Are Graph Attention Networks?[C]//International Conference on Learning Representations (ICLR). 2022.</w:t>
      </w:r>
      <w:r>
        <w:rPr>
          <w:rFonts w:ascii="sans-serif" w:hAnsi="sans-serif" w:eastAsia="sans-serif" w:cs="sans-serif"/>
          <w:i w:val="0"/>
          <w:iCs w:val="0"/>
          <w:caps w:val="0"/>
          <w:color w:val="333333"/>
          <w:spacing w:val="0"/>
          <w:sz w:val="21"/>
          <w:szCs w:val="21"/>
          <w:shd w:val="clear" w:fill="FFFFFF"/>
        </w:rPr>
        <w:t xml:space="preserve"> </w:t>
      </w:r>
    </w:p>
    <w:p w14:paraId="07AFE04A">
      <w:pPr>
        <w:pStyle w:val="12"/>
        <w:keepNext w:val="0"/>
        <w:keepLines w:val="0"/>
        <w:widowControl/>
        <w:numPr>
          <w:ilvl w:val="0"/>
          <w:numId w:val="1"/>
        </w:numPr>
        <w:suppressLineNumbers w:val="0"/>
        <w:rPr>
          <w:rFonts w:ascii="sans-serif" w:hAnsi="sans-serif" w:eastAsia="sans-serif" w:cs="sans-serif"/>
          <w:i w:val="0"/>
          <w:iCs w:val="0"/>
          <w:caps w:val="0"/>
          <w:color w:val="333333"/>
          <w:spacing w:val="0"/>
          <w:sz w:val="21"/>
          <w:szCs w:val="21"/>
          <w:shd w:val="clear" w:fill="FFFFFF"/>
        </w:rPr>
      </w:pPr>
      <w:r>
        <w:rPr>
          <w:rFonts w:ascii="SimSun" w:hAnsi="SimSun" w:eastAsia="SimSun" w:cs="SimSun"/>
          <w:sz w:val="24"/>
          <w:szCs w:val="24"/>
        </w:rPr>
        <w:t>QWEN, AN Y, YANG B, et al. Qwen2.5 Technical Report[EB/OL]. 2024.</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맑은 고딕">
    <w:panose1 w:val="020B0503020000020004"/>
    <w:charset w:val="81"/>
    <w:family w:val="modern"/>
    <w:pitch w:val="default"/>
    <w:sig w:usb0="9000002F" w:usb1="29D77CFB" w:usb2="00000012" w:usb3="00000000" w:csb0="00080001" w:csb1="00000000"/>
  </w:font>
  <w:font w:name="굴림">
    <w:panose1 w:val="020B0600000101010101"/>
    <w:charset w:val="81"/>
    <w:family w:val="modern"/>
    <w:pitch w:val="default"/>
    <w:sig w:usb0="B00002AF" w:usb1="69D77CFB" w:usb2="00000030" w:usb3="00000000" w:csb0="4008009F" w:csb1="DFD7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sans-serif">
    <w:altName w:val="한컴 고딕"/>
    <w:panose1 w:val="00000000000000000000"/>
    <w:charset w:val="00"/>
    <w:family w:val="auto"/>
    <w:pitch w:val="default"/>
    <w:sig w:usb0="00000000" w:usb1="00000000" w:usb2="00000000" w:usb3="00000000" w:csb0="00000000" w:csb1="00000000"/>
  </w:font>
  <w:font w:name="한컴 고딕">
    <w:panose1 w:val="02000500000000000000"/>
    <w:charset w:val="81"/>
    <w:family w:val="auto"/>
    <w:pitch w:val="default"/>
    <w:sig w:usb0="900002A7" w:usb1="39D7FCFB" w:usb2="00000010" w:usb3="00000000" w:csb0="00080001" w:csb1="00000000"/>
  </w:font>
  <w:font w:name="MS PGothic">
    <w:panose1 w:val="020B0600070205080204"/>
    <w:charset w:val="80"/>
    <w:family w:val="auto"/>
    <w:pitch w:val="default"/>
    <w:sig w:usb0="E00002FF" w:usb1="6AC7FDFB" w:usb2="08000012" w:usb3="00000000" w:csb0="4002009F" w:csb1="DFD7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Mincho">
    <w:altName w:val="한컴 고딕"/>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98795"/>
    <w:multiLevelType w:val="singleLevel"/>
    <w:tmpl w:val="5B498795"/>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800"/>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068"/>
    <w:rsid w:val="00042D4B"/>
    <w:rsid w:val="000809AA"/>
    <w:rsid w:val="00147035"/>
    <w:rsid w:val="00196B73"/>
    <w:rsid w:val="00226E0A"/>
    <w:rsid w:val="002820F1"/>
    <w:rsid w:val="002C1562"/>
    <w:rsid w:val="003204A9"/>
    <w:rsid w:val="003B531E"/>
    <w:rsid w:val="00405917"/>
    <w:rsid w:val="00474C15"/>
    <w:rsid w:val="004E1F1B"/>
    <w:rsid w:val="005E561C"/>
    <w:rsid w:val="006A43F4"/>
    <w:rsid w:val="006C42EB"/>
    <w:rsid w:val="0072571F"/>
    <w:rsid w:val="0079146E"/>
    <w:rsid w:val="007B1AE7"/>
    <w:rsid w:val="007C448B"/>
    <w:rsid w:val="007D6E9B"/>
    <w:rsid w:val="0080567B"/>
    <w:rsid w:val="00810538"/>
    <w:rsid w:val="0087470C"/>
    <w:rsid w:val="008E4C28"/>
    <w:rsid w:val="00925DEB"/>
    <w:rsid w:val="009D418B"/>
    <w:rsid w:val="009D5791"/>
    <w:rsid w:val="00A03F94"/>
    <w:rsid w:val="00A1143F"/>
    <w:rsid w:val="00A42307"/>
    <w:rsid w:val="00A579A2"/>
    <w:rsid w:val="00AD76D2"/>
    <w:rsid w:val="00B1181C"/>
    <w:rsid w:val="00B82F2E"/>
    <w:rsid w:val="00C07068"/>
    <w:rsid w:val="00C36C89"/>
    <w:rsid w:val="00C36DA2"/>
    <w:rsid w:val="00CB3D0A"/>
    <w:rsid w:val="00CF18F5"/>
    <w:rsid w:val="00D47D9E"/>
    <w:rsid w:val="00D74031"/>
    <w:rsid w:val="00E3520E"/>
    <w:rsid w:val="00E5138E"/>
    <w:rsid w:val="00EC59E3"/>
    <w:rsid w:val="00ED325A"/>
    <w:rsid w:val="00F51F48"/>
    <w:rsid w:val="00F743F7"/>
    <w:rsid w:val="00F750C4"/>
    <w:rsid w:val="00FC0BB3"/>
    <w:rsid w:val="00FD05F4"/>
    <w:rsid w:val="00FD3038"/>
    <w:rsid w:val="00FF1A79"/>
    <w:rsid w:val="08434475"/>
    <w:rsid w:val="1546644C"/>
    <w:rsid w:val="165B7976"/>
    <w:rsid w:val="2BCC5762"/>
    <w:rsid w:val="2D1230D1"/>
    <w:rsid w:val="357F0979"/>
    <w:rsid w:val="3FB3016B"/>
    <w:rsid w:val="406F7548"/>
    <w:rsid w:val="42E801E3"/>
    <w:rsid w:val="5E390636"/>
    <w:rsid w:val="63D026D5"/>
    <w:rsid w:val="6EA3226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autoSpaceDE w:val="0"/>
      <w:autoSpaceDN w:val="0"/>
      <w:spacing w:after="160" w:line="259" w:lineRule="auto"/>
      <w:jc w:val="both"/>
    </w:pPr>
    <w:rPr>
      <w:rFonts w:asciiTheme="minorHAnsi" w:hAnsiTheme="minorHAnsi" w:eastAsiaTheme="minorEastAsia" w:cstheme="minorBidi"/>
      <w:kern w:val="2"/>
      <w:szCs w:val="22"/>
      <w:lang w:val="en-US" w:eastAsia="ko-KR"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5B9BD5" w:themeColor="accent1"/>
      <w14:textFill>
        <w14:solidFill>
          <w14:schemeClr w14:val="accent1"/>
        </w14:solidFill>
      </w14:textFill>
    </w:rPr>
  </w:style>
  <w:style w:type="paragraph" w:styleId="6">
    <w:name w:val="heading 4"/>
    <w:basedOn w:val="1"/>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5"/>
    <w:qFormat/>
    <w:uiPriority w:val="0"/>
    <w:pPr>
      <w:spacing w:before="180" w:after="180"/>
    </w:pPr>
  </w:style>
  <w:style w:type="paragraph" w:styleId="7">
    <w:name w:val="Balloon Text"/>
    <w:basedOn w:val="1"/>
    <w:link w:val="19"/>
    <w:semiHidden/>
    <w:unhideWhenUsed/>
    <w:qFormat/>
    <w:uiPriority w:val="99"/>
    <w:pPr>
      <w:spacing w:after="0" w:line="240" w:lineRule="auto"/>
    </w:pPr>
    <w:rPr>
      <w:rFonts w:asciiTheme="majorHAnsi" w:hAnsiTheme="majorHAnsi" w:eastAsiaTheme="majorEastAsia" w:cstheme="majorBidi"/>
      <w:sz w:val="18"/>
      <w:szCs w:val="18"/>
    </w:rPr>
  </w:style>
  <w:style w:type="paragraph" w:styleId="8">
    <w:name w:val="footer"/>
    <w:basedOn w:val="1"/>
    <w:link w:val="18"/>
    <w:unhideWhenUsed/>
    <w:qFormat/>
    <w:uiPriority w:val="99"/>
    <w:pPr>
      <w:tabs>
        <w:tab w:val="center" w:pos="4513"/>
        <w:tab w:val="right" w:pos="9026"/>
      </w:tabs>
      <w:snapToGrid w:val="0"/>
    </w:pPr>
  </w:style>
  <w:style w:type="paragraph" w:styleId="9">
    <w:name w:val="header"/>
    <w:basedOn w:val="1"/>
    <w:link w:val="17"/>
    <w:unhideWhenUsed/>
    <w:qFormat/>
    <w:uiPriority w:val="99"/>
    <w:pPr>
      <w:tabs>
        <w:tab w:val="center" w:pos="4513"/>
        <w:tab w:val="right" w:pos="9026"/>
      </w:tabs>
      <w:snapToGrid w:val="0"/>
    </w:pPr>
  </w:style>
  <w:style w:type="paragraph" w:styleId="10">
    <w:name w:val="toc 1"/>
    <w:basedOn w:val="1"/>
    <w:next w:val="1"/>
    <w:autoRedefine/>
    <w:qFormat/>
    <w:uiPriority w:val="39"/>
    <w:pPr>
      <w:widowControl/>
      <w:tabs>
        <w:tab w:val="right" w:leader="dot" w:pos="9350"/>
      </w:tabs>
      <w:wordWrap/>
      <w:autoSpaceDE/>
      <w:autoSpaceDN/>
      <w:spacing w:after="0" w:line="360" w:lineRule="auto"/>
      <w:ind w:left="432" w:hanging="432"/>
      <w:jc w:val="left"/>
    </w:pPr>
    <w:rPr>
      <w:rFonts w:ascii="Times New Roman" w:hAnsi="Times New Roman" w:eastAsia="Times New Roman" w:cs="Times New Roman"/>
      <w:kern w:val="0"/>
      <w:sz w:val="24"/>
      <w:szCs w:val="24"/>
      <w:lang w:eastAsia="en-US"/>
    </w:rPr>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5">
    <w:name w:val="Hyperlink"/>
    <w:basedOn w:val="14"/>
    <w:qFormat/>
    <w:uiPriority w:val="99"/>
    <w:rPr>
      <w:color w:val="0000FF"/>
      <w:u w:val="single"/>
    </w:rPr>
  </w:style>
  <w:style w:type="paragraph" w:customStyle="1" w:styleId="16">
    <w:name w:val="바탕글"/>
    <w:basedOn w:val="1"/>
    <w:qFormat/>
    <w:uiPriority w:val="0"/>
    <w:pPr>
      <w:spacing w:after="0" w:line="384" w:lineRule="auto"/>
      <w:textAlignment w:val="baseline"/>
    </w:pPr>
    <w:rPr>
      <w:rFonts w:ascii="굴림" w:hAnsi="굴림" w:eastAsia="굴림" w:cs="굴림"/>
      <w:color w:val="000000"/>
      <w:kern w:val="0"/>
      <w:szCs w:val="20"/>
    </w:rPr>
  </w:style>
  <w:style w:type="character" w:customStyle="1" w:styleId="17">
    <w:name w:val="머리글 Char"/>
    <w:basedOn w:val="14"/>
    <w:link w:val="9"/>
    <w:qFormat/>
    <w:uiPriority w:val="99"/>
  </w:style>
  <w:style w:type="character" w:customStyle="1" w:styleId="18">
    <w:name w:val="바닥글 Char"/>
    <w:basedOn w:val="14"/>
    <w:link w:val="8"/>
    <w:qFormat/>
    <w:uiPriority w:val="99"/>
  </w:style>
  <w:style w:type="character" w:customStyle="1" w:styleId="19">
    <w:name w:val="풍선 도움말 텍스트 Char"/>
    <w:basedOn w:val="14"/>
    <w:link w:val="7"/>
    <w:semiHidden/>
    <w:qFormat/>
    <w:uiPriority w:val="99"/>
    <w:rPr>
      <w:rFonts w:asciiTheme="majorHAnsi" w:hAnsiTheme="majorHAnsi" w:eastAsiaTheme="majorEastAsia" w:cstheme="majorBidi"/>
      <w:sz w:val="18"/>
      <w:szCs w:val="18"/>
    </w:rPr>
  </w:style>
  <w:style w:type="paragraph" w:customStyle="1" w:styleId="20">
    <w:name w:val="Normal1"/>
    <w:qFormat/>
    <w:uiPriority w:val="0"/>
    <w:pPr>
      <w:spacing w:before="100" w:beforeAutospacing="1" w:after="200" w:line="273" w:lineRule="auto"/>
    </w:pPr>
    <w:rPr>
      <w:rFonts w:ascii="Cambria" w:hAnsi="Cambria" w:eastAsia="MS Mincho" w:cs="Times New Roman"/>
      <w:sz w:val="22"/>
      <w:szCs w:val="22"/>
      <w:lang w:val="en-US" w:eastAsia="ko-KR" w:bidi="ar-SA"/>
    </w:rPr>
  </w:style>
  <w:style w:type="paragraph" w:customStyle="1" w:styleId="21">
    <w:name w:val="Heading 11"/>
    <w:basedOn w:val="1"/>
    <w:next w:val="20"/>
    <w:qFormat/>
    <w:uiPriority w:val="0"/>
    <w:pPr>
      <w:keepNext/>
      <w:keepLines/>
      <w:wordWrap/>
      <w:autoSpaceDE/>
      <w:autoSpaceDN/>
      <w:spacing w:before="480" w:after="0" w:line="273" w:lineRule="auto"/>
      <w:jc w:val="left"/>
      <w:outlineLvl w:val="0"/>
    </w:pPr>
    <w:rPr>
      <w:rFonts w:ascii="Calibri" w:hAnsi="Calibri" w:eastAsia="MS Gothic" w:cs="Times New Roman"/>
      <w:b/>
      <w:bCs/>
      <w:color w:val="366091"/>
      <w:kern w:val="0"/>
      <w:sz w:val="28"/>
      <w:szCs w:val="28"/>
    </w:rPr>
  </w:style>
  <w:style w:type="paragraph" w:customStyle="1" w:styleId="22">
    <w:name w:val="Heading 21"/>
    <w:basedOn w:val="1"/>
    <w:next w:val="20"/>
    <w:semiHidden/>
    <w:qFormat/>
    <w:uiPriority w:val="0"/>
    <w:pPr>
      <w:keepNext/>
      <w:keepLines/>
      <w:wordWrap/>
      <w:autoSpaceDE/>
      <w:autoSpaceDN/>
      <w:spacing w:before="200" w:after="0" w:line="273" w:lineRule="auto"/>
      <w:jc w:val="left"/>
      <w:outlineLvl w:val="1"/>
    </w:pPr>
    <w:rPr>
      <w:rFonts w:ascii="Calibri" w:hAnsi="Calibri" w:eastAsia="MS Gothic" w:cs="Times New Roman"/>
      <w:b/>
      <w:bCs/>
      <w:color w:val="4F81BD"/>
      <w:kern w:val="0"/>
      <w:sz w:val="26"/>
      <w:szCs w:val="26"/>
    </w:rPr>
  </w:style>
  <w:style w:type="paragraph" w:customStyle="1" w:styleId="23">
    <w:name w:val="First Paragraph"/>
    <w:basedOn w:val="3"/>
    <w:next w:val="3"/>
    <w:qFormat/>
    <w:uiPriority w:val="0"/>
  </w:style>
  <w:style w:type="character" w:customStyle="1" w:styleId="24">
    <w:name w:val="Verbatim Char"/>
    <w:basedOn w:val="25"/>
    <w:link w:val="26"/>
    <w:qFormat/>
    <w:uiPriority w:val="0"/>
  </w:style>
  <w:style w:type="character" w:customStyle="1" w:styleId="25">
    <w:name w:val="Body Text Char"/>
    <w:basedOn w:val="14"/>
    <w:link w:val="3"/>
    <w:qFormat/>
    <w:uiPriority w:val="0"/>
  </w:style>
  <w:style w:type="paragraph" w:customStyle="1" w:styleId="26">
    <w:name w:val="Source Code"/>
    <w:basedOn w:val="1"/>
    <w:link w:val="24"/>
    <w:qFormat/>
    <w:uiPriority w:val="0"/>
    <w:pPr>
      <w:wordWrap w:val="0"/>
    </w:pPr>
  </w:style>
  <w:style w:type="paragraph" w:customStyle="1" w:styleId="27">
    <w:name w:val="Compact"/>
    <w:basedOn w:val="3"/>
    <w:qFormat/>
    <w:uiPriority w:val="0"/>
    <w:pPr>
      <w:spacing w:before="36" w:after="36"/>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43</Pages>
  <Words>62</Words>
  <Characters>382</Characters>
  <Lines>1</Lines>
  <Paragraphs>1</Paragraphs>
  <TotalTime>0</TotalTime>
  <ScaleCrop>false</ScaleCrop>
  <LinksUpToDate>false</LinksUpToDate>
  <CharactersWithSpaces>433</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2026-05-20T07:04:00Z</dcterms:created>
  <dc:creator>user</dc:creator>
  <cp:lastModifiedBy>宋钰泽</cp:lastModifiedBy>
  <cp:lastPrinted>2025-11-19T06:39:00Z</cp:lastPrinted>
  <dcterms:modified xsi:type="dcterms:W3CDTF">2026-10-27T00:52:43Z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6CC9A07FB3B34FD588D2E201BE2FB264_12</vt:lpwstr>
  </property>
  <property fmtid="{D5CDD505-2E9C-101B-9397-08002B2CF9AE}" pid="4" name="KSOTemplateDocerSaveRecord">
    <vt:lpwstr>eyJoZGlkIjoiMzkyMjc0MzhhYTkxNjU1YWM0NTExZDdmNTc1ODYxOGQiLCJ1c2VySWQiOiI1OTgzMDY0MjEifQ==</vt:lpwstr>
  </property>
</Properties>
</file>