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240" w:line="312" w:lineRule="auto"/>
        <w:jc w:val="center"/>
        <w:rPr/>
      </w:pPr>
      <w:sdt>
        <w:sdtPr>
          <w:id w:val="-982988385"/>
          <w:tag w:val="goog_rdk_0"/>
        </w:sdtPr>
        <w:sdtContent>
          <w:r w:rsidDel="00000000" w:rsidR="00000000" w:rsidRPr="00000000">
            <w:rPr>
              <w:rFonts w:ascii="Gungsuh" w:cs="Gungsuh" w:eastAsia="Gungsuh" w:hAnsi="Gungsuh"/>
              <w:b w:val="1"/>
              <w:bCs w:val="1"/>
              <w:i w:val="0"/>
              <w:iCs w:val="0"/>
              <w:color w:val="0f2043"/>
              <w:sz w:val="36"/>
              <w:szCs w:val="36"/>
              <w:rtl w:val="0"/>
            </w:rPr>
            <w:t xml:space="preserve">硕士学位论文目录大纲</w:t>
            <w:br w:type="textWrapping"/>
            <w:t xml:space="preserve">基于大语言模型与图神经网络的微服务日志异常检测及根因定位研究</w:t>
          </w:r>
        </w:sdtContent>
      </w:sdt>
      <w:r w:rsidDel="00000000" w:rsidR="00000000" w:rsidRPr="00000000">
        <w:rPr>
          <w:rtl w:val="0"/>
        </w:rPr>
      </w:r>
    </w:p>
    <w:p w:rsidR="00000000" w:rsidDel="00000000" w:rsidP="00000000" w:rsidRDefault="00000000" w:rsidRPr="00000000" w14:paraId="00000002">
      <w:pPr>
        <w:spacing w:after="480" w:lineRule="auto"/>
        <w:jc w:val="center"/>
        <w:rPr/>
      </w:pPr>
      <w:sdt>
        <w:sdtPr>
          <w:id w:val="2074703169"/>
          <w:tag w:val="goog_rdk_1"/>
        </w:sdtPr>
        <w:sdtContent>
          <w:r w:rsidDel="00000000" w:rsidR="00000000" w:rsidRPr="00000000">
            <w:rPr>
              <w:rFonts w:ascii="Gungsuh" w:cs="Gungsuh" w:eastAsia="Gungsuh" w:hAnsi="Gungsuh"/>
              <w:b w:val="0"/>
              <w:bCs w:val="0"/>
              <w:i w:val="1"/>
              <w:iCs w:val="1"/>
              <w:color w:val="646464"/>
              <w:sz w:val="21"/>
              <w:szCs w:val="21"/>
              <w:rtl w:val="0"/>
            </w:rPr>
            <w:t xml:space="preserve">专业：计算机工学  |  论文类型：学位论文</w:t>
          </w:r>
        </w:sdtContent>
      </w:sdt>
      <w:r w:rsidDel="00000000" w:rsidR="00000000" w:rsidRPr="00000000">
        <w:rPr>
          <w:rtl w:val="0"/>
        </w:rPr>
      </w:r>
    </w:p>
    <w:p w:rsidR="00000000" w:rsidDel="00000000" w:rsidP="00000000" w:rsidRDefault="00000000" w:rsidRPr="00000000" w14:paraId="00000003">
      <w:pPr>
        <w:spacing w:after="120" w:before="280" w:line="300" w:lineRule="auto"/>
        <w:rPr/>
      </w:pPr>
      <w:sdt>
        <w:sdtPr>
          <w:id w:val="69796468"/>
          <w:tag w:val="goog_rdk_2"/>
        </w:sdtPr>
        <w:sdtContent>
          <w:r w:rsidDel="00000000" w:rsidR="00000000" w:rsidRPr="00000000">
            <w:rPr>
              <w:rFonts w:ascii="Gungsuh" w:cs="Gungsuh" w:eastAsia="Gungsuh" w:hAnsi="Gungsuh"/>
              <w:b w:val="1"/>
              <w:bCs w:val="1"/>
              <w:i w:val="0"/>
              <w:iCs w:val="0"/>
              <w:color w:val="0f2043"/>
              <w:sz w:val="30"/>
              <w:szCs w:val="30"/>
              <w:rtl w:val="0"/>
            </w:rPr>
            <w:t xml:space="preserve">第 1 章 绪论</w:t>
          </w:r>
        </w:sdtContent>
      </w:sdt>
      <w:r w:rsidDel="00000000" w:rsidR="00000000" w:rsidRPr="00000000">
        <w:rPr>
          <w:rtl w:val="0"/>
        </w:rPr>
      </w:r>
    </w:p>
    <w:p w:rsidR="00000000" w:rsidDel="00000000" w:rsidP="00000000" w:rsidRDefault="00000000" w:rsidRPr="00000000" w14:paraId="00000004">
      <w:pPr>
        <w:spacing w:after="60" w:before="120" w:line="300" w:lineRule="auto"/>
        <w:ind w:left="288" w:firstLine="0"/>
        <w:rPr/>
      </w:pPr>
      <w:sdt>
        <w:sdtPr>
          <w:id w:val="817773801"/>
          <w:tag w:val="goog_rdk_3"/>
        </w:sdtPr>
        <w:sdtContent>
          <w:r w:rsidDel="00000000" w:rsidR="00000000" w:rsidRPr="00000000">
            <w:rPr>
              <w:rFonts w:ascii="Gungsuh" w:cs="Gungsuh" w:eastAsia="Gungsuh" w:hAnsi="Gungsuh"/>
              <w:b w:val="1"/>
              <w:bCs w:val="1"/>
              <w:i w:val="0"/>
              <w:iCs w:val="0"/>
              <w:color w:val="1e283c"/>
              <w:sz w:val="26"/>
              <w:szCs w:val="26"/>
              <w:rtl w:val="0"/>
            </w:rPr>
            <w:t xml:space="preserve">1.1 研究背景与意义</w:t>
          </w:r>
        </w:sdtContent>
      </w:sdt>
      <w:r w:rsidDel="00000000" w:rsidR="00000000" w:rsidRPr="00000000">
        <w:rPr>
          <w:rtl w:val="0"/>
        </w:rPr>
      </w:r>
    </w:p>
    <w:p w:rsidR="00000000" w:rsidDel="00000000" w:rsidP="00000000" w:rsidRDefault="00000000" w:rsidRPr="00000000" w14:paraId="00000005">
      <w:pPr>
        <w:spacing w:after="40" w:before="40" w:line="300" w:lineRule="auto"/>
        <w:ind w:left="576" w:firstLine="0"/>
        <w:rPr>
          <w:rFonts w:ascii="Times New Roman" w:cs="Times New Roman" w:eastAsia="Times New Roman" w:hAnsi="Times New Roman"/>
          <w:b w:val="0"/>
          <w:bCs w:val="0"/>
          <w:i w:val="0"/>
          <w:iCs w:val="0"/>
          <w:color w:val="323232"/>
          <w:sz w:val="24"/>
          <w:szCs w:val="24"/>
        </w:rPr>
      </w:pPr>
      <w:bookmarkStart w:colFirst="0" w:colLast="0" w:name="_heading=h.h0jp3wbmq7u9" w:id="0"/>
      <w:bookmarkEnd w:id="0"/>
      <w:sdt>
        <w:sdtPr>
          <w:id w:val="-1886755324"/>
          <w:tag w:val="goog_rdk_4"/>
        </w:sdtPr>
        <w:sdtContent>
          <w:r w:rsidDel="00000000" w:rsidR="00000000" w:rsidRPr="00000000">
            <w:rPr>
              <w:rFonts w:ascii="Gungsuh" w:cs="Gungsuh" w:eastAsia="Gungsuh" w:hAnsi="Gungsuh"/>
              <w:b w:val="0"/>
              <w:bCs w:val="0"/>
              <w:i w:val="0"/>
              <w:iCs w:val="0"/>
              <w:color w:val="323232"/>
              <w:sz w:val="24"/>
              <w:szCs w:val="24"/>
              <w:rtl w:val="0"/>
            </w:rPr>
            <w:t xml:space="preserve">1.1.1 微服务架构的演进与运维挑战</w:t>
          </w:r>
        </w:sdtContent>
      </w:sdt>
    </w:p>
    <w:p w:rsidR="00000000" w:rsidDel="00000000" w:rsidP="00000000" w:rsidRDefault="00000000" w:rsidRPr="00000000" w14:paraId="00000006">
      <w:pPr>
        <w:keepNext w:val="0"/>
        <w:keepLines w:val="0"/>
        <w:pageBreakBefore w:val="0"/>
        <w:widowControl w:val="1"/>
        <w:spacing w:line="360" w:lineRule="auto"/>
        <w:ind w:firstLine="440"/>
        <w:rPr/>
      </w:pPr>
      <w:r w:rsidDel="00000000" w:rsidR="00000000" w:rsidRPr="00000000">
        <w:rPr>
          <w:rtl w:val="0"/>
        </w:rPr>
        <w:t xml:space="preserve">随着云计算、云原生（Cloud Native）技术以及容器化生态（如 Docker、Kubernetes）的爆发式发展，软件系统架构经历了一次从单体应用（Monolithic）向分布式微服务架构（Microservices Architecture）的深远变革。微服务架构将复杂的单体业务系统解耦为若干个高内聚、低耦合的独立微服务，各服务间通过轻量级通信协议（如 RESTful API、gRPC、RPC 等）进行频繁的交互与协同。这种架构极大提升了开发部署的灵活性、系统的可扩展性与技术栈的多样性。</w:t>
      </w:r>
    </w:p>
    <w:p w:rsidR="00000000" w:rsidDel="00000000" w:rsidP="00000000" w:rsidRDefault="00000000" w:rsidRPr="00000000" w14:paraId="00000007">
      <w:pPr>
        <w:keepNext w:val="0"/>
        <w:keepLines w:val="0"/>
        <w:pageBreakBefore w:val="0"/>
        <w:widowControl w:val="1"/>
        <w:spacing w:line="360" w:lineRule="auto"/>
        <w:ind w:firstLine="440"/>
        <w:rPr/>
      </w:pPr>
      <w:r w:rsidDel="00000000" w:rsidR="00000000" w:rsidRPr="00000000">
        <w:rPr>
          <w:rtl w:val="0"/>
        </w:rPr>
        <w:t xml:space="preserve">在国际上，Netflix、Amazon、Google 等科技巨头率先完成微服务化重构，建立起了庞大的云原生运维体系。在国内，以阿里、腾讯、美团、字节跳动为代表的大型互联网企业以及金融、电信、政企等传统行业，也全面推进数字化转型，普遍采用了基于 Spring Cloud、Dubbo 及 Service Mesh 的微服务架构。</w:t>
      </w:r>
    </w:p>
    <w:p w:rsidR="00000000" w:rsidDel="00000000" w:rsidP="00000000" w:rsidRDefault="00000000" w:rsidRPr="00000000" w14:paraId="00000008">
      <w:pPr>
        <w:keepNext w:val="0"/>
        <w:keepLines w:val="0"/>
        <w:pageBreakBefore w:val="0"/>
        <w:widowControl w:val="1"/>
        <w:spacing w:line="360" w:lineRule="auto"/>
        <w:ind w:firstLine="440"/>
        <w:rPr>
          <w:rFonts w:ascii="Times New Roman" w:cs="Times New Roman" w:eastAsia="Times New Roman" w:hAnsi="Times New Roman"/>
          <w:b w:val="0"/>
          <w:bCs w:val="0"/>
          <w:i w:val="0"/>
          <w:iCs w:val="0"/>
          <w:color w:val="323232"/>
          <w:sz w:val="24"/>
          <w:szCs w:val="24"/>
        </w:rPr>
      </w:pPr>
      <w:r w:rsidDel="00000000" w:rsidR="00000000" w:rsidRPr="00000000">
        <w:rPr>
          <w:rtl w:val="0"/>
        </w:rPr>
        <w:t xml:space="preserve">然而，微服务架构在带来系统弹性和开发效率的同时，也给智能化运维（AIOps）特别是故障诊断带来了前所未有的挑战：</w:t>
      </w:r>
      <w:r w:rsidDel="00000000" w:rsidR="00000000" w:rsidRPr="00000000">
        <w:rPr>
          <w:rtl w:val="0"/>
        </w:rPr>
      </w:r>
    </w:p>
    <w:p w:rsidR="00000000" w:rsidDel="00000000" w:rsidP="00000000" w:rsidRDefault="00000000" w:rsidRPr="00000000" w14:paraId="00000009">
      <w:pPr>
        <w:spacing w:after="40" w:before="40" w:line="300" w:lineRule="auto"/>
        <w:ind w:left="576" w:firstLine="0"/>
        <w:rPr>
          <w:rFonts w:ascii="Times New Roman" w:cs="Times New Roman" w:eastAsia="Times New Roman" w:hAnsi="Times New Roman"/>
          <w:b w:val="0"/>
          <w:bCs w:val="0"/>
          <w:i w:val="0"/>
          <w:iCs w:val="0"/>
          <w:color w:val="323232"/>
          <w:sz w:val="24"/>
          <w:szCs w:val="24"/>
        </w:rPr>
      </w:pPr>
      <w:sdt>
        <w:sdtPr>
          <w:id w:val="-1834557293"/>
          <w:tag w:val="goog_rdk_5"/>
        </w:sdtPr>
        <w:sdtContent>
          <w:r w:rsidDel="00000000" w:rsidR="00000000" w:rsidRPr="00000000">
            <w:rPr>
              <w:rFonts w:ascii="Gungsuh" w:cs="Gungsuh" w:eastAsia="Gungsuh" w:hAnsi="Gungsuh"/>
              <w:b w:val="0"/>
              <w:bCs w:val="0"/>
              <w:i w:val="0"/>
              <w:iCs w:val="0"/>
              <w:color w:val="323232"/>
              <w:sz w:val="24"/>
              <w:szCs w:val="24"/>
              <w:rtl w:val="0"/>
            </w:rPr>
            <w:t xml:space="preserve">1.1.2 传统日志分析方法的局限性</w:t>
          </w:r>
        </w:sdtContent>
      </w:sdt>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在微服务架构下，日志作为记录系统运行状态、用户请求行为以及服务间交互过程的重要数据载体，包含了丰富的故障特征与运行信息。与传统单体应用相比，微服务系统通常由数量众多且具有独立生命周期的服务组成，一次完整的业务请求可能需要经过多个服务节点，并产生大量具有不同格式、不同语义特征的日志数据。当系统发生异常时，相关故障信息往往分散于多个服务、多个容器以及不同时间窗口的日志记录中，使得日志分析由传统的单节点问题定位逐渐演变为复杂的跨服务关联分析问题。因此，如何从海量、异构且具有复杂时序关系的日志数据中准确识别异常，并进一步确定异常产生的根本原因，已经成为微服务智能运维领域的重要研究内容。</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传统日志异常检测方法主要可以分为基于规则的方法、基于统计分析的方法以及基于机器学习的方法。基于规则的方法通常由运维人员根据系统运行经验预先制定关键词、正则表达式或阈值规则，通过匹配日志中的特定模式识别异常。例如，可以针对“ERROR”、“Exception”等关键字建立告警规则。这类方法实现简单、解释性较强，在故障类型相对固定的系统中具有一定应用价值。然而，微服务系统中的日志规模和日志类型会随着服务数量、业务功能以及软件版本的变化而持续增长，依赖人工经验构建和维护规则的方式成本较高，且难以覆盖复杂、隐蔽以及未知类型的异常。当日志模板发生变化时，原有规则还可能出现误报或漏报问题。</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基于统计分析的方法主要利用日志事件出现频率、时间间隔、异常概率以及系统运行指标等统计特征判断系统是否处于异常状态。这类方法能够在一定程度上减少对人工规则的依赖，但其检测效果通常依赖于数据分布具有相对稳定的假设。在实际微服务环境中，系统访问量和业务行为具有明显的动态变化特征，正常状态下的日志数量也可能由于流量突增、业务活动等因素发生较大波动。因此，仅依靠固定统计规律难以准确区分正常业务波动与真实系统故障。此外，统计方法通常更加关注日志事件的频次变化，而对日志文本中包含的深层语义信息利用不足。</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随着机器学习和深度学习技术的发展，研究人员开始利用聚类、分类、循环神经网络、卷积神经网络以及 Transformer 等模型学习日志数据中的潜在模式。相较于人工规则和传统统计方法，深度学习方法能够自动提取更加复杂的特征，在日志异常检测任务中取得了较好的效果。然而，这类方法仍然存在一定局限。一方面，传统日志分析模型通常需要首先完成日志解析、模板提取以及特征编码等预处理过程，当日志格式复杂或者日志模板频繁变化时，模型性能容易受到影响；另一方面，日志文本本身具有较强的上下文语义，不同日志事件之间还存在明显的时间依赖关系，仅依赖单条日志或者局部日志序列可能无法充分刻画异常行为。</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更为重要的是，传统日志异常检测方法通常将“异常检测”和“根因定位”视为相互独立的任务。在微服务系统中，一个底层服务发生故障后，可能通过服务调用链逐级传播，并在多个上层服务中产生大量连锁异常日志。例如，数据库连接异常可能首先导致数据库服务产生错误日志，随后引发订单服务、支付服务等上游服务的请求失败，最终形成大量表象异常。如果仅根据异常日志的数量或者出现时间进行判断，容易将由故障传播产生的下游异常误认为根本故障。因此，真正有效的故障诊断不仅需要判断“哪些日志异常”，还需要进一步回答“异常之间具有什么关联”、“故障是从哪个服务开始产生的”以及“哪个节点最可能是根本原因”等问题。</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此外，微服务系统具有明显的分布式特征，服务之间通过调用关系形成复杂的网络结构。传统基于序列的日志分析方法通常将日志数据组织成线性时间序列，对服务之间的拓扑结构和依赖关系建模能力有限。然而，实际故障传播往往并非简单的线性过程，而是可能沿着服务调用链、依赖关系以及数据访问关系形成复杂的传播路径。如果不能充分利用这些结构信息，即使模型能够识别异常日志，也难以进一步准确完成根因定位。</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rFonts w:ascii="Times New Roman" w:cs="Times New Roman" w:eastAsia="Times New Roman" w:hAnsi="Times New Roman"/>
          <w:color w:val="323232"/>
          <w:sz w:val="24"/>
          <w:szCs w:val="24"/>
        </w:rPr>
      </w:pPr>
      <w:r w:rsidDel="00000000" w:rsidR="00000000" w:rsidRPr="00000000">
        <w:rPr>
          <w:rtl w:val="0"/>
        </w:rPr>
        <w:t xml:space="preserve">综上所述，传统日志分析方法在面对现代微服务系统时主要存在以下几个方面的问题：一是对人工规则和领域经验依赖较强，难以适应日志格式和业务场景的动态变化；二是对日志文本深层语义信息挖掘不足，难以充分理解复杂异常的上下文特征；三是对跨服务、跨节点的关联关系建模能力有限，难以刻画故障在微服务拓扑中的传播过程；四是异常检测与根因定位之间缺乏有效的统一建模机制，容易将故障传播产生的表象异常误判为根因。因此，需要引入具有更强语义理解能力和结构关系建模能力的新型人工智能技术，为微服务日志异常检测及根因定位提供更加有效的解决方案。</w:t>
      </w:r>
      <w:r w:rsidDel="00000000" w:rsidR="00000000" w:rsidRPr="00000000">
        <w:rPr>
          <w:rtl w:val="0"/>
        </w:rPr>
      </w:r>
    </w:p>
    <w:p w:rsidR="00000000" w:rsidDel="00000000" w:rsidP="00000000" w:rsidRDefault="00000000" w:rsidRPr="00000000" w14:paraId="00000011">
      <w:pPr>
        <w:spacing w:after="40" w:before="40" w:line="300" w:lineRule="auto"/>
        <w:ind w:left="576" w:firstLine="0"/>
        <w:rPr>
          <w:rFonts w:ascii="Times New Roman" w:cs="Times New Roman" w:eastAsia="Times New Roman" w:hAnsi="Times New Roman"/>
          <w:b w:val="0"/>
          <w:bCs w:val="0"/>
          <w:i w:val="0"/>
          <w:iCs w:val="0"/>
          <w:color w:val="323232"/>
          <w:sz w:val="24"/>
          <w:szCs w:val="24"/>
        </w:rPr>
      </w:pPr>
      <w:sdt>
        <w:sdtPr>
          <w:id w:val="1637589050"/>
          <w:tag w:val="goog_rdk_6"/>
        </w:sdtPr>
        <w:sdtContent>
          <w:r w:rsidDel="00000000" w:rsidR="00000000" w:rsidRPr="00000000">
            <w:rPr>
              <w:rFonts w:ascii="Gungsuh" w:cs="Gungsuh" w:eastAsia="Gungsuh" w:hAnsi="Gungsuh"/>
              <w:b w:val="0"/>
              <w:bCs w:val="0"/>
              <w:i w:val="0"/>
              <w:iCs w:val="0"/>
              <w:color w:val="323232"/>
              <w:sz w:val="24"/>
              <w:szCs w:val="24"/>
              <w:rtl w:val="0"/>
            </w:rPr>
            <w:t xml:space="preserve">1.1.3 大语言模型与图神经网络结合的技术优势与研究意义</w:t>
          </w:r>
        </w:sdtContent>
      </w:sdt>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近年来，以 Transformer 为基础的大语言模型（Large Language Model，LLM）在自然语言处理领域取得了显著进展。大语言模型通过大规模语料预训练获得了较强的上下文理解、语义表示、知识迁移以及复杂信息推理能力，使其能够从非结构化文本中提取更加丰富的语义特征。微服务日志虽然属于系统运行数据，但其本质上同样具有明显的文本属性，日志消息中包含操作对象、执行行为、错误类型、异常描述以及运行状态等大量语义信息。因此，将大语言模型引入日志分析任务，可以突破传统日志方法主要依赖关键词、模板和人工特征工程的限制，使模型能够从更加细粒度的语义层面理解日志内容。</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首先，大语言模型具有较强的日志语义表示能力。传统日志解析方法往往需要将原始日志转换为预定义的日志模板，再进一步将模板编码为数值向量。这种处理方式虽然能够降低日志数据的复杂度，但在模板相似、参数变化或者非结构化日志场景下，可能损失部分语义信息。大语言模型能够利用上下文信息对日志文本进行深层语义编码，将“数据库连接超时”、“数据库连接失败”、“无法建立数据库连接”等具有相近故障含义但文本表达不同的日志映射到具有较强语义关联性的表示空间，从而提高异常特征提取能力。</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其次，大语言模型能够利用上下文信息增强异常识别能力。单条日志在很多情况下并不能直接判断系统是否发生故障。例如，“request timeout”既可能代表真实的系统异常，也可能是网络瞬时波动导致的偶发现象。结合前后时间窗口内的相关日志、服务上下文以及异常描述后，才能更加准确地理解该事件的实际含义。大语言模型具有较强的上下文建模能力，可以将多个相关日志事件组织起来进行综合分析，从而为复杂异常模式的识别提供更加丰富的语义依据。</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然而，仅依靠大语言模型仍然难以充分描述微服务系统中的显式拓扑结构和服务依赖关系。微服务系统天然具有图结构特征：可以将服务、容器或日志事件表示为图中的节点，将服务调用、数据依赖、时间关联以及异常传播关系表示为边，从而构建反映系统运行状态的服务关联图或日志事件图。在此基础上，图神经网络（Graph Neural Network，GNN）能够通过消息传递机制聚合邻居节点信息，使节点表示同时包含自身特征及其邻域结构信息，从而有效建模微服务之间复杂的依赖关系。</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与传统序列模型相比，图神经网络更加适合处理微服务系统中的非欧式结构数据。一方面，GNN能够利用服务调用拓扑刻画不同服务之间的依赖关系；另一方面，通过多层消息传递，可以进一步捕获异常在服务网络中的潜在传播路径。例如，当底层数据库服务出现异常时，与其存在直接调用关系的业务服务可能相继产生异常日志。通过构建服务关联图并进行图结构信息传播，可以从多个相关节点的联合状态中发现异常模式，为进一步识别故障源提供结构化依据。</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因此，大语言模型与图神经网络具有较强的互补性。大语言模型侧重于解决**“日志内容表达了什么”</w:t>
      </w:r>
      <w:r w:rsidDel="00000000" w:rsidR="00000000" w:rsidRPr="00000000">
        <w:rPr>
          <w:rtl w:val="0"/>
        </w:rPr>
        <w:t xml:space="preserve">的问题，通过自然语言语义理解提取日志中的深层信息；图神经网络则侧重于解决</w:t>
      </w:r>
      <w:r w:rsidDel="00000000" w:rsidR="00000000" w:rsidRPr="00000000">
        <w:rPr>
          <w:rtl w:val="0"/>
        </w:rPr>
        <w:t xml:space="preserve">“不同日志和服务之间有什么关系”**的问题，通过图结构学习建模服务依赖、调用关系以及异常传播路径。二者结合能够从“语义”和“结构”两个维度对微服务运行状态进行联合建模，形成更加完整的异常表征。例如，可以首先利用大语言模型将原始日志转换为具有丰富语义信息的日志向量，再将日志向量与服务节点、调用关系以及时间关联关系共同构建异构图，最后利用图神经网络进行节点信息聚合和关系推理，以实现异常检测与根因定位。</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从研究意义来看，将大语言模型与图神经网络引入微服务日志异常检测及根因定位，一方面能够提高日志异常检测对复杂语义和动态日志环境的适应能力，降低传统方法对人工规则以及固定日志模板的依赖；另一方面能够充分利用微服务之间的拓扑结构和故障传播关系，为从“异常现象”进一步定位到“潜在根因”提供结构化信息支撑。特别是在复杂分布式系统中，通过联合分析日志语义特征和服务关联结构，有望减少由故障级联产生的大量误报和冗余告警，提高根因定位的准确性和可解释性。</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pPr>
      <w:r w:rsidDel="00000000" w:rsidR="00000000" w:rsidRPr="00000000">
        <w:rPr>
          <w:rtl w:val="0"/>
        </w:rPr>
        <w:t xml:space="preserve">从工程应用角度来看，研究大语言模型与图神经网络的协同机制，也有助于推动微服务运维模式由传统的人工经验驱动向数据驱动、知识增强和智能推理方向发展。随着云原生系统规模不断扩大，系统产生的日志数量、服务依赖关系和故障类型持续增加，传统依靠运维人员逐条排查日志的方式面临越来越大的效率压力。因此，构建能够自动理解日志语义、识别异常模式并分析服务关联关系的智能故障诊断方法，对于提升复杂微服务系统的运维效率、降低故障定位成本以及增强系统可靠性具有一定的理论价值和实际应用价值。</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440"/>
        <w:jc w:val="left"/>
        <w:rPr>
          <w:rFonts w:ascii="Times New Roman" w:cs="Times New Roman" w:eastAsia="Times New Roman" w:hAnsi="Times New Roman"/>
          <w:color w:val="323232"/>
          <w:sz w:val="24"/>
          <w:szCs w:val="24"/>
        </w:rPr>
      </w:pPr>
      <w:r w:rsidDel="00000000" w:rsidR="00000000" w:rsidRPr="00000000">
        <w:rPr>
          <w:rtl w:val="0"/>
        </w:rPr>
        <w:t xml:space="preserve">总体而言，大语言模型与图神经网络的结合为微服务日志分析提供了一种“</w:t>
      </w:r>
      <w:r w:rsidDel="00000000" w:rsidR="00000000" w:rsidRPr="00000000">
        <w:rPr>
          <w:rtl w:val="0"/>
        </w:rPr>
        <w:t xml:space="preserve">语义理解 + 结构建模 + 关联推理</w:t>
      </w:r>
      <w:r w:rsidDel="00000000" w:rsidR="00000000" w:rsidRPr="00000000">
        <w:rPr>
          <w:rtl w:val="0"/>
        </w:rPr>
        <w:t xml:space="preserve">”的技术路径。该方法既能够发挥大语言模型在非结构化日志语义理解方面的优势，又能够利用图神经网络对复杂服务拓扑和异常传播关系进行建模，为后续开展微服务日志异常检测、异常关联分析以及根因定位研究奠定理论基础，也为本文后续模型设计与实验验证提供研究依据。</w:t>
      </w:r>
      <w:r w:rsidDel="00000000" w:rsidR="00000000" w:rsidRPr="00000000">
        <w:rPr>
          <w:rtl w:val="0"/>
        </w:rPr>
      </w:r>
    </w:p>
    <w:p w:rsidR="00000000" w:rsidDel="00000000" w:rsidP="00000000" w:rsidRDefault="00000000" w:rsidRPr="00000000" w14:paraId="0000001B">
      <w:pPr>
        <w:spacing w:after="60" w:before="120" w:line="300" w:lineRule="auto"/>
        <w:ind w:left="288" w:firstLine="0"/>
        <w:rPr/>
      </w:pPr>
      <w:sdt>
        <w:sdtPr>
          <w:id w:val="-1496452125"/>
          <w:tag w:val="goog_rdk_7"/>
        </w:sdtPr>
        <w:sdtContent>
          <w:r w:rsidDel="00000000" w:rsidR="00000000" w:rsidRPr="00000000">
            <w:rPr>
              <w:rFonts w:ascii="Gungsuh" w:cs="Gungsuh" w:eastAsia="Gungsuh" w:hAnsi="Gungsuh"/>
              <w:b w:val="1"/>
              <w:bCs w:val="1"/>
              <w:i w:val="0"/>
              <w:iCs w:val="0"/>
              <w:color w:val="1e283c"/>
              <w:sz w:val="26"/>
              <w:szCs w:val="26"/>
              <w:rtl w:val="0"/>
            </w:rPr>
            <w:t xml:space="preserve">1.2 国内外研究现状</w:t>
          </w:r>
        </w:sdtContent>
      </w:sdt>
      <w:r w:rsidDel="00000000" w:rsidR="00000000" w:rsidRPr="00000000">
        <w:rPr>
          <w:rtl w:val="0"/>
        </w:rPr>
      </w:r>
    </w:p>
    <w:p w:rsidR="00000000" w:rsidDel="00000000" w:rsidP="00000000" w:rsidRDefault="00000000" w:rsidRPr="00000000" w14:paraId="0000001C">
      <w:pPr>
        <w:spacing w:after="40" w:before="40" w:line="300" w:lineRule="auto"/>
        <w:ind w:left="576" w:firstLine="0"/>
        <w:rPr/>
      </w:pPr>
      <w:sdt>
        <w:sdtPr>
          <w:id w:val="85396747"/>
          <w:tag w:val="goog_rdk_8"/>
        </w:sdtPr>
        <w:sdtContent>
          <w:r w:rsidDel="00000000" w:rsidR="00000000" w:rsidRPr="00000000">
            <w:rPr>
              <w:rFonts w:ascii="Gungsuh" w:cs="Gungsuh" w:eastAsia="Gungsuh" w:hAnsi="Gungsuh"/>
              <w:b w:val="0"/>
              <w:bCs w:val="0"/>
              <w:i w:val="0"/>
              <w:iCs w:val="0"/>
              <w:color w:val="323232"/>
              <w:sz w:val="24"/>
              <w:szCs w:val="24"/>
              <w:rtl w:val="0"/>
            </w:rPr>
            <w:t xml:space="preserve">1.2.1 基于深度学习的日志异常检测研究现状（DeepLog、LogRobust 等）</w:t>
          </w:r>
        </w:sdtContent>
      </w:sdt>
      <w:r w:rsidDel="00000000" w:rsidR="00000000" w:rsidRPr="00000000">
        <w:rPr>
          <w:rtl w:val="0"/>
        </w:rPr>
      </w:r>
    </w:p>
    <w:p w:rsidR="00000000" w:rsidDel="00000000" w:rsidP="00000000" w:rsidRDefault="00000000" w:rsidRPr="00000000" w14:paraId="0000001D">
      <w:pPr>
        <w:spacing w:after="40" w:before="40" w:line="300" w:lineRule="auto"/>
        <w:ind w:left="576" w:firstLine="0"/>
        <w:rPr/>
      </w:pPr>
      <w:sdt>
        <w:sdtPr>
          <w:id w:val="-1040932347"/>
          <w:tag w:val="goog_rdk_9"/>
        </w:sdtPr>
        <w:sdtContent>
          <w:r w:rsidDel="00000000" w:rsidR="00000000" w:rsidRPr="00000000">
            <w:rPr>
              <w:rFonts w:ascii="Gungsuh" w:cs="Gungsuh" w:eastAsia="Gungsuh" w:hAnsi="Gungsuh"/>
              <w:b w:val="0"/>
              <w:bCs w:val="0"/>
              <w:i w:val="0"/>
              <w:iCs w:val="0"/>
              <w:color w:val="323232"/>
              <w:sz w:val="24"/>
              <w:szCs w:val="24"/>
              <w:rtl w:val="0"/>
            </w:rPr>
            <w:t xml:space="preserve">1.2.2 基于大语言模型的日志语义分析研究现状（LogGPT 等）</w:t>
          </w:r>
        </w:sdtContent>
      </w:sdt>
      <w:r w:rsidDel="00000000" w:rsidR="00000000" w:rsidRPr="00000000">
        <w:rPr>
          <w:rtl w:val="0"/>
        </w:rPr>
      </w:r>
    </w:p>
    <w:p w:rsidR="00000000" w:rsidDel="00000000" w:rsidP="00000000" w:rsidRDefault="00000000" w:rsidRPr="00000000" w14:paraId="0000001E">
      <w:pPr>
        <w:spacing w:after="40" w:before="40" w:line="300" w:lineRule="auto"/>
        <w:ind w:left="576" w:firstLine="0"/>
        <w:rPr/>
      </w:pPr>
      <w:sdt>
        <w:sdtPr>
          <w:id w:val="-2115636123"/>
          <w:tag w:val="goog_rdk_10"/>
        </w:sdtPr>
        <w:sdtContent>
          <w:r w:rsidDel="00000000" w:rsidR="00000000" w:rsidRPr="00000000">
            <w:rPr>
              <w:rFonts w:ascii="Gungsuh" w:cs="Gungsuh" w:eastAsia="Gungsuh" w:hAnsi="Gungsuh"/>
              <w:b w:val="0"/>
              <w:bCs w:val="0"/>
              <w:i w:val="0"/>
              <w:iCs w:val="0"/>
              <w:color w:val="323232"/>
              <w:sz w:val="24"/>
              <w:szCs w:val="24"/>
              <w:rtl w:val="0"/>
            </w:rPr>
            <w:t xml:space="preserve">1.2.3 基于图神经网络的微服务调用链路与根因定位研究现状</w:t>
          </w:r>
        </w:sdtContent>
      </w:sdt>
      <w:r w:rsidDel="00000000" w:rsidR="00000000" w:rsidRPr="00000000">
        <w:rPr>
          <w:rtl w:val="0"/>
        </w:rPr>
      </w:r>
    </w:p>
    <w:p w:rsidR="00000000" w:rsidDel="00000000" w:rsidP="00000000" w:rsidRDefault="00000000" w:rsidRPr="00000000" w14:paraId="0000001F">
      <w:pPr>
        <w:spacing w:after="40" w:before="40" w:line="300" w:lineRule="auto"/>
        <w:ind w:left="576" w:firstLine="0"/>
        <w:rPr/>
      </w:pPr>
      <w:sdt>
        <w:sdtPr>
          <w:id w:val="-239424528"/>
          <w:tag w:val="goog_rdk_11"/>
        </w:sdtPr>
        <w:sdtContent>
          <w:r w:rsidDel="00000000" w:rsidR="00000000" w:rsidRPr="00000000">
            <w:rPr>
              <w:rFonts w:ascii="Gungsuh" w:cs="Gungsuh" w:eastAsia="Gungsuh" w:hAnsi="Gungsuh"/>
              <w:b w:val="0"/>
              <w:bCs w:val="0"/>
              <w:i w:val="0"/>
              <w:iCs w:val="0"/>
              <w:color w:val="323232"/>
              <w:sz w:val="24"/>
              <w:szCs w:val="24"/>
              <w:rtl w:val="0"/>
            </w:rPr>
            <w:t xml:space="preserve">1.2.4 现有研究的不足与总结</w:t>
          </w:r>
        </w:sdtContent>
      </w:sdt>
      <w:r w:rsidDel="00000000" w:rsidR="00000000" w:rsidRPr="00000000">
        <w:rPr>
          <w:rtl w:val="0"/>
        </w:rPr>
      </w:r>
    </w:p>
    <w:p w:rsidR="00000000" w:rsidDel="00000000" w:rsidP="00000000" w:rsidRDefault="00000000" w:rsidRPr="00000000" w14:paraId="00000020">
      <w:pPr>
        <w:spacing w:after="60" w:before="120" w:line="300" w:lineRule="auto"/>
        <w:ind w:left="288" w:firstLine="0"/>
        <w:rPr/>
      </w:pPr>
      <w:sdt>
        <w:sdtPr>
          <w:id w:val="1229338133"/>
          <w:tag w:val="goog_rdk_12"/>
        </w:sdtPr>
        <w:sdtContent>
          <w:r w:rsidDel="00000000" w:rsidR="00000000" w:rsidRPr="00000000">
            <w:rPr>
              <w:rFonts w:ascii="Gungsuh" w:cs="Gungsuh" w:eastAsia="Gungsuh" w:hAnsi="Gungsuh"/>
              <w:b w:val="1"/>
              <w:bCs w:val="1"/>
              <w:i w:val="0"/>
              <w:iCs w:val="0"/>
              <w:color w:val="1e283c"/>
              <w:sz w:val="26"/>
              <w:szCs w:val="26"/>
              <w:rtl w:val="0"/>
            </w:rPr>
            <w:t xml:space="preserve">1.3 本文的主要研究内容与创新点</w:t>
          </w:r>
        </w:sdtContent>
      </w:sdt>
      <w:r w:rsidDel="00000000" w:rsidR="00000000" w:rsidRPr="00000000">
        <w:rPr>
          <w:rtl w:val="0"/>
        </w:rPr>
      </w:r>
    </w:p>
    <w:p w:rsidR="00000000" w:rsidDel="00000000" w:rsidP="00000000" w:rsidRDefault="00000000" w:rsidRPr="00000000" w14:paraId="00000021">
      <w:pPr>
        <w:spacing w:after="40" w:before="40" w:line="300" w:lineRule="auto"/>
        <w:ind w:left="576" w:firstLine="0"/>
        <w:rPr/>
      </w:pPr>
      <w:sdt>
        <w:sdtPr>
          <w:id w:val="-1872954768"/>
          <w:tag w:val="goog_rdk_13"/>
        </w:sdtPr>
        <w:sdtContent>
          <w:r w:rsidDel="00000000" w:rsidR="00000000" w:rsidRPr="00000000">
            <w:rPr>
              <w:rFonts w:ascii="Gungsuh" w:cs="Gungsuh" w:eastAsia="Gungsuh" w:hAnsi="Gungsuh"/>
              <w:b w:val="0"/>
              <w:bCs w:val="0"/>
              <w:i w:val="0"/>
              <w:iCs w:val="0"/>
              <w:color w:val="323232"/>
              <w:sz w:val="24"/>
              <w:szCs w:val="24"/>
              <w:rtl w:val="0"/>
            </w:rPr>
            <w:t xml:space="preserve">1.3.1 研究内容</w:t>
          </w:r>
        </w:sdtContent>
      </w:sdt>
      <w:r w:rsidDel="00000000" w:rsidR="00000000" w:rsidRPr="00000000">
        <w:rPr>
          <w:rtl w:val="0"/>
        </w:rPr>
      </w:r>
    </w:p>
    <w:p w:rsidR="00000000" w:rsidDel="00000000" w:rsidP="00000000" w:rsidRDefault="00000000" w:rsidRPr="00000000" w14:paraId="00000022">
      <w:pPr>
        <w:spacing w:after="40" w:before="40" w:line="300" w:lineRule="auto"/>
        <w:ind w:left="576" w:firstLine="0"/>
        <w:rPr/>
      </w:pPr>
      <w:sdt>
        <w:sdtPr>
          <w:id w:val="1279033510"/>
          <w:tag w:val="goog_rdk_14"/>
        </w:sdtPr>
        <w:sdtContent>
          <w:r w:rsidDel="00000000" w:rsidR="00000000" w:rsidRPr="00000000">
            <w:rPr>
              <w:rFonts w:ascii="Gungsuh" w:cs="Gungsuh" w:eastAsia="Gungsuh" w:hAnsi="Gungsuh"/>
              <w:b w:val="0"/>
              <w:bCs w:val="0"/>
              <w:i w:val="0"/>
              <w:iCs w:val="0"/>
              <w:color w:val="323232"/>
              <w:sz w:val="24"/>
              <w:szCs w:val="24"/>
              <w:rtl w:val="0"/>
            </w:rPr>
            <w:t xml:space="preserve">1.3.2 创新点</w:t>
          </w:r>
        </w:sdtContent>
      </w:sdt>
      <w:r w:rsidDel="00000000" w:rsidR="00000000" w:rsidRPr="00000000">
        <w:rPr>
          <w:rtl w:val="0"/>
        </w:rPr>
      </w:r>
    </w:p>
    <w:p w:rsidR="00000000" w:rsidDel="00000000" w:rsidP="00000000" w:rsidRDefault="00000000" w:rsidRPr="00000000" w14:paraId="00000023">
      <w:pPr>
        <w:spacing w:after="60" w:before="120" w:line="300" w:lineRule="auto"/>
        <w:ind w:left="288" w:firstLine="0"/>
        <w:rPr/>
      </w:pPr>
      <w:sdt>
        <w:sdtPr>
          <w:id w:val="-1489699024"/>
          <w:tag w:val="goog_rdk_15"/>
        </w:sdtPr>
        <w:sdtContent>
          <w:r w:rsidDel="00000000" w:rsidR="00000000" w:rsidRPr="00000000">
            <w:rPr>
              <w:rFonts w:ascii="Gungsuh" w:cs="Gungsuh" w:eastAsia="Gungsuh" w:hAnsi="Gungsuh"/>
              <w:b w:val="1"/>
              <w:bCs w:val="1"/>
              <w:i w:val="0"/>
              <w:iCs w:val="0"/>
              <w:color w:val="1e283c"/>
              <w:sz w:val="26"/>
              <w:szCs w:val="26"/>
              <w:rtl w:val="0"/>
            </w:rPr>
            <w:t xml:space="preserve">1.4 论文的组织结构</w:t>
          </w:r>
        </w:sdtContent>
      </w:sdt>
      <w:r w:rsidDel="00000000" w:rsidR="00000000" w:rsidRPr="00000000">
        <w:rPr>
          <w:rtl w:val="0"/>
        </w:rPr>
      </w:r>
    </w:p>
    <w:p w:rsidR="00000000" w:rsidDel="00000000" w:rsidP="00000000" w:rsidRDefault="00000000" w:rsidRPr="00000000" w14:paraId="00000024">
      <w:pPr>
        <w:spacing w:after="120" w:before="280" w:line="300" w:lineRule="auto"/>
        <w:rPr/>
      </w:pPr>
      <w:sdt>
        <w:sdtPr>
          <w:id w:val="-1626708186"/>
          <w:tag w:val="goog_rdk_16"/>
        </w:sdtPr>
        <w:sdtContent>
          <w:r w:rsidDel="00000000" w:rsidR="00000000" w:rsidRPr="00000000">
            <w:rPr>
              <w:rFonts w:ascii="Gungsuh" w:cs="Gungsuh" w:eastAsia="Gungsuh" w:hAnsi="Gungsuh"/>
              <w:b w:val="1"/>
              <w:bCs w:val="1"/>
              <w:i w:val="0"/>
              <w:iCs w:val="0"/>
              <w:color w:val="0f2043"/>
              <w:sz w:val="30"/>
              <w:szCs w:val="30"/>
              <w:rtl w:val="0"/>
            </w:rPr>
            <w:t xml:space="preserve">第 2 章 相关技术与理论基础</w:t>
          </w:r>
        </w:sdtContent>
      </w:sdt>
      <w:r w:rsidDel="00000000" w:rsidR="00000000" w:rsidRPr="00000000">
        <w:rPr>
          <w:rtl w:val="0"/>
        </w:rPr>
      </w:r>
    </w:p>
    <w:p w:rsidR="00000000" w:rsidDel="00000000" w:rsidP="00000000" w:rsidRDefault="00000000" w:rsidRPr="00000000" w14:paraId="00000025">
      <w:pPr>
        <w:spacing w:after="60" w:before="120" w:line="300" w:lineRule="auto"/>
        <w:ind w:left="288" w:firstLine="0"/>
        <w:rPr/>
      </w:pPr>
      <w:sdt>
        <w:sdtPr>
          <w:id w:val="1181897268"/>
          <w:tag w:val="goog_rdk_17"/>
        </w:sdtPr>
        <w:sdtContent>
          <w:r w:rsidDel="00000000" w:rsidR="00000000" w:rsidRPr="00000000">
            <w:rPr>
              <w:rFonts w:ascii="Gungsuh" w:cs="Gungsuh" w:eastAsia="Gungsuh" w:hAnsi="Gungsuh"/>
              <w:b w:val="1"/>
              <w:bCs w:val="1"/>
              <w:i w:val="0"/>
              <w:iCs w:val="0"/>
              <w:color w:val="1e283c"/>
              <w:sz w:val="26"/>
              <w:szCs w:val="26"/>
              <w:rtl w:val="0"/>
            </w:rPr>
            <w:t xml:space="preserve">2.1 微服务日志与系统调用拓扑</w:t>
          </w:r>
        </w:sdtContent>
      </w:sdt>
      <w:r w:rsidDel="00000000" w:rsidR="00000000" w:rsidRPr="00000000">
        <w:rPr>
          <w:rtl w:val="0"/>
        </w:rPr>
      </w:r>
    </w:p>
    <w:p w:rsidR="00000000" w:rsidDel="00000000" w:rsidP="00000000" w:rsidRDefault="00000000" w:rsidRPr="00000000" w14:paraId="00000026">
      <w:pPr>
        <w:spacing w:after="40" w:before="40" w:line="300" w:lineRule="auto"/>
        <w:ind w:left="576" w:firstLine="0"/>
        <w:rPr/>
      </w:pPr>
      <w:sdt>
        <w:sdtPr>
          <w:id w:val="-1342118496"/>
          <w:tag w:val="goog_rdk_18"/>
        </w:sdtPr>
        <w:sdtContent>
          <w:r w:rsidDel="00000000" w:rsidR="00000000" w:rsidRPr="00000000">
            <w:rPr>
              <w:rFonts w:ascii="Gungsuh" w:cs="Gungsuh" w:eastAsia="Gungsuh" w:hAnsi="Gungsuh"/>
              <w:b w:val="0"/>
              <w:bCs w:val="0"/>
              <w:i w:val="0"/>
              <w:iCs w:val="0"/>
              <w:color w:val="323232"/>
              <w:sz w:val="24"/>
              <w:szCs w:val="24"/>
              <w:rtl w:val="0"/>
            </w:rPr>
            <w:t xml:space="preserve">2.1.1 微服务日志结构与特点</w:t>
          </w:r>
        </w:sdtContent>
      </w:sdt>
      <w:r w:rsidDel="00000000" w:rsidR="00000000" w:rsidRPr="00000000">
        <w:rPr>
          <w:rtl w:val="0"/>
        </w:rPr>
      </w:r>
    </w:p>
    <w:p w:rsidR="00000000" w:rsidDel="00000000" w:rsidP="00000000" w:rsidRDefault="00000000" w:rsidRPr="00000000" w14:paraId="00000027">
      <w:pPr>
        <w:spacing w:after="40" w:before="40" w:line="300" w:lineRule="auto"/>
        <w:ind w:left="576" w:firstLine="0"/>
        <w:rPr/>
      </w:pPr>
      <w:sdt>
        <w:sdtPr>
          <w:id w:val="1647002609"/>
          <w:tag w:val="goog_rdk_19"/>
        </w:sdtPr>
        <w:sdtContent>
          <w:r w:rsidDel="00000000" w:rsidR="00000000" w:rsidRPr="00000000">
            <w:rPr>
              <w:rFonts w:ascii="Gungsuh" w:cs="Gungsuh" w:eastAsia="Gungsuh" w:hAnsi="Gungsuh"/>
              <w:b w:val="0"/>
              <w:bCs w:val="0"/>
              <w:i w:val="0"/>
              <w:iCs w:val="0"/>
              <w:color w:val="323232"/>
              <w:sz w:val="24"/>
              <w:szCs w:val="24"/>
              <w:rtl w:val="0"/>
            </w:rPr>
            <w:t xml:space="preserve">2.1.2 微服务系统的服务依赖图（Service Dependency Graph）与调用链分析</w:t>
          </w:r>
        </w:sdtContent>
      </w:sdt>
      <w:r w:rsidDel="00000000" w:rsidR="00000000" w:rsidRPr="00000000">
        <w:rPr>
          <w:rtl w:val="0"/>
        </w:rPr>
      </w:r>
    </w:p>
    <w:p w:rsidR="00000000" w:rsidDel="00000000" w:rsidP="00000000" w:rsidRDefault="00000000" w:rsidRPr="00000000" w14:paraId="00000028">
      <w:pPr>
        <w:spacing w:after="60" w:before="120" w:line="300" w:lineRule="auto"/>
        <w:ind w:left="288" w:firstLine="0"/>
        <w:rPr/>
      </w:pPr>
      <w:sdt>
        <w:sdtPr>
          <w:id w:val="-864212083"/>
          <w:tag w:val="goog_rdk_20"/>
        </w:sdtPr>
        <w:sdtContent>
          <w:r w:rsidDel="00000000" w:rsidR="00000000" w:rsidRPr="00000000">
            <w:rPr>
              <w:rFonts w:ascii="Gungsuh" w:cs="Gungsuh" w:eastAsia="Gungsuh" w:hAnsi="Gungsuh"/>
              <w:b w:val="1"/>
              <w:bCs w:val="1"/>
              <w:i w:val="0"/>
              <w:iCs w:val="0"/>
              <w:color w:val="1e283c"/>
              <w:sz w:val="26"/>
              <w:szCs w:val="26"/>
              <w:rtl w:val="0"/>
            </w:rPr>
            <w:t xml:space="preserve">2.2 大语言模型（LLM）理论基础</w:t>
          </w:r>
        </w:sdtContent>
      </w:sdt>
      <w:r w:rsidDel="00000000" w:rsidR="00000000" w:rsidRPr="00000000">
        <w:rPr>
          <w:rtl w:val="0"/>
        </w:rPr>
      </w:r>
    </w:p>
    <w:p w:rsidR="00000000" w:rsidDel="00000000" w:rsidP="00000000" w:rsidRDefault="00000000" w:rsidRPr="00000000" w14:paraId="00000029">
      <w:pPr>
        <w:spacing w:after="40" w:before="40" w:line="300" w:lineRule="auto"/>
        <w:ind w:left="576" w:firstLine="0"/>
        <w:rPr/>
      </w:pPr>
      <w:sdt>
        <w:sdtPr>
          <w:id w:val="1568167308"/>
          <w:tag w:val="goog_rdk_21"/>
        </w:sdtPr>
        <w:sdtContent>
          <w:r w:rsidDel="00000000" w:rsidR="00000000" w:rsidRPr="00000000">
            <w:rPr>
              <w:rFonts w:ascii="Gungsuh" w:cs="Gungsuh" w:eastAsia="Gungsuh" w:hAnsi="Gungsuh"/>
              <w:b w:val="0"/>
              <w:bCs w:val="0"/>
              <w:i w:val="0"/>
              <w:iCs w:val="0"/>
              <w:color w:val="323232"/>
              <w:sz w:val="24"/>
              <w:szCs w:val="24"/>
              <w:rtl w:val="0"/>
            </w:rPr>
            <w:t xml:space="preserve">2.2.1 Transformer 架构与预训练语言模型</w:t>
          </w:r>
        </w:sdtContent>
      </w:sdt>
      <w:r w:rsidDel="00000000" w:rsidR="00000000" w:rsidRPr="00000000">
        <w:rPr>
          <w:rtl w:val="0"/>
        </w:rPr>
      </w:r>
    </w:p>
    <w:p w:rsidR="00000000" w:rsidDel="00000000" w:rsidP="00000000" w:rsidRDefault="00000000" w:rsidRPr="00000000" w14:paraId="0000002A">
      <w:pPr>
        <w:spacing w:after="40" w:before="40" w:line="300" w:lineRule="auto"/>
        <w:ind w:left="576" w:firstLine="0"/>
        <w:rPr/>
      </w:pPr>
      <w:sdt>
        <w:sdtPr>
          <w:id w:val="761709020"/>
          <w:tag w:val="goog_rdk_22"/>
        </w:sdtPr>
        <w:sdtContent>
          <w:r w:rsidDel="00000000" w:rsidR="00000000" w:rsidRPr="00000000">
            <w:rPr>
              <w:rFonts w:ascii="Gungsuh" w:cs="Gungsuh" w:eastAsia="Gungsuh" w:hAnsi="Gungsuh"/>
              <w:b w:val="0"/>
              <w:bCs w:val="0"/>
              <w:i w:val="0"/>
              <w:iCs w:val="0"/>
              <w:color w:val="323232"/>
              <w:sz w:val="24"/>
              <w:szCs w:val="24"/>
              <w:rtl w:val="0"/>
            </w:rPr>
            <w:t xml:space="preserve">2.2.2 基于 LLM 的日志语义理解与向量表示方法</w:t>
          </w:r>
        </w:sdtContent>
      </w:sdt>
      <w:r w:rsidDel="00000000" w:rsidR="00000000" w:rsidRPr="00000000">
        <w:rPr>
          <w:rtl w:val="0"/>
        </w:rPr>
      </w:r>
    </w:p>
    <w:p w:rsidR="00000000" w:rsidDel="00000000" w:rsidP="00000000" w:rsidRDefault="00000000" w:rsidRPr="00000000" w14:paraId="0000002B">
      <w:pPr>
        <w:spacing w:after="60" w:before="120" w:line="300" w:lineRule="auto"/>
        <w:ind w:left="288" w:firstLine="0"/>
        <w:rPr/>
      </w:pPr>
      <w:sdt>
        <w:sdtPr>
          <w:id w:val="-1357263359"/>
          <w:tag w:val="goog_rdk_23"/>
        </w:sdtPr>
        <w:sdtContent>
          <w:r w:rsidDel="00000000" w:rsidR="00000000" w:rsidRPr="00000000">
            <w:rPr>
              <w:rFonts w:ascii="Gungsuh" w:cs="Gungsuh" w:eastAsia="Gungsuh" w:hAnsi="Gungsuh"/>
              <w:b w:val="1"/>
              <w:bCs w:val="1"/>
              <w:i w:val="0"/>
              <w:iCs w:val="0"/>
              <w:color w:val="1e283c"/>
              <w:sz w:val="26"/>
              <w:szCs w:val="26"/>
              <w:rtl w:val="0"/>
            </w:rPr>
            <w:t xml:space="preserve">2.3 图神经网络（GNN）理论基础</w:t>
          </w:r>
        </w:sdtContent>
      </w:sdt>
      <w:r w:rsidDel="00000000" w:rsidR="00000000" w:rsidRPr="00000000">
        <w:rPr>
          <w:rtl w:val="0"/>
        </w:rPr>
      </w:r>
    </w:p>
    <w:p w:rsidR="00000000" w:rsidDel="00000000" w:rsidP="00000000" w:rsidRDefault="00000000" w:rsidRPr="00000000" w14:paraId="0000002C">
      <w:pPr>
        <w:spacing w:after="40" w:before="40" w:line="300" w:lineRule="auto"/>
        <w:ind w:left="576" w:firstLine="0"/>
        <w:rPr/>
      </w:pPr>
      <w:sdt>
        <w:sdtPr>
          <w:id w:val="442718607"/>
          <w:tag w:val="goog_rdk_24"/>
        </w:sdtPr>
        <w:sdtContent>
          <w:r w:rsidDel="00000000" w:rsidR="00000000" w:rsidRPr="00000000">
            <w:rPr>
              <w:rFonts w:ascii="Gungsuh" w:cs="Gungsuh" w:eastAsia="Gungsuh" w:hAnsi="Gungsuh"/>
              <w:b w:val="0"/>
              <w:bCs w:val="0"/>
              <w:i w:val="0"/>
              <w:iCs w:val="0"/>
              <w:color w:val="323232"/>
              <w:sz w:val="24"/>
              <w:szCs w:val="24"/>
              <w:rtl w:val="0"/>
            </w:rPr>
            <w:t xml:space="preserve">2.3.1 图卷积网络（GCN）与图注意力网络（GAT）</w:t>
          </w:r>
        </w:sdtContent>
      </w:sdt>
      <w:r w:rsidDel="00000000" w:rsidR="00000000" w:rsidRPr="00000000">
        <w:rPr>
          <w:rtl w:val="0"/>
        </w:rPr>
      </w:r>
    </w:p>
    <w:p w:rsidR="00000000" w:rsidDel="00000000" w:rsidP="00000000" w:rsidRDefault="00000000" w:rsidRPr="00000000" w14:paraId="0000002D">
      <w:pPr>
        <w:spacing w:after="40" w:before="40" w:line="300" w:lineRule="auto"/>
        <w:ind w:left="576" w:firstLine="0"/>
        <w:rPr/>
      </w:pPr>
      <w:sdt>
        <w:sdtPr>
          <w:id w:val="-412754609"/>
          <w:tag w:val="goog_rdk_25"/>
        </w:sdtPr>
        <w:sdtContent>
          <w:r w:rsidDel="00000000" w:rsidR="00000000" w:rsidRPr="00000000">
            <w:rPr>
              <w:rFonts w:ascii="Gungsuh" w:cs="Gungsuh" w:eastAsia="Gungsuh" w:hAnsi="Gungsuh"/>
              <w:b w:val="0"/>
              <w:bCs w:val="0"/>
              <w:i w:val="0"/>
              <w:iCs w:val="0"/>
              <w:color w:val="323232"/>
              <w:sz w:val="24"/>
              <w:szCs w:val="24"/>
              <w:rtl w:val="0"/>
            </w:rPr>
            <w:t xml:space="preserve">2.3.2 基于 GNN 的拓扑特征提取与节点表征学习</w:t>
          </w:r>
        </w:sdtContent>
      </w:sdt>
      <w:r w:rsidDel="00000000" w:rsidR="00000000" w:rsidRPr="00000000">
        <w:rPr>
          <w:rtl w:val="0"/>
        </w:rPr>
      </w:r>
    </w:p>
    <w:p w:rsidR="00000000" w:rsidDel="00000000" w:rsidP="00000000" w:rsidRDefault="00000000" w:rsidRPr="00000000" w14:paraId="0000002E">
      <w:pPr>
        <w:spacing w:after="60" w:before="120" w:line="300" w:lineRule="auto"/>
        <w:ind w:left="288" w:firstLine="0"/>
        <w:rPr/>
      </w:pPr>
      <w:sdt>
        <w:sdtPr>
          <w:id w:val="-2124029736"/>
          <w:tag w:val="goog_rdk_26"/>
        </w:sdtPr>
        <w:sdtContent>
          <w:r w:rsidDel="00000000" w:rsidR="00000000" w:rsidRPr="00000000">
            <w:rPr>
              <w:rFonts w:ascii="Gungsuh" w:cs="Gungsuh" w:eastAsia="Gungsuh" w:hAnsi="Gungsuh"/>
              <w:b w:val="1"/>
              <w:bCs w:val="1"/>
              <w:i w:val="0"/>
              <w:iCs w:val="0"/>
              <w:color w:val="1e283c"/>
              <w:sz w:val="26"/>
              <w:szCs w:val="26"/>
              <w:rtl w:val="0"/>
            </w:rPr>
            <w:t xml:space="preserve">2.4 本章小结</w:t>
          </w:r>
        </w:sdtContent>
      </w:sdt>
      <w:r w:rsidDel="00000000" w:rsidR="00000000" w:rsidRPr="00000000">
        <w:rPr>
          <w:rtl w:val="0"/>
        </w:rPr>
      </w:r>
    </w:p>
    <w:p w:rsidR="00000000" w:rsidDel="00000000" w:rsidP="00000000" w:rsidRDefault="00000000" w:rsidRPr="00000000" w14:paraId="0000002F">
      <w:pPr>
        <w:spacing w:after="120" w:before="280" w:line="300" w:lineRule="auto"/>
        <w:rPr/>
      </w:pPr>
      <w:sdt>
        <w:sdtPr>
          <w:id w:val="2016477932"/>
          <w:tag w:val="goog_rdk_27"/>
        </w:sdtPr>
        <w:sdtContent>
          <w:r w:rsidDel="00000000" w:rsidR="00000000" w:rsidRPr="00000000">
            <w:rPr>
              <w:rFonts w:ascii="Gungsuh" w:cs="Gungsuh" w:eastAsia="Gungsuh" w:hAnsi="Gungsuh"/>
              <w:b w:val="1"/>
              <w:bCs w:val="1"/>
              <w:i w:val="0"/>
              <w:iCs w:val="0"/>
              <w:color w:val="0f2043"/>
              <w:sz w:val="30"/>
              <w:szCs w:val="30"/>
              <w:rtl w:val="0"/>
            </w:rPr>
            <w:t xml:space="preserve">第 3 章 基于 LLM 与 GNN 的微服务日志异常检测及根因定位框架设计</w:t>
          </w:r>
        </w:sdtContent>
      </w:sdt>
      <w:r w:rsidDel="00000000" w:rsidR="00000000" w:rsidRPr="00000000">
        <w:rPr>
          <w:rtl w:val="0"/>
        </w:rPr>
      </w:r>
    </w:p>
    <w:p w:rsidR="00000000" w:rsidDel="00000000" w:rsidP="00000000" w:rsidRDefault="00000000" w:rsidRPr="00000000" w14:paraId="00000030">
      <w:pPr>
        <w:spacing w:after="60" w:before="120" w:line="300" w:lineRule="auto"/>
        <w:ind w:left="288" w:firstLine="0"/>
        <w:rPr/>
      </w:pPr>
      <w:sdt>
        <w:sdtPr>
          <w:id w:val="478390624"/>
          <w:tag w:val="goog_rdk_28"/>
        </w:sdtPr>
        <w:sdtContent>
          <w:r w:rsidDel="00000000" w:rsidR="00000000" w:rsidRPr="00000000">
            <w:rPr>
              <w:rFonts w:ascii="Gungsuh" w:cs="Gungsuh" w:eastAsia="Gungsuh" w:hAnsi="Gungsuh"/>
              <w:b w:val="1"/>
              <w:bCs w:val="1"/>
              <w:i w:val="0"/>
              <w:iCs w:val="0"/>
              <w:color w:val="1e283c"/>
              <w:sz w:val="26"/>
              <w:szCs w:val="26"/>
              <w:rtl w:val="0"/>
            </w:rPr>
            <w:t xml:space="preserve">3.1 总体架构设计</w:t>
          </w:r>
        </w:sdtContent>
      </w:sdt>
      <w:r w:rsidDel="00000000" w:rsidR="00000000" w:rsidRPr="00000000">
        <w:rPr>
          <w:rtl w:val="0"/>
        </w:rPr>
      </w:r>
    </w:p>
    <w:p w:rsidR="00000000" w:rsidDel="00000000" w:rsidP="00000000" w:rsidRDefault="00000000" w:rsidRPr="00000000" w14:paraId="00000031">
      <w:pPr>
        <w:spacing w:after="40" w:before="40" w:line="300" w:lineRule="auto"/>
        <w:ind w:left="576" w:firstLine="0"/>
        <w:rPr/>
      </w:pPr>
      <w:sdt>
        <w:sdtPr>
          <w:id w:val="-1941329083"/>
          <w:tag w:val="goog_rdk_29"/>
        </w:sdtPr>
        <w:sdtContent>
          <w:r w:rsidDel="00000000" w:rsidR="00000000" w:rsidRPr="00000000">
            <w:rPr>
              <w:rFonts w:ascii="Gungsuh" w:cs="Gungsuh" w:eastAsia="Gungsuh" w:hAnsi="Gungsuh"/>
              <w:b w:val="0"/>
              <w:bCs w:val="0"/>
              <w:i w:val="0"/>
              <w:iCs w:val="0"/>
              <w:color w:val="323232"/>
              <w:sz w:val="24"/>
              <w:szCs w:val="24"/>
              <w:rtl w:val="0"/>
            </w:rPr>
            <w:t xml:space="preserve">3.1.1 框架设计目标与原则</w:t>
          </w:r>
        </w:sdtContent>
      </w:sdt>
      <w:r w:rsidDel="00000000" w:rsidR="00000000" w:rsidRPr="00000000">
        <w:rPr>
          <w:rtl w:val="0"/>
        </w:rPr>
      </w:r>
    </w:p>
    <w:p w:rsidR="00000000" w:rsidDel="00000000" w:rsidP="00000000" w:rsidRDefault="00000000" w:rsidRPr="00000000" w14:paraId="00000032">
      <w:pPr>
        <w:spacing w:after="40" w:before="40" w:line="300" w:lineRule="auto"/>
        <w:ind w:left="576" w:firstLine="0"/>
        <w:rPr/>
      </w:pPr>
      <w:sdt>
        <w:sdtPr>
          <w:id w:val="1934866795"/>
          <w:tag w:val="goog_rdk_30"/>
        </w:sdtPr>
        <w:sdtContent>
          <w:r w:rsidDel="00000000" w:rsidR="00000000" w:rsidRPr="00000000">
            <w:rPr>
              <w:rFonts w:ascii="Gungsuh" w:cs="Gungsuh" w:eastAsia="Gungsuh" w:hAnsi="Gungsuh"/>
              <w:b w:val="0"/>
              <w:bCs w:val="0"/>
              <w:i w:val="0"/>
              <w:iCs w:val="0"/>
              <w:color w:val="323232"/>
              <w:sz w:val="24"/>
              <w:szCs w:val="24"/>
              <w:rtl w:val="0"/>
            </w:rPr>
            <w:t xml:space="preserve">3.1.2 整体流水线架构（日志处理 → 异常检测 → 拓扑图构建 → 根因定位）</w:t>
          </w:r>
        </w:sdtContent>
      </w:sdt>
      <w:r w:rsidDel="00000000" w:rsidR="00000000" w:rsidRPr="00000000">
        <w:rPr>
          <w:rtl w:val="0"/>
        </w:rPr>
      </w:r>
    </w:p>
    <w:p w:rsidR="00000000" w:rsidDel="00000000" w:rsidP="00000000" w:rsidRDefault="00000000" w:rsidRPr="00000000" w14:paraId="00000033">
      <w:pPr>
        <w:spacing w:after="60" w:before="120" w:line="300" w:lineRule="auto"/>
        <w:ind w:left="288" w:firstLine="0"/>
        <w:rPr/>
      </w:pPr>
      <w:sdt>
        <w:sdtPr>
          <w:id w:val="-935642517"/>
          <w:tag w:val="goog_rdk_31"/>
        </w:sdtPr>
        <w:sdtContent>
          <w:r w:rsidDel="00000000" w:rsidR="00000000" w:rsidRPr="00000000">
            <w:rPr>
              <w:rFonts w:ascii="Gungsuh" w:cs="Gungsuh" w:eastAsia="Gungsuh" w:hAnsi="Gungsuh"/>
              <w:b w:val="1"/>
              <w:bCs w:val="1"/>
              <w:i w:val="0"/>
              <w:iCs w:val="0"/>
              <w:color w:val="1e283c"/>
              <w:sz w:val="26"/>
              <w:szCs w:val="26"/>
              <w:rtl w:val="0"/>
            </w:rPr>
            <w:t xml:space="preserve">3.2 基于 LLM 的日志语义解析与序列化表征</w:t>
          </w:r>
        </w:sdtContent>
      </w:sdt>
      <w:r w:rsidDel="00000000" w:rsidR="00000000" w:rsidRPr="00000000">
        <w:rPr>
          <w:rtl w:val="0"/>
        </w:rPr>
      </w:r>
    </w:p>
    <w:p w:rsidR="00000000" w:rsidDel="00000000" w:rsidP="00000000" w:rsidRDefault="00000000" w:rsidRPr="00000000" w14:paraId="00000034">
      <w:pPr>
        <w:spacing w:after="40" w:before="40" w:line="300" w:lineRule="auto"/>
        <w:ind w:left="576" w:firstLine="0"/>
        <w:rPr/>
      </w:pPr>
      <w:sdt>
        <w:sdtPr>
          <w:id w:val="-1932944606"/>
          <w:tag w:val="goog_rdk_32"/>
        </w:sdtPr>
        <w:sdtContent>
          <w:r w:rsidDel="00000000" w:rsidR="00000000" w:rsidRPr="00000000">
            <w:rPr>
              <w:rFonts w:ascii="Gungsuh" w:cs="Gungsuh" w:eastAsia="Gungsuh" w:hAnsi="Gungsuh"/>
              <w:b w:val="0"/>
              <w:bCs w:val="0"/>
              <w:i w:val="0"/>
              <w:iCs w:val="0"/>
              <w:color w:val="323232"/>
              <w:sz w:val="24"/>
              <w:szCs w:val="24"/>
              <w:rtl w:val="0"/>
            </w:rPr>
            <w:t xml:space="preserve">3.2.1 针对非结构化日志的 LLM 零/少样本解析方法</w:t>
          </w:r>
        </w:sdtContent>
      </w:sdt>
      <w:r w:rsidDel="00000000" w:rsidR="00000000" w:rsidRPr="00000000">
        <w:rPr>
          <w:rtl w:val="0"/>
        </w:rPr>
      </w:r>
    </w:p>
    <w:p w:rsidR="00000000" w:rsidDel="00000000" w:rsidP="00000000" w:rsidRDefault="00000000" w:rsidRPr="00000000" w14:paraId="00000035">
      <w:pPr>
        <w:spacing w:after="40" w:before="40" w:line="300" w:lineRule="auto"/>
        <w:ind w:left="576" w:firstLine="0"/>
        <w:rPr/>
      </w:pPr>
      <w:sdt>
        <w:sdtPr>
          <w:id w:val="949744375"/>
          <w:tag w:val="goog_rdk_33"/>
        </w:sdtPr>
        <w:sdtContent>
          <w:r w:rsidDel="00000000" w:rsidR="00000000" w:rsidRPr="00000000">
            <w:rPr>
              <w:rFonts w:ascii="Gungsuh" w:cs="Gungsuh" w:eastAsia="Gungsuh" w:hAnsi="Gungsuh"/>
              <w:b w:val="0"/>
              <w:bCs w:val="0"/>
              <w:i w:val="0"/>
              <w:iCs w:val="0"/>
              <w:color w:val="323232"/>
              <w:sz w:val="24"/>
              <w:szCs w:val="24"/>
              <w:rtl w:val="0"/>
            </w:rPr>
            <w:t xml:space="preserve">3.2.2 考虑日志不稳定（Unstable Log）语义的深度词向量表征</w:t>
          </w:r>
        </w:sdtContent>
      </w:sdt>
      <w:r w:rsidDel="00000000" w:rsidR="00000000" w:rsidRPr="00000000">
        <w:rPr>
          <w:rtl w:val="0"/>
        </w:rPr>
      </w:r>
    </w:p>
    <w:p w:rsidR="00000000" w:rsidDel="00000000" w:rsidP="00000000" w:rsidRDefault="00000000" w:rsidRPr="00000000" w14:paraId="00000036">
      <w:pPr>
        <w:spacing w:after="60" w:before="120" w:line="300" w:lineRule="auto"/>
        <w:ind w:left="288" w:firstLine="0"/>
        <w:rPr/>
      </w:pPr>
      <w:sdt>
        <w:sdtPr>
          <w:id w:val="1941846790"/>
          <w:tag w:val="goog_rdk_34"/>
        </w:sdtPr>
        <w:sdtContent>
          <w:r w:rsidDel="00000000" w:rsidR="00000000" w:rsidRPr="00000000">
            <w:rPr>
              <w:rFonts w:ascii="Gungsuh" w:cs="Gungsuh" w:eastAsia="Gungsuh" w:hAnsi="Gungsuh"/>
              <w:b w:val="1"/>
              <w:bCs w:val="1"/>
              <w:i w:val="0"/>
              <w:iCs w:val="0"/>
              <w:color w:val="1e283c"/>
              <w:sz w:val="26"/>
              <w:szCs w:val="26"/>
              <w:rtl w:val="0"/>
            </w:rPr>
            <w:t xml:space="preserve">3.3 基于 GNN 的微服务拓扑与日志时空特征融合</w:t>
          </w:r>
        </w:sdtContent>
      </w:sdt>
      <w:r w:rsidDel="00000000" w:rsidR="00000000" w:rsidRPr="00000000">
        <w:rPr>
          <w:rtl w:val="0"/>
        </w:rPr>
      </w:r>
    </w:p>
    <w:p w:rsidR="00000000" w:rsidDel="00000000" w:rsidP="00000000" w:rsidRDefault="00000000" w:rsidRPr="00000000" w14:paraId="00000037">
      <w:pPr>
        <w:spacing w:after="40" w:before="40" w:line="300" w:lineRule="auto"/>
        <w:ind w:left="576" w:firstLine="0"/>
        <w:rPr/>
      </w:pPr>
      <w:sdt>
        <w:sdtPr>
          <w:id w:val="-294882714"/>
          <w:tag w:val="goog_rdk_35"/>
        </w:sdtPr>
        <w:sdtContent>
          <w:r w:rsidDel="00000000" w:rsidR="00000000" w:rsidRPr="00000000">
            <w:rPr>
              <w:rFonts w:ascii="Gungsuh" w:cs="Gungsuh" w:eastAsia="Gungsuh" w:hAnsi="Gungsuh"/>
              <w:b w:val="0"/>
              <w:bCs w:val="0"/>
              <w:i w:val="0"/>
              <w:iCs w:val="0"/>
              <w:color w:val="323232"/>
              <w:sz w:val="24"/>
              <w:szCs w:val="24"/>
              <w:rtl w:val="0"/>
            </w:rPr>
            <w:t xml:space="preserve">3.3.1 日志时序特征与服务依赖关系的图映射规则</w:t>
          </w:r>
        </w:sdtContent>
      </w:sdt>
      <w:r w:rsidDel="00000000" w:rsidR="00000000" w:rsidRPr="00000000">
        <w:rPr>
          <w:rtl w:val="0"/>
        </w:rPr>
      </w:r>
    </w:p>
    <w:p w:rsidR="00000000" w:rsidDel="00000000" w:rsidP="00000000" w:rsidRDefault="00000000" w:rsidRPr="00000000" w14:paraId="00000038">
      <w:pPr>
        <w:spacing w:after="40" w:before="40" w:line="300" w:lineRule="auto"/>
        <w:ind w:left="576" w:firstLine="0"/>
        <w:rPr/>
      </w:pPr>
      <w:sdt>
        <w:sdtPr>
          <w:id w:val="141471324"/>
          <w:tag w:val="goog_rdk_36"/>
        </w:sdtPr>
        <w:sdtContent>
          <w:r w:rsidDel="00000000" w:rsidR="00000000" w:rsidRPr="00000000">
            <w:rPr>
              <w:rFonts w:ascii="Gungsuh" w:cs="Gungsuh" w:eastAsia="Gungsuh" w:hAnsi="Gungsuh"/>
              <w:b w:val="0"/>
              <w:bCs w:val="0"/>
              <w:i w:val="0"/>
              <w:iCs w:val="0"/>
              <w:color w:val="323232"/>
              <w:sz w:val="24"/>
              <w:szCs w:val="24"/>
              <w:rtl w:val="0"/>
            </w:rPr>
            <w:t xml:space="preserve">3.3.2 结合注意力的多模态异构图构建（结合调用链与日志表征）</w:t>
          </w:r>
        </w:sdtContent>
      </w:sdt>
      <w:r w:rsidDel="00000000" w:rsidR="00000000" w:rsidRPr="00000000">
        <w:rPr>
          <w:rtl w:val="0"/>
        </w:rPr>
      </w:r>
    </w:p>
    <w:p w:rsidR="00000000" w:rsidDel="00000000" w:rsidP="00000000" w:rsidRDefault="00000000" w:rsidRPr="00000000" w14:paraId="00000039">
      <w:pPr>
        <w:spacing w:after="60" w:before="120" w:line="300" w:lineRule="auto"/>
        <w:ind w:left="288" w:firstLine="0"/>
        <w:rPr/>
      </w:pPr>
      <w:sdt>
        <w:sdtPr>
          <w:id w:val="-1085885270"/>
          <w:tag w:val="goog_rdk_37"/>
        </w:sdtPr>
        <w:sdtContent>
          <w:r w:rsidDel="00000000" w:rsidR="00000000" w:rsidRPr="00000000">
            <w:rPr>
              <w:rFonts w:ascii="Gungsuh" w:cs="Gungsuh" w:eastAsia="Gungsuh" w:hAnsi="Gungsuh"/>
              <w:b w:val="1"/>
              <w:bCs w:val="1"/>
              <w:i w:val="0"/>
              <w:iCs w:val="0"/>
              <w:color w:val="1e283c"/>
              <w:sz w:val="26"/>
              <w:szCs w:val="26"/>
              <w:rtl w:val="0"/>
            </w:rPr>
            <w:t xml:space="preserve">3.4 异常检测与根因定位算法设计</w:t>
          </w:r>
        </w:sdtContent>
      </w:sdt>
      <w:r w:rsidDel="00000000" w:rsidR="00000000" w:rsidRPr="00000000">
        <w:rPr>
          <w:rtl w:val="0"/>
        </w:rPr>
      </w:r>
    </w:p>
    <w:p w:rsidR="00000000" w:rsidDel="00000000" w:rsidP="00000000" w:rsidRDefault="00000000" w:rsidRPr="00000000" w14:paraId="0000003A">
      <w:pPr>
        <w:spacing w:after="40" w:before="40" w:line="300" w:lineRule="auto"/>
        <w:ind w:left="576" w:firstLine="0"/>
        <w:rPr/>
      </w:pPr>
      <w:sdt>
        <w:sdtPr>
          <w:id w:val="1432481441"/>
          <w:tag w:val="goog_rdk_38"/>
        </w:sdtPr>
        <w:sdtContent>
          <w:r w:rsidDel="00000000" w:rsidR="00000000" w:rsidRPr="00000000">
            <w:rPr>
              <w:rFonts w:ascii="Gungsuh" w:cs="Gungsuh" w:eastAsia="Gungsuh" w:hAnsi="Gungsuh"/>
              <w:b w:val="0"/>
              <w:bCs w:val="0"/>
              <w:i w:val="0"/>
              <w:iCs w:val="0"/>
              <w:color w:val="323232"/>
              <w:sz w:val="24"/>
              <w:szCs w:val="24"/>
              <w:rtl w:val="0"/>
            </w:rPr>
            <w:t xml:space="preserve">3.4.1 基于 LLM 增强的日志异常概率推断（异常检测模块）</w:t>
          </w:r>
        </w:sdtContent>
      </w:sdt>
      <w:r w:rsidDel="00000000" w:rsidR="00000000" w:rsidRPr="00000000">
        <w:rPr>
          <w:rtl w:val="0"/>
        </w:rPr>
      </w:r>
    </w:p>
    <w:p w:rsidR="00000000" w:rsidDel="00000000" w:rsidP="00000000" w:rsidRDefault="00000000" w:rsidRPr="00000000" w14:paraId="0000003B">
      <w:pPr>
        <w:spacing w:after="40" w:before="40" w:line="300" w:lineRule="auto"/>
        <w:ind w:left="576" w:firstLine="0"/>
        <w:rPr/>
      </w:pPr>
      <w:sdt>
        <w:sdtPr>
          <w:id w:val="1753600251"/>
          <w:tag w:val="goog_rdk_39"/>
        </w:sdtPr>
        <w:sdtContent>
          <w:r w:rsidDel="00000000" w:rsidR="00000000" w:rsidRPr="00000000">
            <w:rPr>
              <w:rFonts w:ascii="Gungsuh" w:cs="Gungsuh" w:eastAsia="Gungsuh" w:hAnsi="Gungsuh"/>
              <w:b w:val="0"/>
              <w:bCs w:val="0"/>
              <w:i w:val="0"/>
              <w:iCs w:val="0"/>
              <w:color w:val="323232"/>
              <w:sz w:val="24"/>
              <w:szCs w:val="24"/>
              <w:rtl w:val="0"/>
            </w:rPr>
            <w:t xml:space="preserve">3.4.2 基于 GNN 节点贡献度与节点传播分析的根因定位算法（根因定位模块）</w:t>
          </w:r>
        </w:sdtContent>
      </w:sdt>
      <w:r w:rsidDel="00000000" w:rsidR="00000000" w:rsidRPr="00000000">
        <w:rPr>
          <w:rtl w:val="0"/>
        </w:rPr>
      </w:r>
    </w:p>
    <w:p w:rsidR="00000000" w:rsidDel="00000000" w:rsidP="00000000" w:rsidRDefault="00000000" w:rsidRPr="00000000" w14:paraId="0000003C">
      <w:pPr>
        <w:spacing w:after="60" w:before="120" w:line="300" w:lineRule="auto"/>
        <w:ind w:left="288" w:firstLine="0"/>
        <w:rPr/>
      </w:pPr>
      <w:sdt>
        <w:sdtPr>
          <w:id w:val="1805903707"/>
          <w:tag w:val="goog_rdk_40"/>
        </w:sdtPr>
        <w:sdtContent>
          <w:r w:rsidDel="00000000" w:rsidR="00000000" w:rsidRPr="00000000">
            <w:rPr>
              <w:rFonts w:ascii="Gungsuh" w:cs="Gungsuh" w:eastAsia="Gungsuh" w:hAnsi="Gungsuh"/>
              <w:b w:val="1"/>
              <w:bCs w:val="1"/>
              <w:i w:val="0"/>
              <w:iCs w:val="0"/>
              <w:color w:val="1e283c"/>
              <w:sz w:val="26"/>
              <w:szCs w:val="26"/>
              <w:rtl w:val="0"/>
            </w:rPr>
            <w:t xml:space="preserve">3.5 本章小结</w:t>
          </w:r>
        </w:sdtContent>
      </w:sdt>
      <w:r w:rsidDel="00000000" w:rsidR="00000000" w:rsidRPr="00000000">
        <w:rPr>
          <w:rtl w:val="0"/>
        </w:rPr>
      </w:r>
    </w:p>
    <w:p w:rsidR="00000000" w:rsidDel="00000000" w:rsidP="00000000" w:rsidRDefault="00000000" w:rsidRPr="00000000" w14:paraId="0000003D">
      <w:pPr>
        <w:spacing w:after="120" w:before="280" w:line="300" w:lineRule="auto"/>
        <w:rPr/>
      </w:pPr>
      <w:sdt>
        <w:sdtPr>
          <w:id w:val="-2123437905"/>
          <w:tag w:val="goog_rdk_41"/>
        </w:sdtPr>
        <w:sdtContent>
          <w:r w:rsidDel="00000000" w:rsidR="00000000" w:rsidRPr="00000000">
            <w:rPr>
              <w:rFonts w:ascii="Gungsuh" w:cs="Gungsuh" w:eastAsia="Gungsuh" w:hAnsi="Gungsuh"/>
              <w:b w:val="1"/>
              <w:bCs w:val="1"/>
              <w:i w:val="0"/>
              <w:iCs w:val="0"/>
              <w:color w:val="0f2043"/>
              <w:sz w:val="30"/>
              <w:szCs w:val="30"/>
              <w:rtl w:val="0"/>
            </w:rPr>
            <w:t xml:space="preserve">第 4 章 实验设计与结果分析</w:t>
          </w:r>
        </w:sdtContent>
      </w:sdt>
      <w:r w:rsidDel="00000000" w:rsidR="00000000" w:rsidRPr="00000000">
        <w:rPr>
          <w:rtl w:val="0"/>
        </w:rPr>
      </w:r>
    </w:p>
    <w:p w:rsidR="00000000" w:rsidDel="00000000" w:rsidP="00000000" w:rsidRDefault="00000000" w:rsidRPr="00000000" w14:paraId="0000003E">
      <w:pPr>
        <w:spacing w:after="60" w:before="120" w:line="300" w:lineRule="auto"/>
        <w:ind w:left="288" w:firstLine="0"/>
        <w:rPr/>
      </w:pPr>
      <w:sdt>
        <w:sdtPr>
          <w:id w:val="-363503050"/>
          <w:tag w:val="goog_rdk_42"/>
        </w:sdtPr>
        <w:sdtContent>
          <w:r w:rsidDel="00000000" w:rsidR="00000000" w:rsidRPr="00000000">
            <w:rPr>
              <w:rFonts w:ascii="Gungsuh" w:cs="Gungsuh" w:eastAsia="Gungsuh" w:hAnsi="Gungsuh"/>
              <w:b w:val="1"/>
              <w:bCs w:val="1"/>
              <w:i w:val="0"/>
              <w:iCs w:val="0"/>
              <w:color w:val="1e283c"/>
              <w:sz w:val="26"/>
              <w:szCs w:val="26"/>
              <w:rtl w:val="0"/>
            </w:rPr>
            <w:t xml:space="preserve">4.1 实验环境与数据集介绍</w:t>
          </w:r>
        </w:sdtContent>
      </w:sdt>
      <w:r w:rsidDel="00000000" w:rsidR="00000000" w:rsidRPr="00000000">
        <w:rPr>
          <w:rtl w:val="0"/>
        </w:rPr>
      </w:r>
    </w:p>
    <w:p w:rsidR="00000000" w:rsidDel="00000000" w:rsidP="00000000" w:rsidRDefault="00000000" w:rsidRPr="00000000" w14:paraId="0000003F">
      <w:pPr>
        <w:spacing w:after="40" w:before="40" w:line="300" w:lineRule="auto"/>
        <w:ind w:left="576" w:firstLine="0"/>
        <w:rPr/>
      </w:pPr>
      <w:sdt>
        <w:sdtPr>
          <w:id w:val="2079782604"/>
          <w:tag w:val="goog_rdk_43"/>
        </w:sdtPr>
        <w:sdtContent>
          <w:r w:rsidDel="00000000" w:rsidR="00000000" w:rsidRPr="00000000">
            <w:rPr>
              <w:rFonts w:ascii="Gungsuh" w:cs="Gungsuh" w:eastAsia="Gungsuh" w:hAnsi="Gungsuh"/>
              <w:b w:val="0"/>
              <w:bCs w:val="0"/>
              <w:i w:val="0"/>
              <w:iCs w:val="0"/>
              <w:color w:val="323232"/>
              <w:sz w:val="24"/>
              <w:szCs w:val="24"/>
              <w:rtl w:val="0"/>
            </w:rPr>
            <w:t xml:space="preserve">4.1.1 实验运行环境与硬件配置</w:t>
          </w:r>
        </w:sdtContent>
      </w:sdt>
      <w:r w:rsidDel="00000000" w:rsidR="00000000" w:rsidRPr="00000000">
        <w:rPr>
          <w:rtl w:val="0"/>
        </w:rPr>
      </w:r>
    </w:p>
    <w:p w:rsidR="00000000" w:rsidDel="00000000" w:rsidP="00000000" w:rsidRDefault="00000000" w:rsidRPr="00000000" w14:paraId="00000040">
      <w:pPr>
        <w:spacing w:after="40" w:before="40" w:line="300" w:lineRule="auto"/>
        <w:ind w:left="576" w:firstLine="0"/>
        <w:rPr/>
      </w:pPr>
      <w:sdt>
        <w:sdtPr>
          <w:id w:val="-579492093"/>
          <w:tag w:val="goog_rdk_44"/>
        </w:sdtPr>
        <w:sdtContent>
          <w:r w:rsidDel="00000000" w:rsidR="00000000" w:rsidRPr="00000000">
            <w:rPr>
              <w:rFonts w:ascii="Gungsuh" w:cs="Gungsuh" w:eastAsia="Gungsuh" w:hAnsi="Gungsuh"/>
              <w:b w:val="0"/>
              <w:bCs w:val="0"/>
              <w:i w:val="0"/>
              <w:iCs w:val="0"/>
              <w:color w:val="323232"/>
              <w:sz w:val="24"/>
              <w:szCs w:val="24"/>
              <w:rtl w:val="0"/>
            </w:rPr>
            <w:t xml:space="preserve">4.1.2 公开数据集（Loghub：HDFS、BGL、TrainTicket 等）与微服务故障注入测试集</w:t>
          </w:r>
        </w:sdtContent>
      </w:sdt>
      <w:r w:rsidDel="00000000" w:rsidR="00000000" w:rsidRPr="00000000">
        <w:rPr>
          <w:rtl w:val="0"/>
        </w:rPr>
      </w:r>
    </w:p>
    <w:p w:rsidR="00000000" w:rsidDel="00000000" w:rsidP="00000000" w:rsidRDefault="00000000" w:rsidRPr="00000000" w14:paraId="00000041">
      <w:pPr>
        <w:spacing w:after="60" w:before="120" w:line="300" w:lineRule="auto"/>
        <w:ind w:left="288" w:firstLine="0"/>
        <w:rPr/>
      </w:pPr>
      <w:sdt>
        <w:sdtPr>
          <w:id w:val="-1521977131"/>
          <w:tag w:val="goog_rdk_45"/>
        </w:sdtPr>
        <w:sdtContent>
          <w:r w:rsidDel="00000000" w:rsidR="00000000" w:rsidRPr="00000000">
            <w:rPr>
              <w:rFonts w:ascii="Gungsuh" w:cs="Gungsuh" w:eastAsia="Gungsuh" w:hAnsi="Gungsuh"/>
              <w:b w:val="1"/>
              <w:bCs w:val="1"/>
              <w:i w:val="0"/>
              <w:iCs w:val="0"/>
              <w:color w:val="1e283c"/>
              <w:sz w:val="26"/>
              <w:szCs w:val="26"/>
              <w:rtl w:val="0"/>
            </w:rPr>
            <w:t xml:space="preserve">4.2 评价指标</w:t>
          </w:r>
        </w:sdtContent>
      </w:sdt>
      <w:r w:rsidDel="00000000" w:rsidR="00000000" w:rsidRPr="00000000">
        <w:rPr>
          <w:rtl w:val="0"/>
        </w:rPr>
      </w:r>
    </w:p>
    <w:p w:rsidR="00000000" w:rsidDel="00000000" w:rsidP="00000000" w:rsidRDefault="00000000" w:rsidRPr="00000000" w14:paraId="00000042">
      <w:pPr>
        <w:spacing w:after="40" w:before="40" w:line="300" w:lineRule="auto"/>
        <w:ind w:left="576" w:firstLine="0"/>
        <w:rPr/>
      </w:pPr>
      <w:sdt>
        <w:sdtPr>
          <w:id w:val="-1195120235"/>
          <w:tag w:val="goog_rdk_46"/>
        </w:sdtPr>
        <w:sdtContent>
          <w:r w:rsidDel="00000000" w:rsidR="00000000" w:rsidRPr="00000000">
            <w:rPr>
              <w:rFonts w:ascii="Gungsuh" w:cs="Gungsuh" w:eastAsia="Gungsuh" w:hAnsi="Gungsuh"/>
              <w:b w:val="0"/>
              <w:bCs w:val="0"/>
              <w:i w:val="0"/>
              <w:iCs w:val="0"/>
              <w:color w:val="323232"/>
              <w:sz w:val="24"/>
              <w:szCs w:val="24"/>
              <w:rtl w:val="0"/>
            </w:rPr>
            <w:t xml:space="preserve">4.2.1 异常检测评价指标（Precision, Recall, F1-Score）</w:t>
          </w:r>
        </w:sdtContent>
      </w:sdt>
      <w:r w:rsidDel="00000000" w:rsidR="00000000" w:rsidRPr="00000000">
        <w:rPr>
          <w:rtl w:val="0"/>
        </w:rPr>
      </w:r>
    </w:p>
    <w:p w:rsidR="00000000" w:rsidDel="00000000" w:rsidP="00000000" w:rsidRDefault="00000000" w:rsidRPr="00000000" w14:paraId="00000043">
      <w:pPr>
        <w:spacing w:after="40" w:before="40" w:line="300" w:lineRule="auto"/>
        <w:ind w:left="576" w:firstLine="0"/>
        <w:rPr/>
      </w:pPr>
      <w:sdt>
        <w:sdtPr>
          <w:id w:val="300360163"/>
          <w:tag w:val="goog_rdk_47"/>
        </w:sdtPr>
        <w:sdtContent>
          <w:r w:rsidDel="00000000" w:rsidR="00000000" w:rsidRPr="00000000">
            <w:rPr>
              <w:rFonts w:ascii="Gungsuh" w:cs="Gungsuh" w:eastAsia="Gungsuh" w:hAnsi="Gungsuh"/>
              <w:b w:val="0"/>
              <w:bCs w:val="0"/>
              <w:i w:val="0"/>
              <w:iCs w:val="0"/>
              <w:color w:val="323232"/>
              <w:sz w:val="24"/>
              <w:szCs w:val="24"/>
              <w:rtl w:val="0"/>
            </w:rPr>
            <w:t xml:space="preserve">4.2.2 根因定位评价指标（Top-k Accuracy, HR@k, MRR）</w:t>
          </w:r>
        </w:sdtContent>
      </w:sdt>
      <w:r w:rsidDel="00000000" w:rsidR="00000000" w:rsidRPr="00000000">
        <w:rPr>
          <w:rtl w:val="0"/>
        </w:rPr>
      </w:r>
    </w:p>
    <w:p w:rsidR="00000000" w:rsidDel="00000000" w:rsidP="00000000" w:rsidRDefault="00000000" w:rsidRPr="00000000" w14:paraId="00000044">
      <w:pPr>
        <w:spacing w:after="60" w:before="120" w:line="300" w:lineRule="auto"/>
        <w:ind w:left="288" w:firstLine="0"/>
        <w:rPr/>
      </w:pPr>
      <w:sdt>
        <w:sdtPr>
          <w:id w:val="1524879339"/>
          <w:tag w:val="goog_rdk_48"/>
        </w:sdtPr>
        <w:sdtContent>
          <w:r w:rsidDel="00000000" w:rsidR="00000000" w:rsidRPr="00000000">
            <w:rPr>
              <w:rFonts w:ascii="Gungsuh" w:cs="Gungsuh" w:eastAsia="Gungsuh" w:hAnsi="Gungsuh"/>
              <w:b w:val="1"/>
              <w:bCs w:val="1"/>
              <w:i w:val="0"/>
              <w:iCs w:val="0"/>
              <w:color w:val="1e283c"/>
              <w:sz w:val="26"/>
              <w:szCs w:val="26"/>
              <w:rtl w:val="0"/>
            </w:rPr>
            <w:t xml:space="preserve">4.3 对比实验与分析</w:t>
          </w:r>
        </w:sdtContent>
      </w:sdt>
      <w:r w:rsidDel="00000000" w:rsidR="00000000" w:rsidRPr="00000000">
        <w:rPr>
          <w:rtl w:val="0"/>
        </w:rPr>
      </w:r>
    </w:p>
    <w:p w:rsidR="00000000" w:rsidDel="00000000" w:rsidP="00000000" w:rsidRDefault="00000000" w:rsidRPr="00000000" w14:paraId="00000045">
      <w:pPr>
        <w:spacing w:after="40" w:before="40" w:line="300" w:lineRule="auto"/>
        <w:ind w:left="576" w:firstLine="0"/>
        <w:rPr/>
      </w:pPr>
      <w:sdt>
        <w:sdtPr>
          <w:id w:val="-2072048605"/>
          <w:tag w:val="goog_rdk_49"/>
        </w:sdtPr>
        <w:sdtContent>
          <w:r w:rsidDel="00000000" w:rsidR="00000000" w:rsidRPr="00000000">
            <w:rPr>
              <w:rFonts w:ascii="Gungsuh" w:cs="Gungsuh" w:eastAsia="Gungsuh" w:hAnsi="Gungsuh"/>
              <w:b w:val="0"/>
              <w:bCs w:val="0"/>
              <w:i w:val="0"/>
              <w:iCs w:val="0"/>
              <w:color w:val="323232"/>
              <w:sz w:val="24"/>
              <w:szCs w:val="24"/>
              <w:rtl w:val="0"/>
            </w:rPr>
            <w:t xml:space="preserve">4.3.1 日志异常检测性能对比（对比 DeepLog、LogRobust、LogGPT 等 Baseline）</w:t>
          </w:r>
        </w:sdtContent>
      </w:sdt>
      <w:r w:rsidDel="00000000" w:rsidR="00000000" w:rsidRPr="00000000">
        <w:rPr>
          <w:rtl w:val="0"/>
        </w:rPr>
      </w:r>
    </w:p>
    <w:p w:rsidR="00000000" w:rsidDel="00000000" w:rsidP="00000000" w:rsidRDefault="00000000" w:rsidRPr="00000000" w14:paraId="00000046">
      <w:pPr>
        <w:spacing w:after="40" w:before="40" w:line="300" w:lineRule="auto"/>
        <w:ind w:left="576" w:firstLine="0"/>
        <w:rPr/>
      </w:pPr>
      <w:sdt>
        <w:sdtPr>
          <w:id w:val="1272032338"/>
          <w:tag w:val="goog_rdk_50"/>
        </w:sdtPr>
        <w:sdtContent>
          <w:r w:rsidDel="00000000" w:rsidR="00000000" w:rsidRPr="00000000">
            <w:rPr>
              <w:rFonts w:ascii="Gungsuh" w:cs="Gungsuh" w:eastAsia="Gungsuh" w:hAnsi="Gungsuh"/>
              <w:b w:val="0"/>
              <w:bCs w:val="0"/>
              <w:i w:val="0"/>
              <w:iCs w:val="0"/>
              <w:color w:val="323232"/>
              <w:sz w:val="24"/>
              <w:szCs w:val="24"/>
              <w:rtl w:val="0"/>
            </w:rPr>
            <w:t xml:space="preserve">4.3.2 根因定位准确率对比与分析</w:t>
          </w:r>
        </w:sdtContent>
      </w:sdt>
      <w:r w:rsidDel="00000000" w:rsidR="00000000" w:rsidRPr="00000000">
        <w:rPr>
          <w:rtl w:val="0"/>
        </w:rPr>
      </w:r>
    </w:p>
    <w:p w:rsidR="00000000" w:rsidDel="00000000" w:rsidP="00000000" w:rsidRDefault="00000000" w:rsidRPr="00000000" w14:paraId="00000047">
      <w:pPr>
        <w:spacing w:after="40" w:before="40" w:line="300" w:lineRule="auto"/>
        <w:ind w:left="576" w:firstLine="0"/>
        <w:rPr/>
      </w:pPr>
      <w:sdt>
        <w:sdtPr>
          <w:id w:val="1028661227"/>
          <w:tag w:val="goog_rdk_51"/>
        </w:sdtPr>
        <w:sdtContent>
          <w:r w:rsidDel="00000000" w:rsidR="00000000" w:rsidRPr="00000000">
            <w:rPr>
              <w:rFonts w:ascii="Gungsuh" w:cs="Gungsuh" w:eastAsia="Gungsuh" w:hAnsi="Gungsuh"/>
              <w:b w:val="0"/>
              <w:bCs w:val="0"/>
              <w:i w:val="0"/>
              <w:iCs w:val="0"/>
              <w:color w:val="323232"/>
              <w:sz w:val="24"/>
              <w:szCs w:val="24"/>
              <w:rtl w:val="0"/>
            </w:rPr>
            <w:t xml:space="preserve">4.3.3 模型在不稳定日志数据（Unstable Log）下的鲁棒性分析</w:t>
          </w:r>
        </w:sdtContent>
      </w:sdt>
      <w:r w:rsidDel="00000000" w:rsidR="00000000" w:rsidRPr="00000000">
        <w:rPr>
          <w:rtl w:val="0"/>
        </w:rPr>
      </w:r>
    </w:p>
    <w:p w:rsidR="00000000" w:rsidDel="00000000" w:rsidP="00000000" w:rsidRDefault="00000000" w:rsidRPr="00000000" w14:paraId="00000048">
      <w:pPr>
        <w:spacing w:after="60" w:before="120" w:line="300" w:lineRule="auto"/>
        <w:ind w:left="288" w:firstLine="0"/>
        <w:rPr/>
      </w:pPr>
      <w:sdt>
        <w:sdtPr>
          <w:id w:val="-1251459767"/>
          <w:tag w:val="goog_rdk_52"/>
        </w:sdtPr>
        <w:sdtContent>
          <w:r w:rsidDel="00000000" w:rsidR="00000000" w:rsidRPr="00000000">
            <w:rPr>
              <w:rFonts w:ascii="Gungsuh" w:cs="Gungsuh" w:eastAsia="Gungsuh" w:hAnsi="Gungsuh"/>
              <w:b w:val="1"/>
              <w:bCs w:val="1"/>
              <w:i w:val="0"/>
              <w:iCs w:val="0"/>
              <w:color w:val="1e283c"/>
              <w:sz w:val="26"/>
              <w:szCs w:val="26"/>
              <w:rtl w:val="0"/>
            </w:rPr>
            <w:t xml:space="preserve">4.4 消融实验与超参数敏感性分析</w:t>
          </w:r>
        </w:sdtContent>
      </w:sdt>
      <w:r w:rsidDel="00000000" w:rsidR="00000000" w:rsidRPr="00000000">
        <w:rPr>
          <w:rtl w:val="0"/>
        </w:rPr>
      </w:r>
    </w:p>
    <w:p w:rsidR="00000000" w:rsidDel="00000000" w:rsidP="00000000" w:rsidRDefault="00000000" w:rsidRPr="00000000" w14:paraId="00000049">
      <w:pPr>
        <w:spacing w:after="40" w:before="40" w:line="300" w:lineRule="auto"/>
        <w:ind w:left="576" w:firstLine="0"/>
        <w:rPr/>
      </w:pPr>
      <w:sdt>
        <w:sdtPr>
          <w:id w:val="-1040343149"/>
          <w:tag w:val="goog_rdk_53"/>
        </w:sdtPr>
        <w:sdtContent>
          <w:r w:rsidDel="00000000" w:rsidR="00000000" w:rsidRPr="00000000">
            <w:rPr>
              <w:rFonts w:ascii="Gungsuh" w:cs="Gungsuh" w:eastAsia="Gungsuh" w:hAnsi="Gungsuh"/>
              <w:b w:val="0"/>
              <w:bCs w:val="0"/>
              <w:i w:val="0"/>
              <w:iCs w:val="0"/>
              <w:color w:val="323232"/>
              <w:sz w:val="24"/>
              <w:szCs w:val="24"/>
              <w:rtl w:val="0"/>
            </w:rPr>
            <w:t xml:space="preserve">4.4.1 LLM 语义表征与 GNN 拓扑模块的消融实验</w:t>
          </w:r>
        </w:sdtContent>
      </w:sdt>
      <w:r w:rsidDel="00000000" w:rsidR="00000000" w:rsidRPr="00000000">
        <w:rPr>
          <w:rtl w:val="0"/>
        </w:rPr>
      </w:r>
    </w:p>
    <w:p w:rsidR="00000000" w:rsidDel="00000000" w:rsidP="00000000" w:rsidRDefault="00000000" w:rsidRPr="00000000" w14:paraId="0000004A">
      <w:pPr>
        <w:spacing w:after="40" w:before="40" w:line="300" w:lineRule="auto"/>
        <w:ind w:left="576" w:firstLine="0"/>
        <w:rPr/>
      </w:pPr>
      <w:sdt>
        <w:sdtPr>
          <w:id w:val="-561839045"/>
          <w:tag w:val="goog_rdk_54"/>
        </w:sdtPr>
        <w:sdtContent>
          <w:r w:rsidDel="00000000" w:rsidR="00000000" w:rsidRPr="00000000">
            <w:rPr>
              <w:rFonts w:ascii="Gungsuh" w:cs="Gungsuh" w:eastAsia="Gungsuh" w:hAnsi="Gungsuh"/>
              <w:b w:val="0"/>
              <w:bCs w:val="0"/>
              <w:i w:val="0"/>
              <w:iCs w:val="0"/>
              <w:color w:val="323232"/>
              <w:sz w:val="24"/>
              <w:szCs w:val="24"/>
              <w:rtl w:val="0"/>
            </w:rPr>
            <w:t xml:space="preserve">4.4.2 采样窗口大小及图神经网络层数对性能的影响</w:t>
          </w:r>
        </w:sdtContent>
      </w:sdt>
      <w:r w:rsidDel="00000000" w:rsidR="00000000" w:rsidRPr="00000000">
        <w:rPr>
          <w:rtl w:val="0"/>
        </w:rPr>
      </w:r>
    </w:p>
    <w:p w:rsidR="00000000" w:rsidDel="00000000" w:rsidP="00000000" w:rsidRDefault="00000000" w:rsidRPr="00000000" w14:paraId="0000004B">
      <w:pPr>
        <w:spacing w:after="60" w:before="120" w:line="300" w:lineRule="auto"/>
        <w:ind w:left="288" w:firstLine="0"/>
        <w:rPr/>
      </w:pPr>
      <w:sdt>
        <w:sdtPr>
          <w:id w:val="-845868924"/>
          <w:tag w:val="goog_rdk_55"/>
        </w:sdtPr>
        <w:sdtContent>
          <w:r w:rsidDel="00000000" w:rsidR="00000000" w:rsidRPr="00000000">
            <w:rPr>
              <w:rFonts w:ascii="Gungsuh" w:cs="Gungsuh" w:eastAsia="Gungsuh" w:hAnsi="Gungsuh"/>
              <w:b w:val="1"/>
              <w:bCs w:val="1"/>
              <w:i w:val="0"/>
              <w:iCs w:val="0"/>
              <w:color w:val="1e283c"/>
              <w:sz w:val="26"/>
              <w:szCs w:val="26"/>
              <w:rtl w:val="0"/>
            </w:rPr>
            <w:t xml:space="preserve">4.5 本章小结</w:t>
          </w:r>
        </w:sdtContent>
      </w:sdt>
      <w:r w:rsidDel="00000000" w:rsidR="00000000" w:rsidRPr="00000000">
        <w:rPr>
          <w:rtl w:val="0"/>
        </w:rPr>
      </w:r>
    </w:p>
    <w:p w:rsidR="00000000" w:rsidDel="00000000" w:rsidP="00000000" w:rsidRDefault="00000000" w:rsidRPr="00000000" w14:paraId="0000004C">
      <w:pPr>
        <w:spacing w:after="120" w:before="280" w:line="300" w:lineRule="auto"/>
        <w:rPr/>
      </w:pPr>
      <w:sdt>
        <w:sdtPr>
          <w:id w:val="-2040165726"/>
          <w:tag w:val="goog_rdk_56"/>
        </w:sdtPr>
        <w:sdtContent>
          <w:r w:rsidDel="00000000" w:rsidR="00000000" w:rsidRPr="00000000">
            <w:rPr>
              <w:rFonts w:ascii="Gungsuh" w:cs="Gungsuh" w:eastAsia="Gungsuh" w:hAnsi="Gungsuh"/>
              <w:b w:val="1"/>
              <w:bCs w:val="1"/>
              <w:i w:val="0"/>
              <w:iCs w:val="0"/>
              <w:color w:val="0f2043"/>
              <w:sz w:val="30"/>
              <w:szCs w:val="30"/>
              <w:rtl w:val="0"/>
            </w:rPr>
            <w:t xml:space="preserve">第 5 章 总结与展望</w:t>
          </w:r>
        </w:sdtContent>
      </w:sdt>
      <w:r w:rsidDel="00000000" w:rsidR="00000000" w:rsidRPr="00000000">
        <w:rPr>
          <w:rtl w:val="0"/>
        </w:rPr>
      </w:r>
    </w:p>
    <w:p w:rsidR="00000000" w:rsidDel="00000000" w:rsidP="00000000" w:rsidRDefault="00000000" w:rsidRPr="00000000" w14:paraId="0000004D">
      <w:pPr>
        <w:spacing w:after="60" w:before="120" w:line="300" w:lineRule="auto"/>
        <w:ind w:left="288" w:firstLine="0"/>
        <w:rPr/>
      </w:pPr>
      <w:sdt>
        <w:sdtPr>
          <w:id w:val="-434179549"/>
          <w:tag w:val="goog_rdk_57"/>
        </w:sdtPr>
        <w:sdtContent>
          <w:r w:rsidDel="00000000" w:rsidR="00000000" w:rsidRPr="00000000">
            <w:rPr>
              <w:rFonts w:ascii="Gungsuh" w:cs="Gungsuh" w:eastAsia="Gungsuh" w:hAnsi="Gungsuh"/>
              <w:b w:val="1"/>
              <w:bCs w:val="1"/>
              <w:i w:val="0"/>
              <w:iCs w:val="0"/>
              <w:color w:val="1e283c"/>
              <w:sz w:val="26"/>
              <w:szCs w:val="26"/>
              <w:rtl w:val="0"/>
            </w:rPr>
            <w:t xml:space="preserve">5.1 全文工作总结</w:t>
          </w:r>
        </w:sdtContent>
      </w:sdt>
      <w:r w:rsidDel="00000000" w:rsidR="00000000" w:rsidRPr="00000000">
        <w:rPr>
          <w:rtl w:val="0"/>
        </w:rPr>
      </w:r>
    </w:p>
    <w:p w:rsidR="00000000" w:rsidDel="00000000" w:rsidP="00000000" w:rsidRDefault="00000000" w:rsidRPr="00000000" w14:paraId="0000004E">
      <w:pPr>
        <w:spacing w:after="60" w:before="120" w:line="300" w:lineRule="auto"/>
        <w:ind w:left="288" w:firstLine="0"/>
        <w:rPr/>
      </w:pPr>
      <w:sdt>
        <w:sdtPr>
          <w:id w:val="1069623956"/>
          <w:tag w:val="goog_rdk_58"/>
        </w:sdtPr>
        <w:sdtContent>
          <w:r w:rsidDel="00000000" w:rsidR="00000000" w:rsidRPr="00000000">
            <w:rPr>
              <w:rFonts w:ascii="Gungsuh" w:cs="Gungsuh" w:eastAsia="Gungsuh" w:hAnsi="Gungsuh"/>
              <w:b w:val="1"/>
              <w:bCs w:val="1"/>
              <w:i w:val="0"/>
              <w:iCs w:val="0"/>
              <w:color w:val="1e283c"/>
              <w:sz w:val="26"/>
              <w:szCs w:val="26"/>
              <w:rtl w:val="0"/>
            </w:rPr>
            <w:t xml:space="preserve">5.2 研究局限性与未来展望</w:t>
          </w:r>
        </w:sdtContent>
      </w:sdt>
      <w:r w:rsidDel="00000000" w:rsidR="00000000" w:rsidRPr="00000000">
        <w:rPr>
          <w:rtl w:val="0"/>
        </w:rPr>
      </w:r>
    </w:p>
    <w:p w:rsidR="00000000" w:rsidDel="00000000" w:rsidP="00000000" w:rsidRDefault="00000000" w:rsidRPr="00000000" w14:paraId="0000004F">
      <w:pPr>
        <w:spacing w:after="160" w:before="360" w:lineRule="auto"/>
        <w:rPr/>
      </w:pPr>
      <w:sdt>
        <w:sdtPr>
          <w:id w:val="1933506746"/>
          <w:tag w:val="goog_rdk_59"/>
        </w:sdtPr>
        <w:sdtContent>
          <w:r w:rsidDel="00000000" w:rsidR="00000000" w:rsidRPr="00000000">
            <w:rPr>
              <w:rFonts w:ascii="Gungsuh" w:cs="Gungsuh" w:eastAsia="Gungsuh" w:hAnsi="Gungsuh"/>
              <w:b w:val="1"/>
              <w:bCs w:val="1"/>
              <w:i w:val="0"/>
              <w:iCs w:val="0"/>
              <w:color w:val="0f2043"/>
              <w:sz w:val="30"/>
              <w:szCs w:val="30"/>
              <w:rtl w:val="0"/>
            </w:rPr>
            <w:t xml:space="preserve">参考文献</w:t>
          </w:r>
        </w:sdtContent>
      </w:sdt>
      <w:r w:rsidDel="00000000" w:rsidR="00000000" w:rsidRPr="00000000">
        <w:rPr>
          <w:rtl w:val="0"/>
        </w:rPr>
      </w:r>
    </w:p>
    <w:p w:rsidR="00000000" w:rsidDel="00000000" w:rsidP="00000000" w:rsidRDefault="00000000" w:rsidRPr="00000000" w14:paraId="00000050">
      <w:pPr>
        <w:spacing w:after="80" w:before="40" w:line="276" w:lineRule="auto"/>
        <w:ind w:left="432" w:hanging="432"/>
        <w:rPr/>
      </w:pPr>
      <w:r w:rsidDel="00000000" w:rsidR="00000000" w:rsidRPr="00000000">
        <w:rPr>
          <w:rFonts w:ascii="Times New Roman" w:cs="Times New Roman" w:eastAsia="Times New Roman" w:hAnsi="Times New Roman"/>
          <w:b w:val="0"/>
          <w:bCs w:val="0"/>
          <w:i w:val="0"/>
          <w:iCs w:val="0"/>
          <w:color w:val="282828"/>
          <w:sz w:val="21"/>
          <w:szCs w:val="21"/>
          <w:rtl w:val="0"/>
        </w:rPr>
        <w:t xml:space="preserve">[1] Du, M., Li, F., Zheng, G., &amp; Srikumar, V. (2017). DeepLog: Anomaly detection and diagnosis from system logs through deep learning. In Proceedings of the 2017 ACM SIGSAC Conference on Computer and Communications Security (CCS) (pp. 1285-1298).</w:t>
      </w:r>
      <w:r w:rsidDel="00000000" w:rsidR="00000000" w:rsidRPr="00000000">
        <w:rPr>
          <w:rtl w:val="0"/>
        </w:rPr>
      </w:r>
    </w:p>
    <w:p w:rsidR="00000000" w:rsidDel="00000000" w:rsidP="00000000" w:rsidRDefault="00000000" w:rsidRPr="00000000" w14:paraId="00000051">
      <w:pPr>
        <w:spacing w:after="80" w:before="40" w:line="276" w:lineRule="auto"/>
        <w:ind w:left="432" w:hanging="432"/>
        <w:rPr/>
      </w:pPr>
      <w:r w:rsidDel="00000000" w:rsidR="00000000" w:rsidRPr="00000000">
        <w:rPr>
          <w:rFonts w:ascii="Times New Roman" w:cs="Times New Roman" w:eastAsia="Times New Roman" w:hAnsi="Times New Roman"/>
          <w:b w:val="0"/>
          <w:bCs w:val="0"/>
          <w:i w:val="0"/>
          <w:iCs w:val="0"/>
          <w:color w:val="282828"/>
          <w:sz w:val="21"/>
          <w:szCs w:val="21"/>
          <w:rtl w:val="0"/>
        </w:rPr>
        <w:t xml:space="preserve">[2] Zhang, X., Xu, Y., Lin, Q., Qiao, B., Zhang, H., Dang, Y., ... &amp; Zhang, D. (2021). Robust log-based anomaly detection on unstable log data. In Proceedings of the 28th ACM Joint Meeting on European Software Engineering Conference and Symposium on the Foundations of Software Engineering (ESEC/FSE) (pp. 807-817).</w:t>
      </w:r>
      <w:r w:rsidDel="00000000" w:rsidR="00000000" w:rsidRPr="00000000">
        <w:rPr>
          <w:rtl w:val="0"/>
        </w:rPr>
      </w:r>
    </w:p>
    <w:p w:rsidR="00000000" w:rsidDel="00000000" w:rsidP="00000000" w:rsidRDefault="00000000" w:rsidRPr="00000000" w14:paraId="00000052">
      <w:pPr>
        <w:spacing w:after="80" w:before="40" w:line="276" w:lineRule="auto"/>
        <w:ind w:left="432" w:hanging="432"/>
        <w:rPr/>
      </w:pPr>
      <w:r w:rsidDel="00000000" w:rsidR="00000000" w:rsidRPr="00000000">
        <w:rPr>
          <w:rFonts w:ascii="Times New Roman" w:cs="Times New Roman" w:eastAsia="Times New Roman" w:hAnsi="Times New Roman"/>
          <w:b w:val="0"/>
          <w:bCs w:val="0"/>
          <w:i w:val="0"/>
          <w:iCs w:val="0"/>
          <w:color w:val="282828"/>
          <w:sz w:val="21"/>
          <w:szCs w:val="21"/>
          <w:rtl w:val="0"/>
        </w:rPr>
        <w:t xml:space="preserve">[3] Nedelkoski, S., Bogatinovski, J., Acker, A., &amp; Kao, O. (2020). Self-attentive classification-based anomaly detection in unstructured logs. In 2020 IEEE International Conference on Web Services (ICWS) (pp. 119-128). IEEE.</w:t>
      </w:r>
      <w:r w:rsidDel="00000000" w:rsidR="00000000" w:rsidRPr="00000000">
        <w:rPr>
          <w:rtl w:val="0"/>
        </w:rPr>
      </w:r>
    </w:p>
    <w:p w:rsidR="00000000" w:rsidDel="00000000" w:rsidP="00000000" w:rsidRDefault="00000000" w:rsidRPr="00000000" w14:paraId="00000053">
      <w:pPr>
        <w:spacing w:after="80" w:before="40" w:line="276" w:lineRule="auto"/>
        <w:ind w:left="432" w:hanging="432"/>
        <w:rPr/>
      </w:pPr>
      <w:r w:rsidDel="00000000" w:rsidR="00000000" w:rsidRPr="00000000">
        <w:rPr>
          <w:rFonts w:ascii="Times New Roman" w:cs="Times New Roman" w:eastAsia="Times New Roman" w:hAnsi="Times New Roman"/>
          <w:b w:val="0"/>
          <w:bCs w:val="0"/>
          <w:i w:val="0"/>
          <w:iCs w:val="0"/>
          <w:color w:val="282828"/>
          <w:sz w:val="21"/>
          <w:szCs w:val="21"/>
          <w:rtl w:val="0"/>
        </w:rPr>
        <w:t xml:space="preserve">[4] Le, V. H., &amp; Zhang, H. (2023). LogGPT: Exploring Large Language Models for Log-Based Anomaly Detection. arXiv preprint arXiv:2309.01189.</w:t>
      </w:r>
      <w:r w:rsidDel="00000000" w:rsidR="00000000" w:rsidRPr="00000000">
        <w:rPr>
          <w:rtl w:val="0"/>
        </w:rPr>
      </w:r>
    </w:p>
    <w:p w:rsidR="00000000" w:rsidDel="00000000" w:rsidP="00000000" w:rsidRDefault="00000000" w:rsidRPr="00000000" w14:paraId="00000054">
      <w:pPr>
        <w:spacing w:after="80" w:before="40" w:line="276" w:lineRule="auto"/>
        <w:ind w:left="432" w:hanging="432"/>
        <w:rPr/>
      </w:pPr>
      <w:r w:rsidDel="00000000" w:rsidR="00000000" w:rsidRPr="00000000">
        <w:rPr>
          <w:rFonts w:ascii="Times New Roman" w:cs="Times New Roman" w:eastAsia="Times New Roman" w:hAnsi="Times New Roman"/>
          <w:b w:val="0"/>
          <w:bCs w:val="0"/>
          <w:i w:val="0"/>
          <w:iCs w:val="0"/>
          <w:color w:val="282828"/>
          <w:sz w:val="21"/>
          <w:szCs w:val="21"/>
          <w:rtl w:val="0"/>
        </w:rPr>
        <w:t xml:space="preserve">[5] Zhu, J., He, S., He, P., Liu, J., &amp; Lyu, M. R. (2023). Loghub: A large collection of system log datasets for AI-driven log analytics. In 2023 IEEE 34th International Symposium on Software Reliability Engineering (ISSRE) (pp. 355-366). IEEE.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9">
    <w:name w:val="heading 7"/>
    <w:basedOn w:val="1"/>
    <w:next w:val="1"/>
    <w:link w:val="154"/>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paragraph" w:styleId="10">
    <w:name w:val="heading 8"/>
    <w:basedOn w:val="1"/>
    <w:next w:val="1"/>
    <w:link w:val="155"/>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14:textFill>
        <w14:solidFill>
          <w14:schemeClr w14:val="accent1"/>
        </w14:solidFill>
      </w14:textFill>
    </w:rPr>
  </w:style>
  <w:style w:type="paragraph" w:styleId="11">
    <w:name w:val="heading 9"/>
    <w:basedOn w:val="1"/>
    <w:next w:val="1"/>
    <w:link w:val="156"/>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character" w:styleId="133" w:default="1">
    <w:name w:val="Default Paragraph Font"/>
    <w:uiPriority w:val="1"/>
    <w:semiHidden w:val="1"/>
    <w:unhideWhenUsed w:val="1"/>
  </w:style>
  <w:style w:type="table" w:styleId="33" w:default="1">
    <w:name w:val="Normal Table"/>
    <w:uiPriority w:val="99"/>
    <w:semiHidden w:val="1"/>
    <w:unhideWhenUsed w:val="1"/>
    <w:tblPr>
      <w:tblCellMar>
        <w:top w:w="0.0" w:type="dxa"/>
        <w:left w:w="108.0" w:type="dxa"/>
        <w:bottom w:w="0.0" w:type="dxa"/>
        <w:right w:w="108.0" w:type="dxa"/>
      </w:tblCellMar>
    </w:tblPr>
  </w:style>
  <w:style w:type="paragraph" w:styleId="2">
    <w:name w:val="macro"/>
    <w:link w:val="148"/>
    <w:uiPriority w:val="99"/>
    <w:unhideWhenUsed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sz w:val="20"/>
      <w:szCs w:val="20"/>
      <w:lang w:bidi="ar-SA" w:eastAsia="en-US" w:val="en-US"/>
    </w:rPr>
  </w:style>
  <w:style w:type="paragraph" w:styleId="12">
    <w:name w:val="List 3"/>
    <w:basedOn w:val="1"/>
    <w:uiPriority w:val="99"/>
    <w:unhideWhenUsed w:val="1"/>
    <w:pPr>
      <w:ind w:left="1080" w:hanging="360"/>
      <w:contextualSpacing w:val="1"/>
    </w:pPr>
  </w:style>
  <w:style w:type="paragraph" w:styleId="13">
    <w:name w:val="List Number 2"/>
    <w:basedOn w:val="1"/>
    <w:uiPriority w:val="99"/>
    <w:unhideWhenUsed w:val="1"/>
    <w:pPr>
      <w:numPr>
        <w:ilvl w:val="0"/>
        <w:numId w:val="1"/>
      </w:numPr>
      <w:contextualSpacing w:val="1"/>
    </w:pPr>
  </w:style>
  <w:style w:type="paragraph" w:styleId="14">
    <w:name w:val="List Number"/>
    <w:basedOn w:val="1"/>
    <w:uiPriority w:val="99"/>
    <w:unhideWhenUsed w:val="1"/>
    <w:pPr>
      <w:numPr>
        <w:ilvl w:val="0"/>
        <w:numId w:val="2"/>
      </w:numPr>
      <w:contextualSpacing w:val="1"/>
    </w:pPr>
  </w:style>
  <w:style w:type="paragraph" w:styleId="15">
    <w:name w:val="caption"/>
    <w:basedOn w:val="1"/>
    <w:next w:val="1"/>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paragraph" w:styleId="16">
    <w:name w:val="List Bullet"/>
    <w:basedOn w:val="1"/>
    <w:uiPriority w:val="99"/>
    <w:unhideWhenUsed w:val="1"/>
    <w:pPr>
      <w:numPr>
        <w:ilvl w:val="0"/>
        <w:numId w:val="3"/>
      </w:numPr>
      <w:contextualSpacing w:val="1"/>
    </w:pPr>
  </w:style>
  <w:style w:type="paragraph" w:styleId="17">
    <w:name w:val="Body Text 3"/>
    <w:basedOn w:val="1"/>
    <w:link w:val="147"/>
    <w:uiPriority w:val="99"/>
    <w:unhideWhenUsed w:val="1"/>
    <w:pPr>
      <w:spacing w:after="120"/>
    </w:pPr>
    <w:rPr>
      <w:sz w:val="16"/>
      <w:szCs w:val="16"/>
    </w:rPr>
  </w:style>
  <w:style w:type="paragraph" w:styleId="18">
    <w:name w:val="List Bullet 3"/>
    <w:basedOn w:val="1"/>
    <w:uiPriority w:val="99"/>
    <w:unhideWhenUsed w:val="1"/>
    <w:pPr>
      <w:numPr>
        <w:ilvl w:val="0"/>
        <w:numId w:val="4"/>
      </w:numPr>
      <w:contextualSpacing w:val="1"/>
    </w:pPr>
  </w:style>
  <w:style w:type="paragraph" w:styleId="19">
    <w:name w:val="Body Text"/>
    <w:basedOn w:val="1"/>
    <w:link w:val="145"/>
    <w:uiPriority w:val="99"/>
    <w:unhideWhenUsed w:val="1"/>
    <w:pPr>
      <w:spacing w:after="120"/>
    </w:pPr>
  </w:style>
  <w:style w:type="paragraph" w:styleId="20">
    <w:name w:val="List Number 3"/>
    <w:basedOn w:val="1"/>
    <w:uiPriority w:val="99"/>
    <w:unhideWhenUsed w:val="1"/>
    <w:pPr>
      <w:numPr>
        <w:ilvl w:val="0"/>
        <w:numId w:val="5"/>
      </w:numPr>
      <w:contextualSpacing w:val="1"/>
    </w:pPr>
  </w:style>
  <w:style w:type="paragraph" w:styleId="21">
    <w:name w:val="List 2"/>
    <w:basedOn w:val="1"/>
    <w:uiPriority w:val="99"/>
    <w:unhideWhenUsed w:val="1"/>
    <w:pPr>
      <w:ind w:left="720" w:hanging="360"/>
      <w:contextualSpacing w:val="1"/>
    </w:pPr>
  </w:style>
  <w:style w:type="paragraph" w:styleId="22">
    <w:name w:val="List Continue"/>
    <w:basedOn w:val="1"/>
    <w:uiPriority w:val="99"/>
    <w:unhideWhenUsed w:val="1"/>
    <w:pPr>
      <w:spacing w:after="120"/>
      <w:ind w:left="360"/>
      <w:contextualSpacing w:val="1"/>
    </w:pPr>
  </w:style>
  <w:style w:type="paragraph" w:styleId="23">
    <w:name w:val="List Bullet 2"/>
    <w:basedOn w:val="1"/>
    <w:uiPriority w:val="99"/>
    <w:unhideWhenUsed w:val="1"/>
    <w:pPr>
      <w:numPr>
        <w:ilvl w:val="0"/>
        <w:numId w:val="6"/>
      </w:numPr>
      <w:contextualSpacing w:val="1"/>
    </w:pPr>
  </w:style>
  <w:style w:type="paragraph" w:styleId="24">
    <w:name w:val="footer"/>
    <w:basedOn w:val="1"/>
    <w:link w:val="137"/>
    <w:uiPriority w:val="99"/>
    <w:unhideWhenUsed w:val="1"/>
    <w:pPr>
      <w:tabs>
        <w:tab w:val="center" w:pos="4680"/>
        <w:tab w:val="right" w:pos="9360"/>
      </w:tabs>
      <w:spacing w:after="0" w:line="240" w:lineRule="auto"/>
    </w:pPr>
  </w:style>
  <w:style w:type="paragraph" w:styleId="25">
    <w:name w:val="header"/>
    <w:basedOn w:val="1"/>
    <w:link w:val="136"/>
    <w:uiPriority w:val="99"/>
    <w:unhideWhenUsed w:val="1"/>
    <w:pPr>
      <w:tabs>
        <w:tab w:val="center" w:pos="4680"/>
        <w:tab w:val="right" w:pos="9360"/>
      </w:tabs>
      <w:spacing w:after="0" w:line="240" w:lineRule="auto"/>
    </w:pPr>
  </w:style>
  <w:style w:type="paragraph" w:styleId="27">
    <w:name w:val="List"/>
    <w:basedOn w:val="1"/>
    <w:uiPriority w:val="99"/>
    <w:unhideWhenUsed w:val="1"/>
    <w:pPr>
      <w:ind w:left="360" w:hanging="360"/>
      <w:contextualSpacing w:val="1"/>
    </w:pPr>
  </w:style>
  <w:style w:type="paragraph" w:styleId="28">
    <w:name w:val="Body Text 2"/>
    <w:basedOn w:val="1"/>
    <w:link w:val="146"/>
    <w:uiPriority w:val="99"/>
    <w:unhideWhenUsed w:val="1"/>
    <w:pPr>
      <w:spacing w:after="120" w:line="480" w:lineRule="auto"/>
    </w:pPr>
  </w:style>
  <w:style w:type="paragraph" w:styleId="29">
    <w:name w:val="List Continue 2"/>
    <w:basedOn w:val="1"/>
    <w:uiPriority w:val="99"/>
    <w:unhideWhenUsed w:val="1"/>
    <w:pPr>
      <w:spacing w:after="120"/>
      <w:ind w:left="720"/>
      <w:contextualSpacing w:val="1"/>
    </w:pPr>
  </w:style>
  <w:style w:type="paragraph" w:styleId="30">
    <w:name w:val="Normal (Web)"/>
    <w:basedOn w:val="1"/>
    <w:uiPriority w:val="99"/>
    <w:semiHidden w:val="1"/>
    <w:unhideWhenUsed w:val="1"/>
    <w:pPr>
      <w:spacing w:after="0" w:afterAutospacing="1" w:before="0" w:beforeAutospacing="1"/>
      <w:ind w:left="0" w:right="0"/>
      <w:jc w:val="left"/>
    </w:pPr>
    <w:rPr>
      <w:kern w:val="0"/>
      <w:sz w:val="24"/>
      <w:lang w:bidi="ar" w:eastAsia="zh-CN" w:val="en-US"/>
    </w:rPr>
  </w:style>
  <w:style w:type="paragraph" w:styleId="31">
    <w:name w:val="List Continue 3"/>
    <w:basedOn w:val="1"/>
    <w:uiPriority w:val="99"/>
    <w:unhideWhenUsed w:val="1"/>
    <w:pPr>
      <w:spacing w:after="120"/>
      <w:ind w:left="1080"/>
      <w:contextualSpacing w:val="1"/>
    </w:pPr>
  </w:style>
  <w:style w:type="table" w:styleId="34">
    <w:name w:val="Table Grid"/>
    <w:basedOn w:val="33"/>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35">
    <w:name w:val="Light Shading"/>
    <w:basedOn w:val="33"/>
    <w:uiPriority w:val="60"/>
    <w:pPr>
      <w:spacing w:after="0" w:line="240" w:lineRule="auto"/>
    </w:pPr>
    <w:rPr>
      <w:color w:val="000000" w:themeColor="text1" w:themeShade="0000BF"/>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36">
    <w:name w:val="Light Shading Accent 1"/>
    <w:basedOn w:val="33"/>
    <w:uiPriority w:val="60"/>
    <w:pPr>
      <w:spacing w:after="0" w:line="240" w:lineRule="auto"/>
    </w:pPr>
    <w:rPr>
      <w:color w:val="376092" w:themeColor="accent1" w:themeShade="0000BF"/>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37">
    <w:name w:val="Light Shading Accent 2"/>
    <w:basedOn w:val="33"/>
    <w:uiPriority w:val="60"/>
    <w:qFormat w:val="1"/>
    <w:pPr>
      <w:spacing w:after="0" w:line="240" w:lineRule="auto"/>
    </w:pPr>
    <w:rPr>
      <w:color w:val="953735" w:themeColor="accent2" w:themeShade="0000BF"/>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38">
    <w:name w:val="Light Shading Accent 3"/>
    <w:basedOn w:val="33"/>
    <w:uiPriority w:val="60"/>
    <w:pPr>
      <w:spacing w:after="0" w:line="240" w:lineRule="auto"/>
    </w:pPr>
    <w:rPr>
      <w:color w:val="77933c" w:themeColor="accent3" w:themeShade="0000BF"/>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39">
    <w:name w:val="Light Shading Accent 4"/>
    <w:basedOn w:val="33"/>
    <w:uiPriority w:val="60"/>
    <w:pPr>
      <w:spacing w:after="0" w:line="240" w:lineRule="auto"/>
    </w:pPr>
    <w:rPr>
      <w:color w:val="604a7b" w:themeColor="accent4" w:themeShade="0000BF"/>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40">
    <w:name w:val="Light Shading Accent 5"/>
    <w:basedOn w:val="33"/>
    <w:uiPriority w:val="60"/>
    <w:qFormat w:val="1"/>
    <w:pPr>
      <w:spacing w:after="0" w:line="240" w:lineRule="auto"/>
    </w:pPr>
    <w:rPr>
      <w:color w:val="31859c" w:themeColor="accent5" w:themeShade="0000BF"/>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41">
    <w:name w:val="Light Shading Accent 6"/>
    <w:basedOn w:val="33"/>
    <w:uiPriority w:val="60"/>
    <w:pPr>
      <w:spacing w:after="0" w:line="240" w:lineRule="auto"/>
    </w:pPr>
    <w:rPr>
      <w:color w:val="e46c0a" w:themeColor="accent6" w:themeShade="0000BF"/>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42">
    <w:name w:val="Light List"/>
    <w:basedOn w:val="33"/>
    <w:uiPriority w:val="61"/>
    <w:qFormat w:val="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3">
    <w:name w:val="Light List Accent 1"/>
    <w:basedOn w:val="33"/>
    <w:uiPriority w:val="61"/>
    <w:qFormat w:val="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44">
    <w:name w:val="Light List Accent 2"/>
    <w:basedOn w:val="33"/>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45">
    <w:name w:val="Light List Accent 3"/>
    <w:basedOn w:val="33"/>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6">
    <w:name w:val="Light List Accent 4"/>
    <w:basedOn w:val="33"/>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47">
    <w:name w:val="Light List Accent 5"/>
    <w:basedOn w:val="33"/>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48">
    <w:name w:val="Light List Accent 6"/>
    <w:basedOn w:val="33"/>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49">
    <w:name w:val="Light Grid"/>
    <w:basedOn w:val="33"/>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0">
    <w:name w:val="Light Grid Accent 1"/>
    <w:basedOn w:val="33"/>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51">
    <w:name w:val="Light Grid Accent 2"/>
    <w:basedOn w:val="33"/>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52">
    <w:name w:val="Light Grid Accent 3"/>
    <w:basedOn w:val="33"/>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53">
    <w:name w:val="Light Grid Accent 4"/>
    <w:basedOn w:val="33"/>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54">
    <w:name w:val="Light Grid Accent 5"/>
    <w:basedOn w:val="33"/>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55">
    <w:name w:val="Light Grid Accent 6"/>
    <w:basedOn w:val="33"/>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56">
    <w:name w:val="Medium Shading 1"/>
    <w:basedOn w:val="33"/>
    <w:uiPriority w:val="63"/>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57">
    <w:name w:val="Medium Shading 1 Accent 1"/>
    <w:basedOn w:val="33"/>
    <w:uiPriority w:val="63"/>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58">
    <w:name w:val="Medium Shading 1 Accent 2"/>
    <w:basedOn w:val="33"/>
    <w:uiPriority w:val="63"/>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59">
    <w:name w:val="Medium Shading 1 Accent 3"/>
    <w:basedOn w:val="33"/>
    <w:uiPriority w:val="63"/>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60">
    <w:name w:val="Medium Shading 1 Accent 4"/>
    <w:basedOn w:val="33"/>
    <w:uiPriority w:val="63"/>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61">
    <w:name w:val="Medium Shading 1 Accent 5"/>
    <w:basedOn w:val="33"/>
    <w:uiPriority w:val="63"/>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62">
    <w:name w:val="Medium Shading 1 Accent 6"/>
    <w:basedOn w:val="33"/>
    <w:uiPriority w:val="63"/>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63">
    <w:name w:val="Medium Shading 2"/>
    <w:basedOn w:val="33"/>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4">
    <w:name w:val="Medium Shading 2 Accent 1"/>
    <w:basedOn w:val="33"/>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5">
    <w:name w:val="Medium Shading 2 Accent 2"/>
    <w:basedOn w:val="33"/>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6">
    <w:name w:val="Medium Shading 2 Accent 3"/>
    <w:basedOn w:val="33"/>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7">
    <w:name w:val="Medium Shading 2 Accent 4"/>
    <w:basedOn w:val="33"/>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8">
    <w:name w:val="Medium Shading 2 Accent 5"/>
    <w:basedOn w:val="33"/>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6"/>
    <w:basedOn w:val="33"/>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77">
    <w:name w:val="Medium List 2"/>
    <w:basedOn w:val="33"/>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78">
    <w:name w:val="Medium List 2 Accent 1"/>
    <w:basedOn w:val="33"/>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79">
    <w:name w:val="Medium List 2 Accent 2"/>
    <w:basedOn w:val="33"/>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0">
    <w:name w:val="Medium List 2 Accent 3"/>
    <w:basedOn w:val="33"/>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1">
    <w:name w:val="Medium List 2 Accent 4"/>
    <w:basedOn w:val="33"/>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2">
    <w:name w:val="Medium List 2 Accent 5"/>
    <w:basedOn w:val="33"/>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6"/>
    <w:basedOn w:val="33"/>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Grid 1"/>
    <w:basedOn w:val="33"/>
    <w:uiPriority w:val="67"/>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85">
    <w:name w:val="Medium Grid 1 Accent 1"/>
    <w:basedOn w:val="33"/>
    <w:uiPriority w:val="67"/>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86">
    <w:name w:val="Medium Grid 1 Accent 2"/>
    <w:basedOn w:val="33"/>
    <w:uiPriority w:val="67"/>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87">
    <w:name w:val="Medium Grid 1 Accent 3"/>
    <w:basedOn w:val="33"/>
    <w:uiPriority w:val="67"/>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88">
    <w:name w:val="Medium Grid 1 Accent 4"/>
    <w:basedOn w:val="33"/>
    <w:uiPriority w:val="67"/>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89">
    <w:name w:val="Medium Grid 1 Accent 5"/>
    <w:basedOn w:val="33"/>
    <w:uiPriority w:val="67"/>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90">
    <w:name w:val="Medium Grid 1 Accent 6"/>
    <w:basedOn w:val="33"/>
    <w:uiPriority w:val="67"/>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1">
    <w:name w:val="Medium Grid 2"/>
    <w:basedOn w:val="33"/>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color w:val="000000" w:themeColor="text1"/>
        <w14:textFill>
          <w14:solidFill>
            <w14:schemeClr w14:val="tx1"/>
          </w14:solidFill>
        </w14:textFill>
      </w:rPr>
      <w:tblPr/>
      <w:tcPr>
        <w:shd w:color="auto" w:fill="e5e5e5" w:themeFill="tex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2">
    <w:name w:val="Medium Grid 2 Accent 1"/>
    <w:basedOn w:val="33"/>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14:textFill>
          <w14:solidFill>
            <w14:schemeClr w14:val="tx1"/>
          </w14:solidFill>
        </w14:textFill>
      </w:rPr>
      <w:tblPr/>
      <w:tcPr>
        <w:shd w:color="auto" w:fill="edf2f8" w:themeFill="accen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space="0" w:sz="6" w:val="single"/>
          <w:insideV w:space="0" w:sz="6" w:val="single"/>
        </w:tcBorders>
        <w:shd w:color="auto" w:fill="a7c0de" w:themeFill="accent1" w:themeFillTint="00007F" w:val="clear"/>
      </w:tcPr>
    </w:tblStylePr>
    <w:tblStylePr w:type="nwCell">
      <w:tblPr/>
      <w:tcPr>
        <w:shd w:color="auto" w:fill="ffffff" w:themeFill="background1" w:val="clear"/>
      </w:tcPr>
    </w:tblStylePr>
  </w:style>
  <w:style w:type="table" w:styleId="93">
    <w:name w:val="Medium Grid 2 Accent 2"/>
    <w:basedOn w:val="33"/>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themeColor="text1"/>
        <w14:textFill>
          <w14:solidFill>
            <w14:schemeClr w14:val="tx1"/>
          </w14:solidFill>
        </w14:textFill>
      </w:rPr>
      <w:tblPr/>
      <w:tcPr>
        <w:shd w:color="auto" w:fill="f8eded" w:themeFill="accent2"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space="0" w:sz="6" w:val="single"/>
          <w:insideV w:space="0" w:sz="6" w:val="single"/>
        </w:tcBorders>
        <w:shd w:color="auto" w:fill="dfa7a6" w:themeFill="accent2" w:themeFillTint="00007F" w:val="clear"/>
      </w:tcPr>
    </w:tblStylePr>
    <w:tblStylePr w:type="nwCell">
      <w:tblPr/>
      <w:tcPr>
        <w:shd w:color="auto" w:fill="ffffff" w:themeFill="background1" w:val="clear"/>
      </w:tcPr>
    </w:tblStylePr>
  </w:style>
  <w:style w:type="table" w:styleId="94">
    <w:name w:val="Medium Grid 2 Accent 3"/>
    <w:basedOn w:val="33"/>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14:textFill>
          <w14:solidFill>
            <w14:schemeClr w14:val="tx1"/>
          </w14:solidFill>
        </w14:textFill>
      </w:rPr>
      <w:tblPr/>
      <w:tcPr>
        <w:shd w:color="auto" w:fill="f5f8ee" w:themeFill="accent3"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space="0" w:sz="6" w:val="single"/>
          <w:insideV w:space="0" w:sz="6" w:val="single"/>
        </w:tcBorders>
        <w:shd w:color="auto" w:fill="cdddac" w:themeFill="accent3" w:themeFillTint="00007F" w:val="clear"/>
      </w:tcPr>
    </w:tblStylePr>
    <w:tblStylePr w:type="nwCell">
      <w:tblPr/>
      <w:tcPr>
        <w:shd w:color="auto" w:fill="ffffff" w:themeFill="background1" w:val="clear"/>
      </w:tcPr>
    </w:tblStylePr>
  </w:style>
  <w:style w:type="table" w:styleId="95">
    <w:name w:val="Medium Grid 2 Accent 4"/>
    <w:basedOn w:val="33"/>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14:textFill>
          <w14:solidFill>
            <w14:schemeClr w14:val="tx1"/>
          </w14:solidFill>
        </w14:textFill>
      </w:rPr>
      <w:tblPr/>
      <w:tcPr>
        <w:shd w:color="auto" w:fill="f2eff5" w:themeFill="accent4"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space="0" w:sz="6" w:val="single"/>
          <w:insideV w:space="0" w:sz="6" w:val="single"/>
        </w:tcBorders>
        <w:shd w:color="auto" w:fill="bfb1d0" w:themeFill="accent4" w:themeFillTint="00007F" w:val="clear"/>
      </w:tcPr>
    </w:tblStylePr>
    <w:tblStylePr w:type="nwCell">
      <w:tblPr/>
      <w:tcPr>
        <w:shd w:color="auto" w:fill="ffffff" w:themeFill="background1" w:val="clear"/>
      </w:tcPr>
    </w:tblStylePr>
  </w:style>
  <w:style w:type="table" w:styleId="96">
    <w:name w:val="Medium Grid 2 Accent 5"/>
    <w:basedOn w:val="33"/>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themeColor="text1"/>
        <w14:textFill>
          <w14:solidFill>
            <w14:schemeClr w14:val="tx1"/>
          </w14:solidFill>
        </w14:textFill>
      </w:rPr>
      <w:tblPr/>
      <w:tcPr>
        <w:shd w:color="auto" w:fill="edf6f9" w:themeFill="accent5"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space="0" w:sz="6" w:val="single"/>
          <w:insideV w:space="0" w:sz="6" w:val="single"/>
        </w:tcBorders>
        <w:shd w:color="auto" w:fill="a5d5e2" w:themeFill="accent5" w:themeFillTint="00007F" w:val="clear"/>
      </w:tcPr>
    </w:tblStylePr>
    <w:tblStylePr w:type="nwCell">
      <w:tblPr/>
      <w:tcPr>
        <w:shd w:color="auto" w:fill="ffffff" w:themeFill="background1" w:val="clear"/>
      </w:tcPr>
    </w:tblStylePr>
  </w:style>
  <w:style w:type="table" w:styleId="97">
    <w:name w:val="Medium Grid 2 Accent 6"/>
    <w:basedOn w:val="33"/>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themeColor="text1"/>
        <w14:textFill>
          <w14:solidFill>
            <w14:schemeClr w14:val="tx1"/>
          </w14:solidFill>
        </w14:textFill>
      </w:rPr>
      <w:tblPr/>
      <w:tcPr>
        <w:shd w:color="auto" w:fill="fef4ec" w:themeFill="accent6"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space="0" w:sz="6" w:val="single"/>
          <w:insideV w:space="0" w:sz="6" w:val="single"/>
        </w:tcBorders>
        <w:shd w:color="auto" w:fill="fbcaa2" w:themeFill="accent6" w:themeFillTint="00007F" w:val="clear"/>
      </w:tcPr>
    </w:tblStylePr>
    <w:tblStylePr w:type="nwCell">
      <w:tblPr/>
      <w:tcPr>
        <w:shd w:color="auto" w:fill="ffffff" w:themeFill="background1" w:val="clear"/>
      </w:tcPr>
    </w:tblStylePr>
  </w:style>
  <w:style w:type="table" w:styleId="98">
    <w:name w:val="Medium Grid 3"/>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99">
    <w:name w:val="Medium Grid 3 Accent 1"/>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00">
    <w:name w:val="Medium Grid 3 Accent 2"/>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01">
    <w:name w:val="Medium Grid 3 Accent 3"/>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02">
    <w:name w:val="Medium Grid 3 Accent 4"/>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03">
    <w:name w:val="Medium Grid 3 Accent 5"/>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04">
    <w:name w:val="Medium Grid 3 Accent 6"/>
    <w:basedOn w:val="33"/>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5e5e5"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5e5e5" w:themeFill="tex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2eff5" w:themeFill="accent4"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14:textFill>
          <w14:solidFill>
            <w14:schemeClr w14:val="tx1"/>
          </w14:solidFill>
        </w14:textFill>
      </w:rPr>
      <w:tblPr/>
      <w:tcPr>
        <w:shd w:color="auto" w:fill="999999" w:themeFill="text1" w:themeFillTint="000066" w:val="clear"/>
      </w:tcPr>
    </w:tblStylePr>
    <w:tblStylePr w:type="firstCol">
      <w:rPr>
        <w:color w:val="ffffff" w:themeColor="background1"/>
        <w14:textFill>
          <w14:solidFill>
            <w14:schemeClr w14:val="bg1"/>
          </w14:solidFill>
        </w14:textFill>
      </w:rPr>
      <w:tblPr/>
      <w:tcPr>
        <w:shd w:color="auto" w:fill="000000" w:themeFill="text1" w:themeFillShade="0000BF" w:val="clear"/>
      </w:tcPr>
    </w:tblStylePr>
    <w:tblStylePr w:type="lastCol">
      <w:rPr>
        <w:color w:val="ffffff" w:themeColor="background1"/>
        <w14:textFill>
          <w14:solidFill>
            <w14:schemeClr w14:val="bg1"/>
          </w14:solidFill>
        </w14:textFill>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14:textFill>
          <w14:solidFill>
            <w14:schemeClr w14:val="tx1"/>
          </w14:solidFill>
        </w14:textFill>
      </w:rPr>
      <w:tblPr/>
      <w:tcPr>
        <w:shd w:color="auto" w:fill="b8cce4" w:themeFill="accent1" w:themeFillTint="000066" w:val="clear"/>
      </w:tcPr>
    </w:tblStylePr>
    <w:tblStylePr w:type="firstCol">
      <w:rPr>
        <w:color w:val="ffffff" w:themeColor="background1"/>
        <w14:textFill>
          <w14:solidFill>
            <w14:schemeClr w14:val="bg1"/>
          </w14:solidFill>
        </w14:textFill>
      </w:rPr>
      <w:tblPr/>
      <w:tcPr>
        <w:shd w:color="auto" w:fill="366091" w:themeFill="accent1" w:themeFillShade="0000BF" w:val="clear"/>
      </w:tcPr>
    </w:tblStylePr>
    <w:tblStylePr w:type="lastCol">
      <w:rPr>
        <w:color w:val="ffffff" w:themeColor="background1"/>
        <w14:textFill>
          <w14:solidFill>
            <w14:schemeClr w14:val="bg1"/>
          </w14:solidFill>
        </w14:textFill>
      </w:rPr>
      <w:tblPr/>
      <w:tcPr>
        <w:shd w:color="auto" w:fill="366091"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14:textFill>
          <w14:solidFill>
            <w14:schemeClr w14:val="tx1"/>
          </w14:solidFill>
        </w14:textFill>
      </w:rPr>
      <w:tblPr/>
      <w:tcPr>
        <w:shd w:color="auto" w:fill="e5b8b7" w:themeFill="accent2" w:themeFillTint="000066" w:val="clear"/>
      </w:tcPr>
    </w:tblStylePr>
    <w:tblStylePr w:type="firstCol">
      <w:rPr>
        <w:color w:val="ffffff" w:themeColor="background1"/>
        <w14:textFill>
          <w14:solidFill>
            <w14:schemeClr w14:val="bg1"/>
          </w14:solidFill>
        </w14:textFill>
      </w:rPr>
      <w:tblPr/>
      <w:tcPr>
        <w:shd w:color="auto" w:fill="943734" w:themeFill="accent2" w:themeFillShade="0000BF" w:val="clear"/>
      </w:tcPr>
    </w:tblStylePr>
    <w:tblStylePr w:type="lastCol">
      <w:rPr>
        <w:color w:val="ffffff" w:themeColor="background1"/>
        <w14:textFill>
          <w14:solidFill>
            <w14:schemeClr w14:val="bg1"/>
          </w14:solidFill>
        </w14:textFill>
      </w:rPr>
      <w:tblPr/>
      <w:tcPr>
        <w:shd w:color="auto" w:fill="9437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14:textFill>
          <w14:solidFill>
            <w14:schemeClr w14:val="tx1"/>
          </w14:solidFill>
        </w14:textFill>
      </w:rPr>
      <w:tblPr/>
      <w:tcPr>
        <w:shd w:color="auto" w:fill="d6e3bc" w:themeFill="accent3" w:themeFillTint="000066" w:val="clear"/>
      </w:tcPr>
    </w:tblStylePr>
    <w:tblStylePr w:type="firstCol">
      <w:rPr>
        <w:color w:val="ffffff" w:themeColor="background1"/>
        <w14:textFill>
          <w14:solidFill>
            <w14:schemeClr w14:val="bg1"/>
          </w14:solidFill>
        </w14:textFill>
      </w:rPr>
      <w:tblPr/>
      <w:tcPr>
        <w:shd w:color="auto" w:fill="76923c" w:themeFill="accent3" w:themeFillShade="0000BF" w:val="clear"/>
      </w:tcPr>
    </w:tblStylePr>
    <w:tblStylePr w:type="lastCol">
      <w:rPr>
        <w:color w:val="ffffff" w:themeColor="background1"/>
        <w14:textFill>
          <w14:solidFill>
            <w14:schemeClr w14:val="bg1"/>
          </w14:solidFill>
        </w14:textFil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14:textFill>
          <w14:solidFill>
            <w14:schemeClr w14:val="tx1"/>
          </w14:solidFill>
        </w14:textFill>
      </w:rPr>
      <w:tblPr/>
      <w:tcPr>
        <w:shd w:color="auto" w:fill="ccc0d9" w:themeFill="accent4" w:themeFillTint="000066" w:val="clear"/>
      </w:tcPr>
    </w:tblStylePr>
    <w:tblStylePr w:type="firstCol">
      <w:rPr>
        <w:color w:val="ffffff" w:themeColor="background1"/>
        <w14:textFill>
          <w14:solidFill>
            <w14:schemeClr w14:val="bg1"/>
          </w14:solidFill>
        </w14:textFill>
      </w:rPr>
      <w:tblPr/>
      <w:tcPr>
        <w:shd w:color="auto" w:fill="5f497a" w:themeFill="accent4" w:themeFillShade="0000BF" w:val="clear"/>
      </w:tcPr>
    </w:tblStylePr>
    <w:tblStylePr w:type="lastCol">
      <w:rPr>
        <w:color w:val="ffffff" w:themeColor="background1"/>
        <w14:textFill>
          <w14:solidFill>
            <w14:schemeClr w14:val="bg1"/>
          </w14:solidFill>
        </w14:textFil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14:textFill>
          <w14:solidFill>
            <w14:schemeClr w14:val="tx1"/>
          </w14:solidFill>
        </w14:textFill>
      </w:rPr>
      <w:tblPr/>
      <w:tcPr>
        <w:shd w:color="auto" w:fill="b6dde8" w:themeFill="accent5" w:themeFillTint="000066" w:val="clear"/>
      </w:tcPr>
    </w:tblStylePr>
    <w:tblStylePr w:type="firstCol">
      <w:rPr>
        <w:color w:val="ffffff" w:themeColor="background1"/>
        <w14:textFill>
          <w14:solidFill>
            <w14:schemeClr w14:val="bg1"/>
          </w14:solidFill>
        </w14:textFill>
      </w:rPr>
      <w:tblPr/>
      <w:tcPr>
        <w:shd w:color="auto" w:fill="31849b" w:themeFill="accent5" w:themeFillShade="0000BF" w:val="clear"/>
      </w:tcPr>
    </w:tblStylePr>
    <w:tblStylePr w:type="lastCol">
      <w:rPr>
        <w:color w:val="ffffff" w:themeColor="background1"/>
        <w14:textFill>
          <w14:solidFill>
            <w14:schemeClr w14:val="bg1"/>
          </w14:solidFill>
        </w14:textFil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14:textFill>
          <w14:solidFill>
            <w14:schemeClr w14:val="tx1"/>
          </w14:solidFill>
        </w14:textFill>
      </w:rPr>
      <w:tblPr/>
      <w:tcPr>
        <w:shd w:color="auto" w:fill="fbd4b4" w:themeFill="accent6" w:themeFillTint="000066" w:val="clear"/>
      </w:tcPr>
    </w:tblStylePr>
    <w:tblStylePr w:type="firstCol">
      <w:rPr>
        <w:color w:val="ffffff" w:themeColor="background1"/>
        <w14:textFill>
          <w14:solidFill>
            <w14:schemeClr w14:val="bg1"/>
          </w14:solidFill>
        </w14:textFill>
      </w:rPr>
      <w:tblPr/>
      <w:tcPr>
        <w:shd w:color="auto" w:fill="e36c09" w:themeFill="accent6" w:themeFillShade="0000BF" w:val="clear"/>
      </w:tcPr>
    </w:tblStylePr>
    <w:tblStylePr w:type="lastCol">
      <w:rPr>
        <w:color w:val="ffffff" w:themeColor="background1"/>
        <w14:textFill>
          <w14:solidFill>
            <w14:schemeClr w14:val="bg1"/>
          </w14:solidFill>
        </w14:textFill>
      </w:rPr>
      <w:tblPr/>
      <w:tcPr>
        <w:shd w:color="auto" w:fill="e36c09"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134">
    <w:name w:val="Strong"/>
    <w:basedOn w:val="133"/>
    <w:uiPriority w:val="22"/>
    <w:qFormat w:val="1"/>
    <w:rPr>
      <w:b w:val="1"/>
      <w:bCs w:val="1"/>
    </w:rPr>
  </w:style>
  <w:style w:type="character" w:styleId="135">
    <w:name w:val="Emphasis"/>
    <w:basedOn w:val="133"/>
    <w:uiPriority w:val="20"/>
    <w:qFormat w:val="1"/>
    <w:rPr>
      <w:i w:val="1"/>
      <w:iCs w:val="1"/>
    </w:rPr>
  </w:style>
  <w:style w:type="character" w:styleId="136" w:customStyle="1">
    <w:name w:val="Header Char"/>
    <w:basedOn w:val="133"/>
    <w:link w:val="25"/>
    <w:uiPriority w:val="99"/>
    <w:qFormat w:val="1"/>
  </w:style>
  <w:style w:type="character" w:styleId="137" w:customStyle="1">
    <w:name w:val="Footer Char"/>
    <w:basedOn w:val="133"/>
    <w:link w:val="24"/>
    <w:uiPriority w:val="99"/>
  </w:style>
  <w:style w:type="paragraph" w:styleId="138">
    <w:name w:val="No Spacing"/>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139" w:customStyle="1">
    <w:name w:val="Heading 1 Char"/>
    <w:basedOn w:val="133"/>
    <w:link w:val="3"/>
    <w:uiPriority w:val="9"/>
    <w:rPr>
      <w:rFonts w:asciiTheme="majorHAnsi" w:cstheme="majorBidi" w:eastAsiaTheme="majorEastAsia" w:hAnsiTheme="majorHAnsi"/>
      <w:b w:val="1"/>
      <w:bCs w:val="1"/>
      <w:color w:val="376092" w:themeColor="accent1" w:themeShade="0000BF"/>
      <w:sz w:val="28"/>
      <w:szCs w:val="28"/>
    </w:rPr>
  </w:style>
  <w:style w:type="character" w:styleId="140" w:customStyle="1">
    <w:name w:val="Heading 2 Char"/>
    <w:basedOn w:val="133"/>
    <w:link w:val="4"/>
    <w:uiPriority w:val="9"/>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141" w:customStyle="1">
    <w:name w:val="Heading 3 Char"/>
    <w:basedOn w:val="133"/>
    <w:link w:val="5"/>
    <w:uiPriority w:val="9"/>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142" w:customStyle="1">
    <w:name w:val="Title Char"/>
    <w:basedOn w:val="133"/>
    <w:link w:val="32"/>
    <w:uiPriority w:val="10"/>
    <w:rPr>
      <w:rFonts w:asciiTheme="majorHAnsi" w:cstheme="majorBidi" w:eastAsiaTheme="majorEastAsia" w:hAnsiTheme="majorHAnsi"/>
      <w:color w:val="17375e" w:themeColor="text2" w:themeShade="0000BF"/>
      <w:spacing w:val="5"/>
      <w:kern w:val="28"/>
      <w:sz w:val="52"/>
      <w:szCs w:val="52"/>
    </w:rPr>
  </w:style>
  <w:style w:type="character" w:styleId="143" w:customStyle="1">
    <w:name w:val="Subtitle Char"/>
    <w:basedOn w:val="133"/>
    <w:link w:val="26"/>
    <w:uiPriority w:val="1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144">
    <w:name w:val="List Paragraph"/>
    <w:basedOn w:val="1"/>
    <w:uiPriority w:val="34"/>
    <w:qFormat w:val="1"/>
    <w:pPr>
      <w:ind w:left="720"/>
      <w:contextualSpacing w:val="1"/>
    </w:pPr>
  </w:style>
  <w:style w:type="character" w:styleId="145" w:customStyle="1">
    <w:name w:val="Body Text Char"/>
    <w:basedOn w:val="133"/>
    <w:link w:val="19"/>
    <w:uiPriority w:val="99"/>
    <w:qFormat w:val="1"/>
  </w:style>
  <w:style w:type="character" w:styleId="146" w:customStyle="1">
    <w:name w:val="Body Text 2 Char"/>
    <w:basedOn w:val="133"/>
    <w:link w:val="28"/>
    <w:uiPriority w:val="99"/>
  </w:style>
  <w:style w:type="character" w:styleId="147" w:customStyle="1">
    <w:name w:val="Body Text 3 Char"/>
    <w:basedOn w:val="133"/>
    <w:link w:val="17"/>
    <w:uiPriority w:val="99"/>
    <w:rPr>
      <w:sz w:val="16"/>
      <w:szCs w:val="16"/>
    </w:rPr>
  </w:style>
  <w:style w:type="character" w:styleId="148" w:customStyle="1">
    <w:name w:val="Macro Text Char"/>
    <w:basedOn w:val="133"/>
    <w:link w:val="2"/>
    <w:uiPriority w:val="99"/>
    <w:rPr>
      <w:rFonts w:ascii="Courier" w:hAnsi="Courier"/>
      <w:sz w:val="20"/>
      <w:szCs w:val="20"/>
    </w:rPr>
  </w:style>
  <w:style w:type="paragraph" w:styleId="149">
    <w:name w:val="Quote"/>
    <w:basedOn w:val="1"/>
    <w:next w:val="1"/>
    <w:link w:val="150"/>
    <w:uiPriority w:val="29"/>
    <w:qFormat w:val="1"/>
    <w:rPr>
      <w:i w:val="1"/>
      <w:iCs w:val="1"/>
      <w:color w:val="000000" w:themeColor="text1"/>
      <w14:textFill>
        <w14:solidFill>
          <w14:schemeClr w14:val="tx1"/>
        </w14:solidFill>
      </w14:textFill>
    </w:rPr>
  </w:style>
  <w:style w:type="character" w:styleId="150" w:customStyle="1">
    <w:name w:val="Quote Char"/>
    <w:basedOn w:val="133"/>
    <w:link w:val="149"/>
    <w:uiPriority w:val="29"/>
    <w:rPr>
      <w:i w:val="1"/>
      <w:iCs w:val="1"/>
      <w:color w:val="000000" w:themeColor="text1"/>
      <w14:textFill>
        <w14:solidFill>
          <w14:schemeClr w14:val="tx1"/>
        </w14:solidFill>
      </w14:textFill>
    </w:rPr>
  </w:style>
  <w:style w:type="character" w:styleId="151" w:customStyle="1">
    <w:name w:val="Heading 4 Char"/>
    <w:basedOn w:val="133"/>
    <w:link w:val="6"/>
    <w:uiPriority w:val="9"/>
    <w:semiHidden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152" w:customStyle="1">
    <w:name w:val="Heading 5 Char"/>
    <w:basedOn w:val="133"/>
    <w:link w:val="7"/>
    <w:uiPriority w:val="9"/>
    <w:semiHidden w:val="1"/>
    <w:rPr>
      <w:rFonts w:asciiTheme="majorHAnsi" w:cstheme="majorBidi" w:eastAsiaTheme="majorEastAsia" w:hAnsiTheme="majorHAnsi"/>
      <w:color w:val="254061" w:themeColor="accent1" w:themeShade="000080"/>
    </w:rPr>
  </w:style>
  <w:style w:type="character" w:styleId="153" w:customStyle="1">
    <w:name w:val="Heading 6 Char"/>
    <w:basedOn w:val="133"/>
    <w:link w:val="8"/>
    <w:uiPriority w:val="9"/>
    <w:semiHidden w:val="1"/>
    <w:rPr>
      <w:rFonts w:asciiTheme="majorHAnsi" w:cstheme="majorBidi" w:eastAsiaTheme="majorEastAsia" w:hAnsiTheme="majorHAnsi"/>
      <w:i w:val="1"/>
      <w:iCs w:val="1"/>
      <w:color w:val="254061" w:themeColor="accent1" w:themeShade="000080"/>
    </w:rPr>
  </w:style>
  <w:style w:type="character" w:styleId="154" w:customStyle="1">
    <w:name w:val="Heading 7 Char"/>
    <w:basedOn w:val="133"/>
    <w:link w:val="9"/>
    <w:uiPriority w:val="9"/>
    <w:semiHidden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155" w:customStyle="1">
    <w:name w:val="Heading 8 Char"/>
    <w:basedOn w:val="133"/>
    <w:link w:val="10"/>
    <w:uiPriority w:val="9"/>
    <w:semiHidden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156" w:customStyle="1">
    <w:name w:val="Heading 9 Char"/>
    <w:basedOn w:val="133"/>
    <w:link w:val="11"/>
    <w:uiPriority w:val="9"/>
    <w:semiHidden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157">
    <w:name w:val="Intense Quote"/>
    <w:basedOn w:val="1"/>
    <w:next w:val="1"/>
    <w:link w:val="158"/>
    <w:uiPriority w:val="30"/>
    <w:qFormat w:val="1"/>
    <w:pPr>
      <w:pBdr>
        <w:bottom w:color="4f81bd" w:space="4" w:sz="4" w:themeColor="accent1" w:val="single"/>
      </w:pBdr>
      <w:spacing w:after="280" w:before="200"/>
      <w:ind w:left="936" w:right="936"/>
    </w:pPr>
    <w:rPr>
      <w:b w:val="1"/>
      <w:bCs w:val="1"/>
      <w:i w:val="1"/>
      <w:iCs w:val="1"/>
      <w:color w:val="4f81bd" w:themeColor="accent1"/>
      <w14:textFill>
        <w14:solidFill>
          <w14:schemeClr w14:val="accent1"/>
        </w14:solidFill>
      </w14:textFill>
    </w:rPr>
  </w:style>
  <w:style w:type="character" w:styleId="158" w:customStyle="1">
    <w:name w:val="Intense Quote Char"/>
    <w:basedOn w:val="133"/>
    <w:link w:val="157"/>
    <w:uiPriority w:val="30"/>
    <w:rPr>
      <w:b w:val="1"/>
      <w:bCs w:val="1"/>
      <w:i w:val="1"/>
      <w:iCs w:val="1"/>
      <w:color w:val="4f81bd" w:themeColor="accent1"/>
      <w14:textFill>
        <w14:solidFill>
          <w14:schemeClr w14:val="accent1"/>
        </w14:solidFill>
      </w14:textFill>
    </w:rPr>
  </w:style>
  <w:style w:type="character" w:styleId="159" w:customStyle="1">
    <w:name w:val="Subtle Emphasis"/>
    <w:basedOn w:val="133"/>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160" w:customStyle="1">
    <w:name w:val="Intense Emphasis"/>
    <w:basedOn w:val="133"/>
    <w:uiPriority w:val="21"/>
    <w:qFormat w:val="1"/>
    <w:rPr>
      <w:b w:val="1"/>
      <w:bCs w:val="1"/>
      <w:i w:val="1"/>
      <w:iCs w:val="1"/>
      <w:color w:val="4f81bd" w:themeColor="accent1"/>
      <w14:textFill>
        <w14:solidFill>
          <w14:schemeClr w14:val="accent1"/>
        </w14:solidFill>
      </w14:textFill>
    </w:rPr>
  </w:style>
  <w:style w:type="character" w:styleId="161" w:customStyle="1">
    <w:name w:val="Subtle Reference"/>
    <w:basedOn w:val="133"/>
    <w:uiPriority w:val="31"/>
    <w:qFormat w:val="1"/>
    <w:rPr>
      <w:smallCaps w:val="1"/>
      <w:color w:val="c0504d" w:themeColor="accent2"/>
      <w:u w:val="single"/>
      <w14:textFill>
        <w14:solidFill>
          <w14:schemeClr w14:val="accent2"/>
        </w14:solidFill>
      </w14:textFill>
    </w:rPr>
  </w:style>
  <w:style w:type="character" w:styleId="162" w:customStyle="1">
    <w:name w:val="Intense Reference"/>
    <w:basedOn w:val="133"/>
    <w:uiPriority w:val="32"/>
    <w:qFormat w:val="1"/>
    <w:rPr>
      <w:b w:val="1"/>
      <w:bCs w:val="1"/>
      <w:smallCaps w:val="1"/>
      <w:color w:val="c0504d" w:themeColor="accent2"/>
      <w:spacing w:val="5"/>
      <w:u w:val="single"/>
      <w14:textFill>
        <w14:solidFill>
          <w14:schemeClr w14:val="accent2"/>
        </w14:solidFill>
      </w14:textFill>
    </w:rPr>
  </w:style>
  <w:style w:type="character" w:styleId="163" w:customStyle="1">
    <w:name w:val="Book Title"/>
    <w:basedOn w:val="133"/>
    <w:uiPriority w:val="33"/>
    <w:qFormat w:val="1"/>
    <w:rPr>
      <w:b w:val="1"/>
      <w:bCs w:val="1"/>
      <w:smallCaps w:val="1"/>
      <w:spacing w:val="5"/>
    </w:rPr>
  </w:style>
  <w:style w:type="paragraph" w:styleId="164" w:customStyle="1">
    <w:name w:val="TOC Heading"/>
    <w:basedOn w:val="3"/>
    <w:next w:val="1"/>
    <w:uiPriority w:val="39"/>
    <w:semiHidden w:val="1"/>
    <w:unhideWhenUsed w:val="1"/>
    <w:qFormat w:val="1"/>
    <w:pPr>
      <w:outlineLvl w:val="9"/>
    </w:p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hW921yvbTLaARoR7Jlh/olAq9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DIOaC5oMGpwM3dibXE3dTk4AHIhMUdrUjRrTnhNbFpTZG9jb0pBd3RkSmltd2VPdXJlRD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eyJoZGlkIjoiYjY2MzY4ZDE5M2NhOTc2NDE2ZDhiNjM5YTExNWExZDIiLCJ1c2VySWQiOiIxMzY4MjM3NjI2In0=</vt:lpwstr>
  </property>
  <property fmtid="{D5CDD505-2E9C-101B-9397-08002B2CF9AE}" pid="3" name="KSOProductBuildVer">
    <vt:lpwstr>2052-12.1.0.28505</vt:lpwstr>
  </property>
  <property fmtid="{D5CDD505-2E9C-101B-9397-08002B2CF9AE}" pid="4" name="ICV">
    <vt:lpwstr>AD6B66F5A36B454484B9FD3CADF98760_12</vt:lpwstr>
  </property>
</Properties>
</file>