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3 — Moyens humains et matériels affectés à l'opération (Critère 1 — 5%)</w:t>
      </w:r>
    </w:p>
    <w:p>
      <w:r>
        <w:rPr>
          <w:b w:val="0"/>
          <w:i/>
          <w:color w:val="595959"/>
          <w:sz w:val="19"/>
        </w:rPr>
        <w:t>Établi par France Décoration — Livry-Gargan</w:t>
      </w:r>
    </w:p>
    <w:p/>
    <w:p>
      <w:pPr>
        <w:spacing w:before="360" w:after="120"/>
        <w:pBdr>
          <w:bottom w:val="single" w:sz="8" w:space="4" w:color="2E74B5"/>
        </w:pBdr>
      </w:pPr>
      <w:r>
        <w:rPr>
          <w:b/>
          <w:color w:val="2E74B5"/>
          <w:sz w:val="28"/>
        </w:rPr>
        <w:t>3. MOYENS HUMAINS ET MATÉRIELS AFFECTÉS À L'OPÉRATION — 5 %</w:t>
      </w:r>
    </w:p>
    <w:p>
      <w:r>
        <w:rPr>
          <w:b w:val="0"/>
          <w:i w:val="0"/>
          <w:sz w:val="21"/>
        </w:rPr>
        <w:t>Ce chapitre présente l'organigramme, l'équipe nominative, les qualifications et les moyens matériels que France Décoration mobilise pour l'exécution du Lot 3, en cohérence avec l'organisation (chapitre 2) et le planning (chapitre « Planning d'exécution »).</w:t>
      </w:r>
    </w:p>
    <w:p>
      <w:pPr>
        <w:spacing w:before="240" w:after="80"/>
      </w:pPr>
      <w:r>
        <w:rPr>
          <w:b/>
          <w:color w:val="1F3A5F"/>
          <w:sz w:val="24"/>
        </w:rPr>
        <w:t>3.1. Organigramme spécifique du chantier</w:t>
      </w:r>
    </w:p>
    <w:p>
      <w:r>
        <w:rPr>
          <w:b w:val="0"/>
          <w:i w:val="0"/>
          <w:sz w:val="21"/>
        </w:rPr>
        <w:t>L'organigramme ci-dessous (document « Organigramme_Lot3_France_Décoration », joint en annexe) présente la ligne hiérarchique dédiée à l'opération, avec un encadrement resserré permettant une prise de décision rapide sur site et une interface directe avec la Maîtrise d'Œuvre et l'AP-HP.</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val="clear" w:color="auto" w:fill="2E74B5"/>
          </w:tcPr>
          <w:p>
            <w:r/>
            <w:r>
              <w:rPr>
                <w:b/>
                <w:color w:val="FFFFFF"/>
                <w:sz w:val="18"/>
              </w:rPr>
              <w:t>Niveau</w:t>
            </w:r>
          </w:p>
        </w:tc>
        <w:tc>
          <w:tcPr>
            <w:tcW w:type="dxa" w:w="4252"/>
            <w:shd w:val="clear" w:color="auto" w:fill="2E74B5"/>
          </w:tcPr>
          <w:p>
            <w:r/>
            <w:r>
              <w:rPr>
                <w:b/>
                <w:color w:val="FFFFFF"/>
                <w:sz w:val="18"/>
              </w:rPr>
              <w:t>Fonction</w:t>
            </w:r>
          </w:p>
        </w:tc>
        <w:tc>
          <w:tcPr>
            <w:tcW w:type="dxa" w:w="2551"/>
            <w:shd w:val="clear" w:color="auto" w:fill="2E74B5"/>
          </w:tcPr>
          <w:p>
            <w:r/>
            <w:r>
              <w:rPr>
                <w:b/>
                <w:color w:val="FFFFFF"/>
                <w:sz w:val="18"/>
              </w:rPr>
              <w:t>Titulaire</w:t>
            </w:r>
          </w:p>
        </w:tc>
      </w:tr>
      <w:tr>
        <w:tc>
          <w:tcPr>
            <w:tcW w:type="dxa" w:w="1984"/>
          </w:tcPr>
          <w:p>
            <w:r/>
            <w:r>
              <w:rPr>
                <w:sz w:val="18"/>
              </w:rPr>
              <w:t>Direction</w:t>
            </w:r>
          </w:p>
        </w:tc>
        <w:tc>
          <w:tcPr>
            <w:tcW w:type="dxa" w:w="4252"/>
          </w:tcPr>
          <w:p>
            <w:r/>
            <w:r>
              <w:rPr>
                <w:sz w:val="18"/>
              </w:rPr>
              <w:t>Président</w:t>
            </w:r>
          </w:p>
        </w:tc>
        <w:tc>
          <w:tcPr>
            <w:tcW w:type="dxa" w:w="2551"/>
          </w:tcPr>
          <w:p>
            <w:r/>
            <w:r>
              <w:rPr>
                <w:sz w:val="18"/>
              </w:rPr>
              <w:t>Akram Waseem</w:t>
            </w:r>
          </w:p>
        </w:tc>
      </w:tr>
      <w:tr>
        <w:tc>
          <w:tcPr>
            <w:tcW w:type="dxa" w:w="1984"/>
          </w:tcPr>
          <w:p>
            <w:r/>
            <w:r>
              <w:rPr>
                <w:sz w:val="18"/>
              </w:rPr>
              <w:t>Direction</w:t>
            </w:r>
          </w:p>
        </w:tc>
        <w:tc>
          <w:tcPr>
            <w:tcW w:type="dxa" w:w="4252"/>
          </w:tcPr>
          <w:p>
            <w:r/>
            <w:r>
              <w:rPr>
                <w:sz w:val="18"/>
              </w:rPr>
              <w:t>Directeur Général / Responsable RSE — Interlocuteur unique</w:t>
            </w:r>
          </w:p>
        </w:tc>
        <w:tc>
          <w:tcPr>
            <w:tcW w:type="dxa" w:w="2551"/>
          </w:tcPr>
          <w:p>
            <w:r/>
            <w:r>
              <w:rPr>
                <w:sz w:val="18"/>
              </w:rPr>
              <w:t>Ghobech Ali</w:t>
            </w:r>
          </w:p>
        </w:tc>
      </w:tr>
      <w:tr>
        <w:tc>
          <w:tcPr>
            <w:tcW w:type="dxa" w:w="1984"/>
          </w:tcPr>
          <w:p>
            <w:r/>
            <w:r>
              <w:rPr>
                <w:sz w:val="18"/>
              </w:rPr>
              <w:t>Pilotage opération</w:t>
            </w:r>
          </w:p>
        </w:tc>
        <w:tc>
          <w:tcPr>
            <w:tcW w:type="dxa" w:w="4252"/>
          </w:tcPr>
          <w:p>
            <w:r/>
            <w:r>
              <w:rPr>
                <w:sz w:val="18"/>
              </w:rPr>
              <w:t>Conducteur de Travaux — Second Œuvre, Encadrant SS4</w:t>
            </w:r>
          </w:p>
        </w:tc>
        <w:tc>
          <w:tcPr>
            <w:tcW w:type="dxa" w:w="2551"/>
          </w:tcPr>
          <w:p>
            <w:r/>
            <w:r>
              <w:rPr>
                <w:sz w:val="18"/>
              </w:rPr>
              <w:t>Zaka Ullah Butt</w:t>
            </w:r>
          </w:p>
        </w:tc>
      </w:tr>
      <w:tr>
        <w:tc>
          <w:tcPr>
            <w:tcW w:type="dxa" w:w="1984"/>
          </w:tcPr>
          <w:p>
            <w:r/>
            <w:r>
              <w:rPr>
                <w:sz w:val="18"/>
              </w:rPr>
              <w:t>Encadrement site</w:t>
            </w:r>
          </w:p>
        </w:tc>
        <w:tc>
          <w:tcPr>
            <w:tcW w:type="dxa" w:w="4252"/>
          </w:tcPr>
          <w:p>
            <w:r/>
            <w:r>
              <w:rPr>
                <w:sz w:val="18"/>
              </w:rPr>
              <w:t>Chef de Chantier — Second Œuvre, Encadrant SS4</w:t>
            </w:r>
          </w:p>
        </w:tc>
        <w:tc>
          <w:tcPr>
            <w:tcW w:type="dxa" w:w="2551"/>
          </w:tcPr>
          <w:p>
            <w:r/>
            <w:r>
              <w:rPr>
                <w:sz w:val="18"/>
              </w:rPr>
              <w:t>Ali Shazil</w:t>
            </w:r>
          </w:p>
        </w:tc>
      </w:tr>
      <w:tr>
        <w:tc>
          <w:tcPr>
            <w:tcW w:type="dxa" w:w="1984"/>
          </w:tcPr>
          <w:p>
            <w:r/>
            <w:r>
              <w:rPr>
                <w:sz w:val="18"/>
              </w:rPr>
              <w:t>Équipe d'exécution</w:t>
            </w:r>
          </w:p>
        </w:tc>
        <w:tc>
          <w:tcPr>
            <w:tcW w:type="dxa" w:w="4252"/>
          </w:tcPr>
          <w:p>
            <w:r/>
            <w:r>
              <w:rPr>
                <w:sz w:val="18"/>
              </w:rPr>
              <w:t>Équipe Faux Plafonds (3 ouvriers)</w:t>
            </w:r>
          </w:p>
        </w:tc>
        <w:tc>
          <w:tcPr>
            <w:tcW w:type="dxa" w:w="2551"/>
          </w:tcPr>
          <w:p>
            <w:r/>
            <w:r>
              <w:rPr>
                <w:sz w:val="18"/>
              </w:rPr>
              <w:t>Rashid Minhas, Imran Shahid, Ali Luqman</w:t>
            </w:r>
          </w:p>
        </w:tc>
      </w:tr>
      <w:tr>
        <w:tc>
          <w:tcPr>
            <w:tcW w:type="dxa" w:w="1984"/>
          </w:tcPr>
          <w:p>
            <w:r/>
            <w:r>
              <w:rPr>
                <w:sz w:val="18"/>
              </w:rPr>
              <w:t>Équipe d'exécution</w:t>
            </w:r>
          </w:p>
        </w:tc>
        <w:tc>
          <w:tcPr>
            <w:tcW w:type="dxa" w:w="4252"/>
          </w:tcPr>
          <w:p>
            <w:r/>
            <w:r>
              <w:rPr>
                <w:sz w:val="18"/>
              </w:rPr>
              <w:t>Équipe Peinture (2 ouvriers)</w:t>
            </w:r>
          </w:p>
        </w:tc>
        <w:tc>
          <w:tcPr>
            <w:tcW w:type="dxa" w:w="2551"/>
          </w:tcPr>
          <w:p>
            <w:r/>
            <w:r>
              <w:rPr>
                <w:sz w:val="18"/>
              </w:rPr>
              <w:t>Syed Asmatullah, Sian Muhammad</w:t>
            </w:r>
          </w:p>
        </w:tc>
      </w:tr>
      <w:tr>
        <w:tc>
          <w:tcPr>
            <w:tcW w:type="dxa" w:w="1984"/>
          </w:tcPr>
          <w:p>
            <w:r/>
            <w:r>
              <w:rPr>
                <w:sz w:val="18"/>
              </w:rPr>
              <w:t>Équipe d'exécution</w:t>
            </w:r>
          </w:p>
        </w:tc>
        <w:tc>
          <w:tcPr>
            <w:tcW w:type="dxa" w:w="4252"/>
          </w:tcPr>
          <w:p>
            <w:r/>
            <w:r>
              <w:rPr>
                <w:sz w:val="18"/>
              </w:rPr>
              <w:t>Équipe Sols Souples (2 ouvriers)</w:t>
            </w:r>
          </w:p>
        </w:tc>
        <w:tc>
          <w:tcPr>
            <w:tcW w:type="dxa" w:w="2551"/>
          </w:tcPr>
          <w:p>
            <w:r/>
            <w:r>
              <w:rPr>
                <w:sz w:val="18"/>
              </w:rPr>
              <w:t>Gul Ajab, Diarra Souleymane</w:t>
            </w:r>
          </w:p>
        </w:tc>
      </w:tr>
    </w:tbl>
    <w:p/>
    <w:p>
      <w:r>
        <w:rPr>
          <w:b w:val="0"/>
          <w:i/>
          <w:sz w:val="21"/>
        </w:rPr>
        <w:t>Le Conducteur de Travaux et le Chef de Chantier encadrent directement les trois équipes d'exécution, sans niveau intermédiaire supplémentaire, ce qui raccourcit la chaîne de décision sur un chantier de taille resserrée comme celui-ci.</w:t>
      </w:r>
    </w:p>
    <w:p>
      <w:pPr>
        <w:spacing w:before="240" w:after="80"/>
      </w:pPr>
      <w:r>
        <w:rPr>
          <w:b/>
          <w:color w:val="1F3A5F"/>
          <w:sz w:val="24"/>
        </w:rPr>
        <w:t>3.2. Encadrement affecté à l'opération</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color="auto" w:fill="2E74B5"/>
          </w:tcPr>
          <w:p>
            <w:r/>
            <w:r>
              <w:rPr>
                <w:b/>
                <w:color w:val="FFFFFF"/>
                <w:sz w:val="18"/>
              </w:rPr>
              <w:t>Nom</w:t>
            </w:r>
          </w:p>
        </w:tc>
        <w:tc>
          <w:tcPr>
            <w:tcW w:type="dxa" w:w="2835"/>
            <w:shd w:val="clear" w:color="auto" w:fill="2E74B5"/>
          </w:tcPr>
          <w:p>
            <w:r/>
            <w:r>
              <w:rPr>
                <w:b/>
                <w:color w:val="FFFFFF"/>
                <w:sz w:val="18"/>
              </w:rPr>
              <w:t>Fonction</w:t>
            </w:r>
          </w:p>
        </w:tc>
        <w:tc>
          <w:tcPr>
            <w:tcW w:type="dxa" w:w="4252"/>
            <w:shd w:val="clear" w:color="auto" w:fill="2E74B5"/>
          </w:tcPr>
          <w:p>
            <w:r/>
            <w:r>
              <w:rPr>
                <w:b/>
                <w:color w:val="FFFFFF"/>
                <w:sz w:val="18"/>
              </w:rPr>
              <w:t>Expérience et profil</w:t>
            </w:r>
          </w:p>
        </w:tc>
      </w:tr>
      <w:tr>
        <w:tc>
          <w:tcPr>
            <w:tcW w:type="dxa" w:w="1701"/>
          </w:tcPr>
          <w:p>
            <w:r/>
            <w:r>
              <w:rPr>
                <w:sz w:val="18"/>
              </w:rPr>
              <w:t>Zaka Ullah Butt</w:t>
            </w:r>
          </w:p>
        </w:tc>
        <w:tc>
          <w:tcPr>
            <w:tcW w:type="dxa" w:w="2835"/>
          </w:tcPr>
          <w:p>
            <w:r/>
            <w:r>
              <w:rPr>
                <w:sz w:val="18"/>
              </w:rPr>
              <w:t>Conducteur de Travaux — Second Œuvre</w:t>
            </w:r>
          </w:p>
        </w:tc>
        <w:tc>
          <w:tcPr>
            <w:tcW w:type="dxa" w:w="4252"/>
          </w:tcPr>
          <w:p>
            <w:r/>
            <w:r>
              <w:rPr>
                <w:sz w:val="18"/>
              </w:rPr>
              <w:t>15 ans d'expérience en pilotage de chantiers second œuvre (scolaire, hospitalier, tertiaire). Certifié Amiante Sous-section 4 (SS4) — Encadrant Technique. Chez France Décoration depuis 2022, où il a dirigé des travaux de peinture et sols de 5 000 m² en milieu hospitalier (validation des supports, gestion des risques plomb, coordination HSE, animation des quarts d'heure sécurité, pilotage des OPR/OPL).</w:t>
            </w:r>
          </w:p>
        </w:tc>
      </w:tr>
      <w:tr>
        <w:tc>
          <w:tcPr>
            <w:tcW w:type="dxa" w:w="1701"/>
          </w:tcPr>
          <w:p>
            <w:r/>
            <w:r>
              <w:rPr>
                <w:sz w:val="18"/>
              </w:rPr>
              <w:t>Ali Shazil</w:t>
            </w:r>
          </w:p>
        </w:tc>
        <w:tc>
          <w:tcPr>
            <w:tcW w:type="dxa" w:w="2835"/>
          </w:tcPr>
          <w:p>
            <w:r/>
            <w:r>
              <w:rPr>
                <w:sz w:val="18"/>
              </w:rPr>
              <w:t>Chef de Chantier — Second Œuvre</w:t>
            </w:r>
          </w:p>
        </w:tc>
        <w:tc>
          <w:tcPr>
            <w:tcW w:type="dxa" w:w="4252"/>
          </w:tcPr>
          <w:p>
            <w:r/>
            <w:r>
              <w:rPr>
                <w:sz w:val="18"/>
              </w:rPr>
              <w:t>13 ans d'expérience dans l'organisation et le suivi de travaux de second œuvre en tertiaire, ERP et établissements hospitaliers. Spécialisé dans la coordination des faux plafonds, peinture, sols souples et revêtements muraux techniques. Chez France Décoration depuis 2024, en charge de l'organisation quotidienne du chantier, des commandes et zones de stockage, de la répartition des effectifs et de l'organisation des OPR.</w:t>
            </w:r>
          </w:p>
        </w:tc>
      </w:tr>
    </w:tbl>
    <w:p/>
    <w:p>
      <w:r>
        <w:rPr>
          <w:b w:val="0"/>
          <w:i/>
          <w:sz w:val="21"/>
        </w:rPr>
        <w:t>Cet encadrement reste affecté à l'opération de bout en bout, sans rotation, afin de garantir la continuité de la connaissance du site et des exigences propres à l'établissement.</w:t>
      </w:r>
    </w:p>
    <w:p>
      <w:pPr>
        <w:spacing w:before="240" w:after="80"/>
      </w:pPr>
      <w:r>
        <w:rPr>
          <w:b/>
          <w:color w:val="1F3A5F"/>
          <w:sz w:val="24"/>
        </w:rPr>
        <w:t>3.3. Composition et dimensionnement des équipes</w:t>
      </w:r>
    </w:p>
    <w:p>
      <w:r>
        <w:rPr>
          <w:b w:val="0"/>
          <w:i w:val="0"/>
          <w:sz w:val="21"/>
        </w:rPr>
        <w:t>Le dimensionnement des équipes est calé sur les phases de notre planning d'exécution : un effectif resserré mais dédié à chaque corps de métier, permettant une intervention rapide et continue, sans juxtaposition de plusieurs corps de métier dans un même local.</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color="auto" w:fill="2E74B5"/>
          </w:tcPr>
          <w:p>
            <w:r/>
            <w:r>
              <w:rPr>
                <w:b/>
                <w:color w:val="FFFFFF"/>
                <w:sz w:val="18"/>
              </w:rPr>
              <w:t>Équipe</w:t>
            </w:r>
          </w:p>
        </w:tc>
        <w:tc>
          <w:tcPr>
            <w:tcW w:type="dxa" w:w="3685"/>
            <w:shd w:val="clear" w:color="auto" w:fill="2E74B5"/>
          </w:tcPr>
          <w:p>
            <w:r/>
            <w:r>
              <w:rPr>
                <w:b/>
                <w:color w:val="FFFFFF"/>
                <w:sz w:val="18"/>
              </w:rPr>
              <w:t>Effectif nominatif</w:t>
            </w:r>
          </w:p>
        </w:tc>
        <w:tc>
          <w:tcPr>
            <w:tcW w:type="dxa" w:w="2551"/>
            <w:shd w:val="clear" w:color="auto" w:fill="2E74B5"/>
          </w:tcPr>
          <w:p>
            <w:r/>
            <w:r>
              <w:rPr>
                <w:b/>
                <w:color w:val="FFFFFF"/>
                <w:sz w:val="18"/>
              </w:rPr>
              <w:t>Phase du planning</w:t>
            </w:r>
          </w:p>
        </w:tc>
      </w:tr>
      <w:tr>
        <w:tc>
          <w:tcPr>
            <w:tcW w:type="dxa" w:w="2835"/>
          </w:tcPr>
          <w:p>
            <w:r/>
            <w:r>
              <w:rPr>
                <w:sz w:val="18"/>
              </w:rPr>
              <w:t>Encadrement (Conducteur + Chef de chantier)</w:t>
            </w:r>
          </w:p>
        </w:tc>
        <w:tc>
          <w:tcPr>
            <w:tcW w:type="dxa" w:w="3685"/>
          </w:tcPr>
          <w:p>
            <w:r/>
            <w:r>
              <w:rPr>
                <w:sz w:val="18"/>
              </w:rPr>
              <w:t>Zaka Ullah Butt, Ali Shazil</w:t>
            </w:r>
          </w:p>
        </w:tc>
        <w:tc>
          <w:tcPr>
            <w:tcW w:type="dxa" w:w="2551"/>
          </w:tcPr>
          <w:p>
            <w:r/>
            <w:r>
              <w:rPr>
                <w:sz w:val="18"/>
              </w:rPr>
              <w:t>Présents sur toute la durée de l'opération</w:t>
            </w:r>
          </w:p>
        </w:tc>
      </w:tr>
      <w:tr>
        <w:tc>
          <w:tcPr>
            <w:tcW w:type="dxa" w:w="2835"/>
          </w:tcPr>
          <w:p>
            <w:r/>
            <w:r>
              <w:rPr>
                <w:sz w:val="18"/>
              </w:rPr>
              <w:t>Équipe Faux Plafonds</w:t>
            </w:r>
          </w:p>
        </w:tc>
        <w:tc>
          <w:tcPr>
            <w:tcW w:type="dxa" w:w="3685"/>
          </w:tcPr>
          <w:p>
            <w:r/>
            <w:r>
              <w:rPr>
                <w:sz w:val="18"/>
              </w:rPr>
              <w:t>Rashid Minhas, Imran Shahid, Ali Luqman (3 pers.)</w:t>
            </w:r>
          </w:p>
        </w:tc>
        <w:tc>
          <w:tcPr>
            <w:tcW w:type="dxa" w:w="2551"/>
          </w:tcPr>
          <w:p>
            <w:r/>
            <w:r>
              <w:rPr>
                <w:sz w:val="18"/>
              </w:rPr>
              <w:t>Mois 4 - S1</w:t>
            </w:r>
          </w:p>
        </w:tc>
      </w:tr>
      <w:tr>
        <w:tc>
          <w:tcPr>
            <w:tcW w:type="dxa" w:w="2835"/>
          </w:tcPr>
          <w:p>
            <w:r/>
            <w:r>
              <w:rPr>
                <w:sz w:val="18"/>
              </w:rPr>
              <w:t>Équipe Peinture</w:t>
            </w:r>
          </w:p>
        </w:tc>
        <w:tc>
          <w:tcPr>
            <w:tcW w:type="dxa" w:w="3685"/>
          </w:tcPr>
          <w:p>
            <w:r/>
            <w:r>
              <w:rPr>
                <w:sz w:val="18"/>
              </w:rPr>
              <w:t>Syed Asmatullah, Sian Muhammad (2 pers.)</w:t>
            </w:r>
          </w:p>
        </w:tc>
        <w:tc>
          <w:tcPr>
            <w:tcW w:type="dxa" w:w="2551"/>
          </w:tcPr>
          <w:p>
            <w:r/>
            <w:r>
              <w:rPr>
                <w:sz w:val="18"/>
              </w:rPr>
              <w:t>Mois 4 - S2</w:t>
            </w:r>
          </w:p>
        </w:tc>
      </w:tr>
      <w:tr>
        <w:tc>
          <w:tcPr>
            <w:tcW w:type="dxa" w:w="2835"/>
          </w:tcPr>
          <w:p>
            <w:r/>
            <w:r>
              <w:rPr>
                <w:sz w:val="18"/>
              </w:rPr>
              <w:t>Équipe Sols Souples</w:t>
            </w:r>
          </w:p>
        </w:tc>
        <w:tc>
          <w:tcPr>
            <w:tcW w:type="dxa" w:w="3685"/>
          </w:tcPr>
          <w:p>
            <w:r/>
            <w:r>
              <w:rPr>
                <w:sz w:val="18"/>
              </w:rPr>
              <w:t>Gul Ajab, Diarra Souleymane (2 pers.)</w:t>
            </w:r>
          </w:p>
        </w:tc>
        <w:tc>
          <w:tcPr>
            <w:tcW w:type="dxa" w:w="2551"/>
          </w:tcPr>
          <w:p>
            <w:r/>
            <w:r>
              <w:rPr>
                <w:sz w:val="18"/>
              </w:rPr>
              <w:t>Mois 4 - S3</w:t>
            </w:r>
          </w:p>
        </w:tc>
      </w:tr>
      <w:tr>
        <w:tc>
          <w:tcPr>
            <w:tcW w:type="dxa" w:w="2835"/>
          </w:tcPr>
          <w:p>
            <w:r/>
            <w:r>
              <w:rPr>
                <w:sz w:val="18"/>
              </w:rPr>
              <w:t>Clôture (nettoyage général / OPR / réserves)</w:t>
            </w:r>
          </w:p>
        </w:tc>
        <w:tc>
          <w:tcPr>
            <w:tcW w:type="dxa" w:w="3685"/>
          </w:tcPr>
          <w:p>
            <w:r/>
            <w:r>
              <w:rPr>
                <w:sz w:val="18"/>
              </w:rPr>
              <w:t>Chef de chantier + équipe de finition</w:t>
            </w:r>
          </w:p>
        </w:tc>
        <w:tc>
          <w:tcPr>
            <w:tcW w:type="dxa" w:w="2551"/>
          </w:tcPr>
          <w:p>
            <w:r/>
            <w:r>
              <w:rPr>
                <w:sz w:val="18"/>
              </w:rPr>
              <w:t>Mois 5 - S4</w:t>
            </w:r>
          </w:p>
        </w:tc>
      </w:tr>
    </w:tbl>
    <w:p/>
    <w:p>
      <w:pPr>
        <w:spacing w:before="240" w:after="80"/>
      </w:pPr>
      <w:r>
        <w:rPr>
          <w:b/>
          <w:color w:val="1F3A5F"/>
          <w:sz w:val="24"/>
        </w:rPr>
        <w:t>3.4. Qualifications, compétences et expériences du personnel</w:t>
      </w:r>
    </w:p>
    <w:p>
      <w:r>
        <w:rPr>
          <w:b w:val="0"/>
          <w:i w:val="0"/>
          <w:sz w:val="21"/>
        </w:rPr>
        <w:t>Point notable : l'ensemble du personnel affecté à l'opération est sensibilisé ou certifié aux risques Amiante Sous-section 4 (SS4), condition indispensable pour intervenir sereinement dans un bâtiment ancien comme celui du Lot 3, où des ouvrages existants doivent être déposés.</w:t>
      </w:r>
    </w:p>
    <w:tbl>
      <w:tblPr>
        <w:tblStyle w:val="TableGrid"/>
        <w:tblW w:type="auto" w:w="0"/>
        <w:jc w:val="center"/>
        <w:tblLook w:firstColumn="1" w:firstRow="1" w:lastColumn="0" w:lastRow="0" w:noHBand="0" w:noVBand="1" w:val="04A0"/>
      </w:tblPr>
      <w:tblGrid>
        <w:gridCol w:w="5100"/>
        <w:gridCol w:w="5100"/>
      </w:tblGrid>
      <w:tr>
        <w:tc>
          <w:tcPr>
            <w:tcW w:type="dxa" w:w="1984"/>
            <w:shd w:val="clear" w:color="auto" w:fill="2E74B5"/>
          </w:tcPr>
          <w:p>
            <w:r/>
            <w:r>
              <w:rPr>
                <w:b/>
                <w:color w:val="FFFFFF"/>
                <w:sz w:val="18"/>
              </w:rPr>
              <w:t>Nom</w:t>
            </w:r>
          </w:p>
        </w:tc>
        <w:tc>
          <w:tcPr>
            <w:tcW w:type="dxa" w:w="6803"/>
            <w:shd w:val="clear" w:color="auto" w:fill="2E74B5"/>
          </w:tcPr>
          <w:p>
            <w:r/>
            <w:r>
              <w:rPr>
                <w:b/>
                <w:color w:val="FFFFFF"/>
                <w:sz w:val="18"/>
              </w:rPr>
              <w:t>Qualifications et compétences clés</w:t>
            </w:r>
          </w:p>
        </w:tc>
      </w:tr>
      <w:tr>
        <w:tc>
          <w:tcPr>
            <w:tcW w:type="dxa" w:w="1984"/>
          </w:tcPr>
          <w:p>
            <w:r/>
            <w:r>
              <w:rPr>
                <w:sz w:val="18"/>
              </w:rPr>
              <w:t>Zaka Ullah Butt</w:t>
            </w:r>
          </w:p>
        </w:tc>
        <w:tc>
          <w:tcPr>
            <w:tcW w:type="dxa" w:w="6803"/>
          </w:tcPr>
          <w:p>
            <w:r/>
            <w:r>
              <w:rPr>
                <w:sz w:val="18"/>
              </w:rPr>
              <w:t>Certifié Amiante SS4 — Encadrant Technique ; prévention du risque Plomb en rénovation ; analyse de CCTP et contrôle de conformité DTU ; management HSE (PPSPS, EPI)</w:t>
            </w:r>
          </w:p>
        </w:tc>
      </w:tr>
      <w:tr>
        <w:tc>
          <w:tcPr>
            <w:tcW w:type="dxa" w:w="1984"/>
          </w:tcPr>
          <w:p>
            <w:r/>
            <w:r>
              <w:rPr>
                <w:sz w:val="18"/>
              </w:rPr>
              <w:t>Ali Shazil</w:t>
            </w:r>
          </w:p>
        </w:tc>
        <w:tc>
          <w:tcPr>
            <w:tcW w:type="dxa" w:w="6803"/>
          </w:tcPr>
          <w:p>
            <w:r/>
            <w:r>
              <w:rPr>
                <w:sz w:val="18"/>
              </w:rPr>
              <w:t>Sensibilisé SS4 ; coordination de chantiers phasés en site occupé ; contrôle qualité des supports et des finitions ; gestion du tri et de l'évacuation des déchets</w:t>
            </w:r>
          </w:p>
        </w:tc>
      </w:tr>
      <w:tr>
        <w:tc>
          <w:tcPr>
            <w:tcW w:type="dxa" w:w="1984"/>
          </w:tcPr>
          <w:p>
            <w:r/>
            <w:r>
              <w:rPr>
                <w:sz w:val="18"/>
              </w:rPr>
              <w:t>Rashid Minhas</w:t>
            </w:r>
          </w:p>
        </w:tc>
        <w:tc>
          <w:tcPr>
            <w:tcW w:type="dxa" w:w="6803"/>
          </w:tcPr>
          <w:p>
            <w:r/>
            <w:r>
              <w:rPr>
                <w:sz w:val="18"/>
              </w:rPr>
              <w:t>8 ans, systèmes Placostil®, plafonds acoustiques et hygiéniques ; sensibilisé SS4 ; nettoyage de précision des ouvrages terminés</w:t>
            </w:r>
          </w:p>
        </w:tc>
      </w:tr>
      <w:tr>
        <w:tc>
          <w:tcPr>
            <w:tcW w:type="dxa" w:w="1984"/>
          </w:tcPr>
          <w:p>
            <w:r/>
            <w:r>
              <w:rPr>
                <w:sz w:val="18"/>
              </w:rPr>
              <w:t>Imran Shahid</w:t>
            </w:r>
          </w:p>
        </w:tc>
        <w:tc>
          <w:tcPr>
            <w:tcW w:type="dxa" w:w="6803"/>
          </w:tcPr>
          <w:p>
            <w:r/>
            <w:r>
              <w:rPr>
                <w:sz w:val="18"/>
              </w:rPr>
              <w:t>8 ans, plafonds suspendus, acoustiques, démontables ; maîtrise des systèmes Placostil® ; gestion des stocks</w:t>
            </w:r>
          </w:p>
        </w:tc>
      </w:tr>
      <w:tr>
        <w:tc>
          <w:tcPr>
            <w:tcW w:type="dxa" w:w="1984"/>
          </w:tcPr>
          <w:p>
            <w:r/>
            <w:r>
              <w:rPr>
                <w:sz w:val="18"/>
              </w:rPr>
              <w:t>Ali Luqman</w:t>
            </w:r>
          </w:p>
        </w:tc>
        <w:tc>
          <w:tcPr>
            <w:tcW w:type="dxa" w:w="6803"/>
          </w:tcPr>
          <w:p>
            <w:r/>
            <w:r>
              <w:rPr>
                <w:sz w:val="18"/>
              </w:rPr>
              <w:t>6 ans, lecture de plans et implantation, ossatures F530, plafonds démontables 600×600 ; sensibilisé SS4</w:t>
            </w:r>
          </w:p>
        </w:tc>
      </w:tr>
      <w:tr>
        <w:tc>
          <w:tcPr>
            <w:tcW w:type="dxa" w:w="1984"/>
          </w:tcPr>
          <w:p>
            <w:r/>
            <w:r>
              <w:rPr>
                <w:sz w:val="18"/>
              </w:rPr>
              <w:t>Syed Asmatullah</w:t>
            </w:r>
          </w:p>
        </w:tc>
        <w:tc>
          <w:tcPr>
            <w:tcW w:type="dxa" w:w="6803"/>
          </w:tcPr>
          <w:p>
            <w:r/>
            <w:r>
              <w:rPr>
                <w:sz w:val="18"/>
              </w:rPr>
              <w:t>8 ans, finitions de type A, B et C ; traitement et mise en peinture d'ouvrages métalliques ; vernis ignifuge conforme SSI ; sensibilisé Amiante et Plomb</w:t>
            </w:r>
          </w:p>
        </w:tc>
      </w:tr>
      <w:tr>
        <w:tc>
          <w:tcPr>
            <w:tcW w:type="dxa" w:w="1984"/>
          </w:tcPr>
          <w:p>
            <w:r/>
            <w:r>
              <w:rPr>
                <w:sz w:val="18"/>
              </w:rPr>
              <w:t>Sian Muhammad</w:t>
            </w:r>
          </w:p>
        </w:tc>
        <w:tc>
          <w:tcPr>
            <w:tcW w:type="dxa" w:w="6803"/>
          </w:tcPr>
          <w:p>
            <w:r/>
            <w:r>
              <w:rPr>
                <w:sz w:val="18"/>
              </w:rPr>
              <w:t>5 ans, application sur plâtre, boiseries et métaux ; sensibilisé SS4 ; respect des règles HSE</w:t>
            </w:r>
          </w:p>
        </w:tc>
      </w:tr>
      <w:tr>
        <w:tc>
          <w:tcPr>
            <w:tcW w:type="dxa" w:w="1984"/>
          </w:tcPr>
          <w:p>
            <w:r/>
            <w:r>
              <w:rPr>
                <w:sz w:val="18"/>
              </w:rPr>
              <w:t>Gul Ajab</w:t>
            </w:r>
          </w:p>
        </w:tc>
        <w:tc>
          <w:tcPr>
            <w:tcW w:type="dxa" w:w="6803"/>
          </w:tcPr>
          <w:p>
            <w:r/>
            <w:r>
              <w:rPr>
                <w:sz w:val="18"/>
              </w:rPr>
              <w:t>7 ans, pose PVC homogène/hétérogène (UPEC U4), résines époxy et polyuréthane, soudure à chaud ; spécialisé environnements hospitaliers/stériles ; sensibilisé SS4</w:t>
            </w:r>
          </w:p>
        </w:tc>
      </w:tr>
      <w:tr>
        <w:tc>
          <w:tcPr>
            <w:tcW w:type="dxa" w:w="1984"/>
          </w:tcPr>
          <w:p>
            <w:r/>
            <w:r>
              <w:rPr>
                <w:sz w:val="18"/>
              </w:rPr>
              <w:t>Diarra Souleymane</w:t>
            </w:r>
          </w:p>
        </w:tc>
        <w:tc>
          <w:tcPr>
            <w:tcW w:type="dxa" w:w="6803"/>
          </w:tcPr>
          <w:p>
            <w:r/>
            <w:r>
              <w:rPr>
                <w:sz w:val="18"/>
              </w:rPr>
              <w:t>9 ans, pose de sols PVC acoustiques en lés (classement U3P3), soudure à chaud avec cordon, ragréage auto-lissant fibre ; sensibilisé SS4</w:t>
            </w:r>
          </w:p>
        </w:tc>
      </w:tr>
    </w:tbl>
    <w:p/>
    <w:p>
      <w:r>
        <w:rPr>
          <w:b w:val="0"/>
          <w:i/>
          <w:sz w:val="21"/>
        </w:rPr>
        <w:t>Les CV nominatifs complets sont joints en annexe du présent mémoire (dossier « Annexe 2.1 — CV intervenants »).</w:t>
      </w:r>
    </w:p>
    <w:p>
      <w:pPr>
        <w:spacing w:before="240" w:after="80"/>
      </w:pPr>
      <w:r>
        <w:rPr>
          <w:b/>
          <w:color w:val="1F3A5F"/>
          <w:sz w:val="24"/>
        </w:rPr>
        <w:t>3.5. Références et expériences en milieu hospitalier occupé</w:t>
      </w:r>
    </w:p>
    <w:p>
      <w:r>
        <w:rPr>
          <w:b w:val="0"/>
          <w:i w:val="0"/>
          <w:sz w:val="21"/>
        </w:rPr>
        <w:t>L'équipe affectée au Lot 3 réunit une expérience cumulée significative en établissements hospitaliers et ERP occupés, acquise tant au sein de France Décoration que chez de précédents employeurs, avant leur intégration à notre société.</w:t>
      </w:r>
    </w:p>
    <w:tbl>
      <w:tblPr>
        <w:tblStyle w:val="TableGrid"/>
        <w:tblW w:type="auto" w:w="0"/>
        <w:jc w:val="center"/>
        <w:tblLook w:firstColumn="1" w:firstRow="1" w:lastColumn="0" w:lastRow="0" w:noHBand="0" w:noVBand="1" w:val="04A0"/>
      </w:tblPr>
      <w:tblGrid>
        <w:gridCol w:w="5100"/>
        <w:gridCol w:w="5100"/>
      </w:tblGrid>
      <w:tr>
        <w:tc>
          <w:tcPr>
            <w:tcW w:type="dxa" w:w="2835"/>
            <w:shd w:val="clear" w:color="auto" w:fill="2E74B5"/>
          </w:tcPr>
          <w:p>
            <w:r/>
            <w:r>
              <w:rPr>
                <w:b/>
                <w:color w:val="FFFFFF"/>
                <w:sz w:val="18"/>
              </w:rPr>
              <w:t>Intervenant</w:t>
            </w:r>
          </w:p>
        </w:tc>
        <w:tc>
          <w:tcPr>
            <w:tcW w:type="dxa" w:w="5953"/>
            <w:shd w:val="clear" w:color="auto" w:fill="2E74B5"/>
          </w:tcPr>
          <w:p>
            <w:r/>
            <w:r>
              <w:rPr>
                <w:b/>
                <w:color w:val="FFFFFF"/>
                <w:sz w:val="18"/>
              </w:rPr>
              <w:t>Référence en milieu hospitalier / ERP occupé</w:t>
            </w:r>
          </w:p>
        </w:tc>
      </w:tr>
      <w:tr>
        <w:tc>
          <w:tcPr>
            <w:tcW w:type="dxa" w:w="2835"/>
          </w:tcPr>
          <w:p>
            <w:r/>
            <w:r>
              <w:rPr>
                <w:sz w:val="18"/>
              </w:rPr>
              <w:t>Zaka Ullah Butt (Conducteur de Travaux)</w:t>
            </w:r>
          </w:p>
        </w:tc>
        <w:tc>
          <w:tcPr>
            <w:tcW w:type="dxa" w:w="5953"/>
          </w:tcPr>
          <w:p>
            <w:r/>
            <w:r>
              <w:rPr>
                <w:sz w:val="18"/>
              </w:rPr>
              <w:t>Direction des travaux de peinture et sols (5 000 m²) en milieu hospitalier chez France Décoration (2022-aujourd'hui) : validation des supports, gestion des risques plomb, coordination des OPR/OPL</w:t>
            </w:r>
          </w:p>
        </w:tc>
      </w:tr>
      <w:tr>
        <w:tc>
          <w:tcPr>
            <w:tcW w:type="dxa" w:w="2835"/>
          </w:tcPr>
          <w:p>
            <w:r/>
            <w:r>
              <w:rPr>
                <w:sz w:val="18"/>
              </w:rPr>
              <w:t>Ali Shazil (Chef de Chantier)</w:t>
            </w:r>
          </w:p>
        </w:tc>
        <w:tc>
          <w:tcPr>
            <w:tcW w:type="dxa" w:w="5953"/>
          </w:tcPr>
          <w:p>
            <w:r/>
            <w:r>
              <w:rPr>
                <w:sz w:val="18"/>
              </w:rPr>
              <w:t>13 ans d'expérience en bâtiments tertiaires, ERP et établissements hospitaliers ; habitué aux chantiers phasés et aux interventions en site occupé</w:t>
            </w:r>
          </w:p>
        </w:tc>
      </w:tr>
      <w:tr>
        <w:tc>
          <w:tcPr>
            <w:tcW w:type="dxa" w:w="2835"/>
          </w:tcPr>
          <w:p>
            <w:r/>
            <w:r>
              <w:rPr>
                <w:sz w:val="18"/>
              </w:rPr>
              <w:t>Gul Ajab (Sols souples)</w:t>
            </w:r>
          </w:p>
        </w:tc>
        <w:tc>
          <w:tcPr>
            <w:tcW w:type="dxa" w:w="5953"/>
          </w:tcPr>
          <w:p>
            <w:r/>
            <w:r>
              <w:rPr>
                <w:sz w:val="18"/>
              </w:rPr>
              <w:t>Pose de sols PVC sécurité en douches et blocs opératoires avec étanchéité parfaite, chez France Décoration ; spécialisé environnements stériles et hospitaliers</w:t>
            </w:r>
          </w:p>
        </w:tc>
      </w:tr>
      <w:tr>
        <w:tc>
          <w:tcPr>
            <w:tcW w:type="dxa" w:w="2835"/>
          </w:tcPr>
          <w:p>
            <w:r/>
            <w:r>
              <w:rPr>
                <w:sz w:val="18"/>
              </w:rPr>
              <w:t>Diarra Souleymane (Sols souples)</w:t>
            </w:r>
          </w:p>
        </w:tc>
        <w:tc>
          <w:tcPr>
            <w:tcW w:type="dxa" w:w="5953"/>
          </w:tcPr>
          <w:p>
            <w:r/>
            <w:r>
              <w:rPr>
                <w:sz w:val="18"/>
              </w:rPr>
              <w:t>Pose de sols PVC U3P3 en circulations et locaux hospitaliers chez France Décoration ; remplacement de sols souples en site occupé chez un précédent employeur</w:t>
            </w:r>
          </w:p>
        </w:tc>
      </w:tr>
      <w:tr>
        <w:tc>
          <w:tcPr>
            <w:tcW w:type="dxa" w:w="2835"/>
          </w:tcPr>
          <w:p>
            <w:r/>
            <w:r>
              <w:rPr>
                <w:sz w:val="18"/>
              </w:rPr>
              <w:t>Rashid Minhas / Imran Shahid (Faux plafonds)</w:t>
            </w:r>
          </w:p>
        </w:tc>
        <w:tc>
          <w:tcPr>
            <w:tcW w:type="dxa" w:w="5953"/>
          </w:tcPr>
          <w:p>
            <w:r/>
            <w:r>
              <w:rPr>
                <w:sz w:val="18"/>
              </w:rPr>
              <w:t>8 ans d'expérience chacun en bâtiments tertiaires, ERP et établissements hospitaliers, avec pose de plafonds suspendus en ERP</w:t>
            </w:r>
          </w:p>
        </w:tc>
      </w:tr>
      <w:tr>
        <w:tc>
          <w:tcPr>
            <w:tcW w:type="dxa" w:w="2835"/>
          </w:tcPr>
          <w:p>
            <w:r/>
            <w:r>
              <w:rPr>
                <w:sz w:val="18"/>
              </w:rPr>
              <w:t>Syed Asmatullah (Peinture)</w:t>
            </w:r>
          </w:p>
        </w:tc>
        <w:tc>
          <w:tcPr>
            <w:tcW w:type="dxa" w:w="5953"/>
          </w:tcPr>
          <w:p>
            <w:r/>
            <w:r>
              <w:rPr>
                <w:sz w:val="18"/>
              </w:rPr>
              <w:t>8 ans d'expérience en secteurs tertiaire, hospitalier, résidentiel et ERP ; habitué aux interventions en site occupé</w:t>
            </w:r>
          </w:p>
        </w:tc>
      </w:tr>
    </w:tbl>
    <w:p/>
    <w:p>
      <w:r>
        <w:rPr>
          <w:b w:val="0"/>
          <w:i/>
          <w:sz w:val="21"/>
        </w:rPr>
        <w:t>Ces éléments, ainsi que les attestations de bonne exécution correspondantes, sont joints au dossier de candidature conformément aux pièces demandées par le Règlement de la Consultation.</w:t>
      </w:r>
    </w:p>
    <w:p>
      <w:r>
        <w:br w:type="page"/>
      </w:r>
    </w:p>
    <w:p>
      <w:pPr>
        <w:spacing w:before="240" w:after="80"/>
      </w:pPr>
      <w:r>
        <w:rPr>
          <w:b/>
          <w:color w:val="1F3A5F"/>
          <w:sz w:val="24"/>
        </w:rPr>
        <w:t>3.6. Moyens matériels affectés au chantier</w:t>
      </w:r>
    </w:p>
    <w:p>
      <w:r>
        <w:rPr>
          <w:b w:val="0"/>
          <w:i w:val="0"/>
          <w:sz w:val="21"/>
        </w:rPr>
        <w:t>Au-delà des matériels spécifiques à chaque corps de métier (cf. § 3.7 à 3.9), le chantier est équipé de moyens communs mutualisés entre les équipes.</w:t>
      </w:r>
    </w:p>
    <w:tbl>
      <w:tblPr>
        <w:tblStyle w:val="TableGrid"/>
        <w:tblW w:type="auto" w:w="0"/>
        <w:jc w:val="center"/>
        <w:tblLook w:firstColumn="1" w:firstRow="1" w:lastColumn="0" w:lastRow="0" w:noHBand="0" w:noVBand="1" w:val="04A0"/>
      </w:tblPr>
      <w:tblGrid>
        <w:gridCol w:w="5100"/>
        <w:gridCol w:w="5100"/>
      </w:tblGrid>
      <w:tr>
        <w:tc>
          <w:tcPr>
            <w:tcW w:type="dxa" w:w="3969"/>
            <w:shd w:val="clear" w:color="auto" w:fill="2E74B5"/>
          </w:tcPr>
          <w:p>
            <w:r/>
            <w:r>
              <w:rPr>
                <w:b/>
                <w:color w:val="FFFFFF"/>
                <w:sz w:val="18"/>
              </w:rPr>
              <w:t>Matériel</w:t>
            </w:r>
          </w:p>
        </w:tc>
        <w:tc>
          <w:tcPr>
            <w:tcW w:type="dxa" w:w="4535"/>
            <w:shd w:val="clear" w:color="auto" w:fill="2E74B5"/>
          </w:tcPr>
          <w:p>
            <w:r/>
            <w:r>
              <w:rPr>
                <w:b/>
                <w:color w:val="FFFFFF"/>
                <w:sz w:val="18"/>
              </w:rPr>
              <w:t>Usage</w:t>
            </w:r>
          </w:p>
        </w:tc>
      </w:tr>
      <w:tr>
        <w:tc>
          <w:tcPr>
            <w:tcW w:type="dxa" w:w="3969"/>
          </w:tcPr>
          <w:p>
            <w:r/>
            <w:r>
              <w:rPr>
                <w:sz w:val="18"/>
              </w:rPr>
              <w:t>Échafaudages roulants et plateformes individuelles roulantes (PIR)</w:t>
            </w:r>
          </w:p>
        </w:tc>
        <w:tc>
          <w:tcPr>
            <w:tcW w:type="dxa" w:w="4535"/>
          </w:tcPr>
          <w:p>
            <w:r/>
            <w:r>
              <w:rPr>
                <w:sz w:val="18"/>
              </w:rPr>
              <w:t>Accès aux plafonds et parties hautes</w:t>
            </w:r>
          </w:p>
        </w:tc>
      </w:tr>
      <w:tr>
        <w:tc>
          <w:tcPr>
            <w:tcW w:type="dxa" w:w="3969"/>
          </w:tcPr>
          <w:p>
            <w:r/>
            <w:r>
              <w:rPr>
                <w:sz w:val="18"/>
              </w:rPr>
              <w:t>Outillage électroportatif (perceuses, visseuses, scies)</w:t>
            </w:r>
          </w:p>
        </w:tc>
        <w:tc>
          <w:tcPr>
            <w:tcW w:type="dxa" w:w="4535"/>
          </w:tcPr>
          <w:p>
            <w:r/>
            <w:r>
              <w:rPr>
                <w:sz w:val="18"/>
              </w:rPr>
              <w:t>Découpes et fixations</w:t>
            </w:r>
          </w:p>
        </w:tc>
      </w:tr>
      <w:tr>
        <w:tc>
          <w:tcPr>
            <w:tcW w:type="dxa" w:w="3969"/>
          </w:tcPr>
          <w:p>
            <w:r/>
            <w:r>
              <w:rPr>
                <w:sz w:val="18"/>
              </w:rPr>
              <w:t>Aspirateurs de chantier à filtration</w:t>
            </w:r>
          </w:p>
        </w:tc>
        <w:tc>
          <w:tcPr>
            <w:tcW w:type="dxa" w:w="4535"/>
          </w:tcPr>
          <w:p>
            <w:r/>
            <w:r>
              <w:rPr>
                <w:sz w:val="18"/>
              </w:rPr>
              <w:t>Maîtrise des poussières lors des préparations de supports</w:t>
            </w:r>
          </w:p>
        </w:tc>
      </w:tr>
      <w:tr>
        <w:tc>
          <w:tcPr>
            <w:tcW w:type="dxa" w:w="3969"/>
          </w:tcPr>
          <w:p>
            <w:r/>
            <w:r>
              <w:rPr>
                <w:sz w:val="18"/>
              </w:rPr>
              <w:t>Équipements de protection individuelle (EPI)</w:t>
            </w:r>
          </w:p>
        </w:tc>
        <w:tc>
          <w:tcPr>
            <w:tcW w:type="dxa" w:w="4535"/>
          </w:tcPr>
          <w:p>
            <w:r/>
            <w:r>
              <w:rPr>
                <w:sz w:val="18"/>
              </w:rPr>
              <w:t>Casques, gants, lunettes, masques, chaussures de sécurité</w:t>
            </w:r>
          </w:p>
        </w:tc>
      </w:tr>
      <w:tr>
        <w:tc>
          <w:tcPr>
            <w:tcW w:type="dxa" w:w="3969"/>
          </w:tcPr>
          <w:p>
            <w:r/>
            <w:r>
              <w:rPr>
                <w:sz w:val="18"/>
              </w:rPr>
              <w:t>Matériel de signalétique et de balisage de chantier</w:t>
            </w:r>
          </w:p>
        </w:tc>
        <w:tc>
          <w:tcPr>
            <w:tcW w:type="dxa" w:w="4535"/>
          </w:tcPr>
          <w:p>
            <w:r/>
            <w:r>
              <w:rPr>
                <w:sz w:val="18"/>
              </w:rPr>
              <w:t>Délimitation des zones de travaux en site occupé</w:t>
            </w:r>
          </w:p>
        </w:tc>
      </w:tr>
      <w:tr>
        <w:tc>
          <w:tcPr>
            <w:tcW w:type="dxa" w:w="3969"/>
          </w:tcPr>
          <w:p>
            <w:r/>
            <w:r>
              <w:rPr>
                <w:sz w:val="18"/>
              </w:rPr>
              <w:t>Bacs et contenants de tri sélectif</w:t>
            </w:r>
          </w:p>
        </w:tc>
        <w:tc>
          <w:tcPr>
            <w:tcW w:type="dxa" w:w="4535"/>
          </w:tcPr>
          <w:p>
            <w:r/>
            <w:r>
              <w:rPr>
                <w:sz w:val="18"/>
              </w:rPr>
              <w:t>Gestion et traçabilité des déchets de chantier</w:t>
            </w:r>
          </w:p>
        </w:tc>
      </w:tr>
    </w:tbl>
    <w:p/>
    <w:p>
      <w:pPr>
        <w:spacing w:before="160" w:after="60"/>
      </w:pPr>
      <w:r>
        <w:rPr>
          <w:b/>
          <w:i/>
          <w:color w:val="2E74B5"/>
          <w:sz w:val="21"/>
        </w:rPr>
        <w:t>Locaux de stockage dédiés à l'opération</w:t>
      </w:r>
    </w:p>
    <w:p>
      <w:r>
        <w:rPr>
          <w:b w:val="0"/>
          <w:i w:val="0"/>
          <w:sz w:val="21"/>
        </w:rPr>
        <w:t>Afin d'assurer des approvisionnements séquencés au plus près de chaque phase et de limiter le stockage prolongé de produits sensibles en site hospitalier occupé, France Décoration met en place quatre locaux de stockage distincts sur la durée du chantier, sous la responsabilité du Chef de Chantier (organisation des commandes, livraisons et zones de stockage — cf. § 3.2) :</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color="auto" w:fill="2E74B5"/>
          </w:tcPr>
          <w:p>
            <w:r/>
            <w:r>
              <w:rPr>
                <w:b/>
                <w:color w:val="FFFFFF"/>
                <w:sz w:val="18"/>
              </w:rPr>
              <w:t>Local</w:t>
            </w:r>
          </w:p>
        </w:tc>
        <w:tc>
          <w:tcPr>
            <w:tcW w:type="dxa" w:w="3402"/>
            <w:shd w:val="clear" w:color="auto" w:fill="2E74B5"/>
          </w:tcPr>
          <w:p>
            <w:r/>
            <w:r>
              <w:rPr>
                <w:b/>
                <w:color w:val="FFFFFF"/>
                <w:sz w:val="18"/>
              </w:rPr>
              <w:t>Contenu</w:t>
            </w:r>
          </w:p>
        </w:tc>
        <w:tc>
          <w:tcPr>
            <w:tcW w:type="dxa" w:w="3402"/>
            <w:shd w:val="clear" w:color="auto" w:fill="2E74B5"/>
          </w:tcPr>
          <w:p>
            <w:r/>
            <w:r>
              <w:rPr>
                <w:b/>
                <w:color w:val="FFFFFF"/>
                <w:sz w:val="18"/>
              </w:rPr>
              <w:t>Caractéristiques</w:t>
            </w:r>
          </w:p>
        </w:tc>
      </w:tr>
      <w:tr>
        <w:tc>
          <w:tcPr>
            <w:tcW w:type="dxa" w:w="2835"/>
          </w:tcPr>
          <w:p>
            <w:r/>
            <w:r>
              <w:rPr>
                <w:sz w:val="18"/>
              </w:rPr>
              <w:t>Local 1 — Stockage général / base vie</w:t>
            </w:r>
          </w:p>
        </w:tc>
        <w:tc>
          <w:tcPr>
            <w:tcW w:type="dxa" w:w="3402"/>
          </w:tcPr>
          <w:p>
            <w:r/>
            <w:r>
              <w:rPr>
                <w:sz w:val="18"/>
              </w:rPr>
              <w:t>Outillage commun, EPI, matériel de balisage et de protection</w:t>
            </w:r>
          </w:p>
        </w:tc>
        <w:tc>
          <w:tcPr>
            <w:tcW w:type="dxa" w:w="3402"/>
          </w:tcPr>
          <w:p>
            <w:r/>
            <w:r>
              <w:rPr>
                <w:sz w:val="18"/>
              </w:rPr>
              <w:t>Local fermé et sécurisé, accès réservé au personnel du lot</w:t>
            </w:r>
          </w:p>
        </w:tc>
      </w:tr>
      <w:tr>
        <w:tc>
          <w:tcPr>
            <w:tcW w:type="dxa" w:w="2835"/>
          </w:tcPr>
          <w:p>
            <w:r/>
            <w:r>
              <w:rPr>
                <w:sz w:val="18"/>
              </w:rPr>
              <w:t>Local 2 — Stockage faux plafonds</w:t>
            </w:r>
          </w:p>
        </w:tc>
        <w:tc>
          <w:tcPr>
            <w:tcW w:type="dxa" w:w="3402"/>
          </w:tcPr>
          <w:p>
            <w:r/>
            <w:r>
              <w:rPr>
                <w:sz w:val="18"/>
              </w:rPr>
              <w:t>Dalles Ecophon, ossatures, jouées, trappes, grilles de ventilation</w:t>
            </w:r>
          </w:p>
        </w:tc>
        <w:tc>
          <w:tcPr>
            <w:tcW w:type="dxa" w:w="3402"/>
          </w:tcPr>
          <w:p>
            <w:r/>
            <w:r>
              <w:rPr>
                <w:sz w:val="18"/>
              </w:rPr>
              <w:t>Zone à l'abri de l'humidité, approvisionnée avant la semaine Faux plafonds</w:t>
            </w:r>
          </w:p>
        </w:tc>
      </w:tr>
      <w:tr>
        <w:tc>
          <w:tcPr>
            <w:tcW w:type="dxa" w:w="2835"/>
          </w:tcPr>
          <w:p>
            <w:r/>
            <w:r>
              <w:rPr>
                <w:sz w:val="18"/>
              </w:rPr>
              <w:t>Local 3 — Stockage peinture et produits chimiques</w:t>
            </w:r>
          </w:p>
        </w:tc>
        <w:tc>
          <w:tcPr>
            <w:tcW w:type="dxa" w:w="3402"/>
          </w:tcPr>
          <w:p>
            <w:r/>
            <w:r>
              <w:rPr>
                <w:sz w:val="18"/>
              </w:rPr>
              <w:t>Peintures, enduits, primaires, colles</w:t>
            </w:r>
          </w:p>
        </w:tc>
        <w:tc>
          <w:tcPr>
            <w:tcW w:type="dxa" w:w="3402"/>
          </w:tcPr>
          <w:p>
            <w:r/>
            <w:r>
              <w:rPr>
                <w:sz w:val="18"/>
              </w:rPr>
              <w:t>Local ventilé, tenu à l'écart de toute source d'inflammation, conforme aux fiches de données de sécurité des produits</w:t>
            </w:r>
          </w:p>
        </w:tc>
      </w:tr>
      <w:tr>
        <w:tc>
          <w:tcPr>
            <w:tcW w:type="dxa" w:w="2835"/>
          </w:tcPr>
          <w:p>
            <w:r/>
            <w:r>
              <w:rPr>
                <w:sz w:val="18"/>
              </w:rPr>
              <w:t>Local 4 — Stockage sols souples</w:t>
            </w:r>
          </w:p>
        </w:tc>
        <w:tc>
          <w:tcPr>
            <w:tcW w:type="dxa" w:w="3402"/>
          </w:tcPr>
          <w:p>
            <w:r/>
            <w:r>
              <w:rPr>
                <w:sz w:val="18"/>
              </w:rPr>
              <w:t>Rouleaux et lés de revêtements, ragréages, barres de seuil</w:t>
            </w:r>
          </w:p>
        </w:tc>
        <w:tc>
          <w:tcPr>
            <w:tcW w:type="dxa" w:w="3402"/>
          </w:tcPr>
          <w:p>
            <w:r/>
            <w:r>
              <w:rPr>
                <w:sz w:val="18"/>
              </w:rPr>
              <w:t>Stockage à plat ou vertical protégé, à l'abri des chocs et de l'humidité</w:t>
            </w:r>
          </w:p>
        </w:tc>
      </w:tr>
    </w:tbl>
    <w:p/>
    <w:p>
      <w:r>
        <w:rPr>
          <w:b w:val="0"/>
          <w:i/>
          <w:sz w:val="21"/>
        </w:rPr>
        <w:t>Ces quatre locaux sont positionnés en coordination avec le Maître d'Œuvre dès la période de préparation de chantier, à proximité de la zone d'intervention afin de limiter les manutentions dans les circulations de l'établissement.</w:t>
      </w:r>
    </w:p>
    <w:p>
      <w:pPr>
        <w:spacing w:before="240" w:after="80"/>
      </w:pPr>
      <w:r>
        <w:rPr>
          <w:b/>
          <w:color w:val="1F3A5F"/>
          <w:sz w:val="24"/>
        </w:rPr>
        <w:t>3.7. Matériels spécifiques aux faux plafonds</w:t>
      </w:r>
    </w:p>
    <w:p>
      <w:r>
        <w:rPr>
          <w:b w:val="0"/>
          <w:i/>
          <w:sz w:val="21"/>
        </w:rPr>
        <w:t>Matériels mobilisés par l'équipe Rashid Minhas / Imran Shahid / Ali Luqman.</w:t>
      </w:r>
    </w:p>
    <w:tbl>
      <w:tblPr>
        <w:tblStyle w:val="TableGrid"/>
        <w:tblW w:type="auto" w:w="0"/>
        <w:jc w:val="center"/>
        <w:tblLook w:firstColumn="1" w:firstRow="1" w:lastColumn="0" w:lastRow="0" w:noHBand="0" w:noVBand="1" w:val="04A0"/>
      </w:tblPr>
      <w:tblGrid>
        <w:gridCol w:w="5100"/>
        <w:gridCol w:w="5100"/>
      </w:tblGrid>
      <w:tr>
        <w:tc>
          <w:tcPr>
            <w:tcW w:type="dxa" w:w="3402"/>
            <w:shd w:val="clear" w:color="auto" w:fill="2E74B5"/>
          </w:tcPr>
          <w:p>
            <w:r/>
            <w:r>
              <w:rPr>
                <w:b/>
                <w:color w:val="FFFFFF"/>
                <w:sz w:val="18"/>
              </w:rPr>
              <w:t>Matériel</w:t>
            </w:r>
          </w:p>
        </w:tc>
        <w:tc>
          <w:tcPr>
            <w:tcW w:type="dxa" w:w="5102"/>
            <w:shd w:val="clear" w:color="auto" w:fill="2E74B5"/>
          </w:tcPr>
          <w:p>
            <w:r/>
            <w:r>
              <w:rPr>
                <w:b/>
                <w:color w:val="FFFFFF"/>
                <w:sz w:val="18"/>
              </w:rPr>
              <w:t>Usage</w:t>
            </w:r>
          </w:p>
        </w:tc>
      </w:tr>
      <w:tr>
        <w:tc>
          <w:tcPr>
            <w:tcW w:type="dxa" w:w="3402"/>
          </w:tcPr>
          <w:p>
            <w:r/>
            <w:r>
              <w:rPr>
                <w:sz w:val="18"/>
              </w:rPr>
              <w:t>Niveau laser rotatif</w:t>
            </w:r>
          </w:p>
        </w:tc>
        <w:tc>
          <w:tcPr>
            <w:tcW w:type="dxa" w:w="5102"/>
          </w:tcPr>
          <w:p>
            <w:r/>
            <w:r>
              <w:rPr>
                <w:sz w:val="18"/>
              </w:rPr>
              <w:t>Traçage et implantation de l'ossature</w:t>
            </w:r>
          </w:p>
        </w:tc>
      </w:tr>
      <w:tr>
        <w:tc>
          <w:tcPr>
            <w:tcW w:type="dxa" w:w="3402"/>
          </w:tcPr>
          <w:p>
            <w:r/>
            <w:r>
              <w:rPr>
                <w:sz w:val="18"/>
              </w:rPr>
              <w:t>Visseuses et perceuses adaptées</w:t>
            </w:r>
          </w:p>
        </w:tc>
        <w:tc>
          <w:tcPr>
            <w:tcW w:type="dxa" w:w="5102"/>
          </w:tcPr>
          <w:p>
            <w:r/>
            <w:r>
              <w:rPr>
                <w:sz w:val="18"/>
              </w:rPr>
              <w:t>Fixation des profils et suspentes</w:t>
            </w:r>
          </w:p>
        </w:tc>
      </w:tr>
      <w:tr>
        <w:tc>
          <w:tcPr>
            <w:tcW w:type="dxa" w:w="3402"/>
          </w:tcPr>
          <w:p>
            <w:r/>
            <w:r>
              <w:rPr>
                <w:sz w:val="18"/>
              </w:rPr>
              <w:t>Coupe-dalles / outillage de découpe</w:t>
            </w:r>
          </w:p>
        </w:tc>
        <w:tc>
          <w:tcPr>
            <w:tcW w:type="dxa" w:w="5102"/>
          </w:tcPr>
          <w:p>
            <w:r/>
            <w:r>
              <w:rPr>
                <w:sz w:val="18"/>
              </w:rPr>
              <w:t>Coupes d'onglets et ajustements aux changements de direction</w:t>
            </w:r>
          </w:p>
        </w:tc>
      </w:tr>
      <w:tr>
        <w:tc>
          <w:tcPr>
            <w:tcW w:type="dxa" w:w="3402"/>
          </w:tcPr>
          <w:p>
            <w:r/>
            <w:r>
              <w:rPr>
                <w:sz w:val="18"/>
              </w:rPr>
              <w:t>Plateformes individuelles roulantes</w:t>
            </w:r>
          </w:p>
        </w:tc>
        <w:tc>
          <w:tcPr>
            <w:tcW w:type="dxa" w:w="5102"/>
          </w:tcPr>
          <w:p>
            <w:r/>
            <w:r>
              <w:rPr>
                <w:sz w:val="18"/>
              </w:rPr>
              <w:t>Travail en hauteur sécurisé sous plafond</w:t>
            </w:r>
          </w:p>
        </w:tc>
      </w:tr>
      <w:tr>
        <w:tc>
          <w:tcPr>
            <w:tcW w:type="dxa" w:w="3402"/>
          </w:tcPr>
          <w:p>
            <w:r/>
            <w:r>
              <w:rPr>
                <w:sz w:val="18"/>
              </w:rPr>
              <w:t>Règle de contrôle 2 mètres</w:t>
            </w:r>
          </w:p>
        </w:tc>
        <w:tc>
          <w:tcPr>
            <w:tcW w:type="dxa" w:w="5102"/>
          </w:tcPr>
          <w:p>
            <w:r/>
            <w:r>
              <w:rPr>
                <w:sz w:val="18"/>
              </w:rPr>
              <w:t>Vérification de la planéité de la sous-face</w:t>
            </w:r>
          </w:p>
        </w:tc>
      </w:tr>
    </w:tbl>
    <w:p/>
    <w:p>
      <w:pPr>
        <w:spacing w:before="240" w:after="80"/>
      </w:pPr>
      <w:r>
        <w:rPr>
          <w:b/>
          <w:color w:val="1F3A5F"/>
          <w:sz w:val="24"/>
        </w:rPr>
        <w:t>3.8. Matériels spécifiques aux travaux de peinture</w:t>
      </w:r>
    </w:p>
    <w:p>
      <w:r>
        <w:rPr>
          <w:b w:val="0"/>
          <w:i/>
          <w:sz w:val="21"/>
        </w:rPr>
        <w:t>Matériels mobilisés par l'équipe Syed Asmatullah / Sian Muhammad.</w:t>
      </w:r>
    </w:p>
    <w:tbl>
      <w:tblPr>
        <w:tblStyle w:val="TableGrid"/>
        <w:tblW w:type="auto" w:w="0"/>
        <w:jc w:val="center"/>
        <w:tblLook w:firstColumn="1" w:firstRow="1" w:lastColumn="0" w:lastRow="0" w:noHBand="0" w:noVBand="1" w:val="04A0"/>
      </w:tblPr>
      <w:tblGrid>
        <w:gridCol w:w="5100"/>
        <w:gridCol w:w="5100"/>
      </w:tblGrid>
      <w:tr>
        <w:tc>
          <w:tcPr>
            <w:tcW w:type="dxa" w:w="3402"/>
            <w:shd w:val="clear" w:color="auto" w:fill="2E74B5"/>
          </w:tcPr>
          <w:p>
            <w:r/>
            <w:r>
              <w:rPr>
                <w:b/>
                <w:color w:val="FFFFFF"/>
                <w:sz w:val="18"/>
              </w:rPr>
              <w:t>Matériel</w:t>
            </w:r>
          </w:p>
        </w:tc>
        <w:tc>
          <w:tcPr>
            <w:tcW w:type="dxa" w:w="5102"/>
            <w:shd w:val="clear" w:color="auto" w:fill="2E74B5"/>
          </w:tcPr>
          <w:p>
            <w:r/>
            <w:r>
              <w:rPr>
                <w:b/>
                <w:color w:val="FFFFFF"/>
                <w:sz w:val="18"/>
              </w:rPr>
              <w:t>Usage</w:t>
            </w:r>
          </w:p>
        </w:tc>
      </w:tr>
      <w:tr>
        <w:tc>
          <w:tcPr>
            <w:tcW w:type="dxa" w:w="3402"/>
          </w:tcPr>
          <w:p>
            <w:r/>
            <w:r>
              <w:rPr>
                <w:sz w:val="18"/>
              </w:rPr>
              <w:t>Ponceuses avec aspiration intégrée</w:t>
            </w:r>
          </w:p>
        </w:tc>
        <w:tc>
          <w:tcPr>
            <w:tcW w:type="dxa" w:w="5102"/>
          </w:tcPr>
          <w:p>
            <w:r/>
            <w:r>
              <w:rPr>
                <w:sz w:val="18"/>
              </w:rPr>
              <w:t>Préparation des supports sans dispersion de poussières</w:t>
            </w:r>
          </w:p>
        </w:tc>
      </w:tr>
      <w:tr>
        <w:tc>
          <w:tcPr>
            <w:tcW w:type="dxa" w:w="3402"/>
          </w:tcPr>
          <w:p>
            <w:r/>
            <w:r>
              <w:rPr>
                <w:sz w:val="18"/>
              </w:rPr>
              <w:t>Rouleaux, brosses et pistolets d'application</w:t>
            </w:r>
          </w:p>
        </w:tc>
        <w:tc>
          <w:tcPr>
            <w:tcW w:type="dxa" w:w="5102"/>
          </w:tcPr>
          <w:p>
            <w:r/>
            <w:r>
              <w:rPr>
                <w:sz w:val="18"/>
              </w:rPr>
              <w:t>Application des impressions et finitions</w:t>
            </w:r>
          </w:p>
        </w:tc>
      </w:tr>
      <w:tr>
        <w:tc>
          <w:tcPr>
            <w:tcW w:type="dxa" w:w="3402"/>
          </w:tcPr>
          <w:p>
            <w:r/>
            <w:r>
              <w:rPr>
                <w:sz w:val="18"/>
              </w:rPr>
              <w:t>Bâches et films de protection</w:t>
            </w:r>
          </w:p>
        </w:tc>
        <w:tc>
          <w:tcPr>
            <w:tcW w:type="dxa" w:w="5102"/>
          </w:tcPr>
          <w:p>
            <w:r/>
            <w:r>
              <w:rPr>
                <w:sz w:val="18"/>
              </w:rPr>
              <w:t>Protection des sols et ouvrages voisins pendant l'application</w:t>
            </w:r>
          </w:p>
        </w:tc>
      </w:tr>
      <w:tr>
        <w:tc>
          <w:tcPr>
            <w:tcW w:type="dxa" w:w="3402"/>
          </w:tcPr>
          <w:p>
            <w:r/>
            <w:r>
              <w:rPr>
                <w:sz w:val="18"/>
              </w:rPr>
              <w:t>Échelles et escabeaux adaptés</w:t>
            </w:r>
          </w:p>
        </w:tc>
        <w:tc>
          <w:tcPr>
            <w:tcW w:type="dxa" w:w="5102"/>
          </w:tcPr>
          <w:p>
            <w:r/>
            <w:r>
              <w:rPr>
                <w:sz w:val="18"/>
              </w:rPr>
              <w:t>Accès aux parties hautes en complément des plateformes</w:t>
            </w:r>
          </w:p>
        </w:tc>
      </w:tr>
      <w:tr>
        <w:tc>
          <w:tcPr>
            <w:tcW w:type="dxa" w:w="3402"/>
          </w:tcPr>
          <w:p>
            <w:r/>
            <w:r>
              <w:rPr>
                <w:sz w:val="18"/>
              </w:rPr>
              <w:t>Matériel de nettoyage des outils</w:t>
            </w:r>
          </w:p>
        </w:tc>
        <w:tc>
          <w:tcPr>
            <w:tcW w:type="dxa" w:w="5102"/>
          </w:tcPr>
          <w:p>
            <w:r/>
            <w:r>
              <w:rPr>
                <w:sz w:val="18"/>
              </w:rPr>
              <w:t>Entretien du matériel entre chaque teinte/produit</w:t>
            </w:r>
          </w:p>
        </w:tc>
      </w:tr>
    </w:tbl>
    <w:p/>
    <w:p>
      <w:pPr>
        <w:spacing w:before="240" w:after="80"/>
      </w:pPr>
      <w:r>
        <w:rPr>
          <w:b/>
          <w:color w:val="1F3A5F"/>
          <w:sz w:val="24"/>
        </w:rPr>
        <w:t>3.9. Matériels spécifiques aux revêtements de sols souples</w:t>
      </w:r>
    </w:p>
    <w:p>
      <w:r>
        <w:rPr>
          <w:b w:val="0"/>
          <w:i/>
          <w:sz w:val="21"/>
        </w:rPr>
        <w:t>Matériels mobilisés par l'équipe Gul Ajab / Diarra Souleymane.</w:t>
      </w:r>
    </w:p>
    <w:tbl>
      <w:tblPr>
        <w:tblStyle w:val="TableGrid"/>
        <w:tblW w:type="auto" w:w="0"/>
        <w:jc w:val="center"/>
        <w:tblLook w:firstColumn="1" w:firstRow="1" w:lastColumn="0" w:lastRow="0" w:noHBand="0" w:noVBand="1" w:val="04A0"/>
      </w:tblPr>
      <w:tblGrid>
        <w:gridCol w:w="5100"/>
        <w:gridCol w:w="5100"/>
      </w:tblGrid>
      <w:tr>
        <w:tc>
          <w:tcPr>
            <w:tcW w:type="dxa" w:w="3402"/>
            <w:shd w:val="clear" w:color="auto" w:fill="2E74B5"/>
          </w:tcPr>
          <w:p>
            <w:r/>
            <w:r>
              <w:rPr>
                <w:b/>
                <w:color w:val="FFFFFF"/>
                <w:sz w:val="18"/>
              </w:rPr>
              <w:t>Matériel</w:t>
            </w:r>
          </w:p>
        </w:tc>
        <w:tc>
          <w:tcPr>
            <w:tcW w:type="dxa" w:w="5102"/>
            <w:shd w:val="clear" w:color="auto" w:fill="2E74B5"/>
          </w:tcPr>
          <w:p>
            <w:r/>
            <w:r>
              <w:rPr>
                <w:b/>
                <w:color w:val="FFFFFF"/>
                <w:sz w:val="18"/>
              </w:rPr>
              <w:t>Usage</w:t>
            </w:r>
          </w:p>
        </w:tc>
      </w:tr>
      <w:tr>
        <w:tc>
          <w:tcPr>
            <w:tcW w:type="dxa" w:w="3402"/>
          </w:tcPr>
          <w:p>
            <w:r/>
            <w:r>
              <w:rPr>
                <w:sz w:val="18"/>
              </w:rPr>
              <w:t>Ponceuse / lisseuse de sol</w:t>
            </w:r>
          </w:p>
        </w:tc>
        <w:tc>
          <w:tcPr>
            <w:tcW w:type="dxa" w:w="5102"/>
          </w:tcPr>
          <w:p>
            <w:r/>
            <w:r>
              <w:rPr>
                <w:sz w:val="18"/>
              </w:rPr>
              <w:t>Préparation et ragréage des supports</w:t>
            </w:r>
          </w:p>
        </w:tc>
      </w:tr>
      <w:tr>
        <w:tc>
          <w:tcPr>
            <w:tcW w:type="dxa" w:w="3402"/>
          </w:tcPr>
          <w:p>
            <w:r/>
            <w:r>
              <w:rPr>
                <w:sz w:val="18"/>
              </w:rPr>
              <w:t>Humidimètre</w:t>
            </w:r>
          </w:p>
        </w:tc>
        <w:tc>
          <w:tcPr>
            <w:tcW w:type="dxa" w:w="5102"/>
          </w:tcPr>
          <w:p>
            <w:r/>
            <w:r>
              <w:rPr>
                <w:sz w:val="18"/>
              </w:rPr>
              <w:t>Contrôle du taux d'humidité des supports avant pose</w:t>
            </w:r>
          </w:p>
        </w:tc>
      </w:tr>
      <w:tr>
        <w:tc>
          <w:tcPr>
            <w:tcW w:type="dxa" w:w="3402"/>
          </w:tcPr>
          <w:p>
            <w:r/>
            <w:r>
              <w:rPr>
                <w:sz w:val="18"/>
              </w:rPr>
              <w:t>Spatules crantées et matériel d'encollage</w:t>
            </w:r>
          </w:p>
        </w:tc>
        <w:tc>
          <w:tcPr>
            <w:tcW w:type="dxa" w:w="5102"/>
          </w:tcPr>
          <w:p>
            <w:r/>
            <w:r>
              <w:rPr>
                <w:sz w:val="18"/>
              </w:rPr>
              <w:t>Application de la colle</w:t>
            </w:r>
          </w:p>
        </w:tc>
      </w:tr>
      <w:tr>
        <w:tc>
          <w:tcPr>
            <w:tcW w:type="dxa" w:w="3402"/>
          </w:tcPr>
          <w:p>
            <w:r/>
            <w:r>
              <w:rPr>
                <w:sz w:val="18"/>
              </w:rPr>
              <w:t>Rouleau presseur / maroufleur</w:t>
            </w:r>
          </w:p>
        </w:tc>
        <w:tc>
          <w:tcPr>
            <w:tcW w:type="dxa" w:w="5102"/>
          </w:tcPr>
          <w:p>
            <w:r/>
            <w:r>
              <w:rPr>
                <w:sz w:val="18"/>
              </w:rPr>
              <w:t>Marouflage des lés pour une adhérence parfaite</w:t>
            </w:r>
          </w:p>
        </w:tc>
      </w:tr>
      <w:tr>
        <w:tc>
          <w:tcPr>
            <w:tcW w:type="dxa" w:w="3402"/>
          </w:tcPr>
          <w:p>
            <w:r/>
            <w:r>
              <w:rPr>
                <w:sz w:val="18"/>
              </w:rPr>
              <w:t>Cutters et guides de coupe</w:t>
            </w:r>
          </w:p>
        </w:tc>
        <w:tc>
          <w:tcPr>
            <w:tcW w:type="dxa" w:w="5102"/>
          </w:tcPr>
          <w:p>
            <w:r/>
            <w:r>
              <w:rPr>
                <w:sz w:val="18"/>
              </w:rPr>
              <w:t>Découpes précises et ajustements en périphérie</w:t>
            </w:r>
          </w:p>
        </w:tc>
      </w:tr>
      <w:tr>
        <w:tc>
          <w:tcPr>
            <w:tcW w:type="dxa" w:w="3402"/>
          </w:tcPr>
          <w:p>
            <w:r/>
            <w:r>
              <w:rPr>
                <w:sz w:val="18"/>
              </w:rPr>
              <w:t>Poste de soudure à air chaud avec fer à cordon</w:t>
            </w:r>
          </w:p>
        </w:tc>
        <w:tc>
          <w:tcPr>
            <w:tcW w:type="dxa" w:w="5102"/>
          </w:tcPr>
          <w:p>
            <w:r/>
            <w:r>
              <w:rPr>
                <w:sz w:val="18"/>
              </w:rPr>
              <w:t>Traitement des joints entre lés, conformément à la pratique de Gul Ajab et Diarra Souleymane</w:t>
            </w:r>
          </w:p>
        </w:tc>
      </w:tr>
    </w:tbl>
    <w:p/>
    <w:p>
      <w:pPr>
        <w:spacing w:before="240" w:after="80"/>
      </w:pPr>
      <w:r>
        <w:rPr>
          <w:b/>
          <w:color w:val="1F3A5F"/>
          <w:sz w:val="24"/>
        </w:rPr>
        <w:t>3.10. Moyens de protection, aspiration et limitation des nuisances</w:t>
      </w:r>
    </w:p>
    <w:tbl>
      <w:tblPr>
        <w:tblStyle w:val="TableGrid"/>
        <w:tblW w:type="auto" w:w="0"/>
        <w:jc w:val="center"/>
        <w:tblLook w:firstColumn="1" w:firstRow="1" w:lastColumn="0" w:lastRow="0" w:noHBand="0" w:noVBand="1" w:val="04A0"/>
      </w:tblPr>
      <w:tblGrid>
        <w:gridCol w:w="5100"/>
        <w:gridCol w:w="5100"/>
      </w:tblGrid>
      <w:tr>
        <w:tc>
          <w:tcPr>
            <w:tcW w:type="dxa" w:w="3969"/>
            <w:shd w:val="clear" w:color="auto" w:fill="2E74B5"/>
          </w:tcPr>
          <w:p>
            <w:r/>
            <w:r>
              <w:rPr>
                <w:b/>
                <w:color w:val="FFFFFF"/>
                <w:sz w:val="18"/>
              </w:rPr>
              <w:t>Moyen</w:t>
            </w:r>
          </w:p>
        </w:tc>
        <w:tc>
          <w:tcPr>
            <w:tcW w:type="dxa" w:w="4535"/>
            <w:shd w:val="clear" w:color="auto" w:fill="2E74B5"/>
          </w:tcPr>
          <w:p>
            <w:r/>
            <w:r>
              <w:rPr>
                <w:b/>
                <w:color w:val="FFFFFF"/>
                <w:sz w:val="18"/>
              </w:rPr>
              <w:t>Fonction</w:t>
            </w:r>
          </w:p>
        </w:tc>
      </w:tr>
      <w:tr>
        <w:tc>
          <w:tcPr>
            <w:tcW w:type="dxa" w:w="3969"/>
          </w:tcPr>
          <w:p>
            <w:r/>
            <w:r>
              <w:rPr>
                <w:sz w:val="18"/>
              </w:rPr>
              <w:t>Aspirateurs de chantier à filtration (faux plafonds, ponçage peinture)</w:t>
            </w:r>
          </w:p>
        </w:tc>
        <w:tc>
          <w:tcPr>
            <w:tcW w:type="dxa" w:w="4535"/>
          </w:tcPr>
          <w:p>
            <w:r/>
            <w:r>
              <w:rPr>
                <w:sz w:val="18"/>
              </w:rPr>
              <w:t>Captage des poussières à la source</w:t>
            </w:r>
          </w:p>
        </w:tc>
      </w:tr>
      <w:tr>
        <w:tc>
          <w:tcPr>
            <w:tcW w:type="dxa" w:w="3969"/>
          </w:tcPr>
          <w:p>
            <w:r/>
            <w:r>
              <w:rPr>
                <w:sz w:val="18"/>
              </w:rPr>
              <w:t>Confinement de zone (bâches, sas d'accès)</w:t>
            </w:r>
          </w:p>
        </w:tc>
        <w:tc>
          <w:tcPr>
            <w:tcW w:type="dxa" w:w="4535"/>
          </w:tcPr>
          <w:p>
            <w:r/>
            <w:r>
              <w:rPr>
                <w:sz w:val="18"/>
              </w:rPr>
              <w:t>Limitation de la propagation des poussières et odeurs hors de l'emprise du chantier</w:t>
            </w:r>
          </w:p>
        </w:tc>
      </w:tr>
      <w:tr>
        <w:tc>
          <w:tcPr>
            <w:tcW w:type="dxa" w:w="3969"/>
          </w:tcPr>
          <w:p>
            <w:r/>
            <w:r>
              <w:rPr>
                <w:sz w:val="18"/>
              </w:rPr>
              <w:t>Produits à très faible émission de C.O.V.</w:t>
            </w:r>
          </w:p>
        </w:tc>
        <w:tc>
          <w:tcPr>
            <w:tcW w:type="dxa" w:w="4535"/>
          </w:tcPr>
          <w:p>
            <w:r/>
            <w:r>
              <w:rPr>
                <w:sz w:val="18"/>
              </w:rPr>
              <w:t>Réduction des nuisances olfactives pour les locaux occupés voisins</w:t>
            </w:r>
          </w:p>
        </w:tc>
      </w:tr>
      <w:tr>
        <w:tc>
          <w:tcPr>
            <w:tcW w:type="dxa" w:w="3969"/>
          </w:tcPr>
          <w:p>
            <w:r/>
            <w:r>
              <w:rPr>
                <w:sz w:val="18"/>
              </w:rPr>
              <w:t>Équipements de protection individuelle adaptés (masques, gants)</w:t>
            </w:r>
          </w:p>
        </w:tc>
        <w:tc>
          <w:tcPr>
            <w:tcW w:type="dxa" w:w="4535"/>
          </w:tcPr>
          <w:p>
            <w:r/>
            <w:r>
              <w:rPr>
                <w:sz w:val="18"/>
              </w:rPr>
              <w:t>Protection du personnel lors des opérations générant poussières ou vapeurs</w:t>
            </w:r>
          </w:p>
        </w:tc>
      </w:tr>
      <w:tr>
        <w:tc>
          <w:tcPr>
            <w:tcW w:type="dxa" w:w="3969"/>
          </w:tcPr>
          <w:p>
            <w:r/>
            <w:r>
              <w:rPr>
                <w:sz w:val="18"/>
              </w:rPr>
              <w:t>Films et panneaux de protection des sols et circulations</w:t>
            </w:r>
          </w:p>
        </w:tc>
        <w:tc>
          <w:tcPr>
            <w:tcW w:type="dxa" w:w="4535"/>
          </w:tcPr>
          <w:p>
            <w:r/>
            <w:r>
              <w:rPr>
                <w:sz w:val="18"/>
              </w:rPr>
              <w:t>Limitation des salissures et des dégradations pendant le chantier</w:t>
            </w:r>
          </w:p>
        </w:tc>
      </w:tr>
    </w:tbl>
    <w:p/>
    <w:p>
      <w:r>
        <w:rPr>
          <w:b w:val="0"/>
          <w:i/>
          <w:sz w:val="21"/>
        </w:rPr>
        <w:t>L'ensemble du personnel étant sensibilisé ou certifié Amiante SS4 (cf. § 3.4), les procédures de confinement et de gestion des déchets dangereux sont appliquées avec rigueur en cas de découverte de matériaux amiantés lors des dépose d'ouvrages existants.</w:t>
      </w:r>
    </w:p>
    <w:p>
      <w:pPr>
        <w:spacing w:before="240" w:after="80"/>
      </w:pPr>
      <w:r>
        <w:rPr>
          <w:b/>
          <w:color w:val="1F3A5F"/>
          <w:sz w:val="24"/>
        </w:rPr>
        <w:t>3.11. Moyens de transport, livraison et manutention</w:t>
      </w:r>
    </w:p>
    <w:p>
      <w:r>
        <w:rPr>
          <w:b w:val="0"/>
          <w:i w:val="0"/>
          <w:sz w:val="21"/>
        </w:rPr>
        <w:t>Les livraisons de matériaux sont séquencées semaine par semaine selon l'avancement du chantier et directement orientées vers le local de stockage correspondant (cf. § 3.6), sans transit prolongé dans les circulations communes de l'établissement — organisation placée sous la responsabilité du Chef de Chantier.</w:t>
      </w:r>
    </w:p>
    <w:p>
      <w:pPr>
        <w:pStyle w:val="ListBullet"/>
      </w:pPr>
      <w:r>
        <w:t>Véhicules utilitaires dédiés aux livraisons et à l'approvisionnement des locaux de stockage.</w:t>
      </w:r>
    </w:p>
    <w:p>
      <w:pPr>
        <w:pStyle w:val="ListBullet"/>
      </w:pPr>
      <w:r>
        <w:t>Diables, chariots et transpalettes manuels adaptés à la manutention des dalles de faux plafonds et des rouleaux de sols souples.</w:t>
      </w:r>
    </w:p>
    <w:p>
      <w:pPr>
        <w:pStyle w:val="ListBullet"/>
      </w:pPr>
      <w:r>
        <w:t>Protection systématique des sols et circulations empruntés lors des opérations de manutention.</w:t>
      </w:r>
    </w:p>
    <w:p>
      <w:pPr>
        <w:pStyle w:val="ListBullet"/>
      </w:pPr>
      <w:r>
        <w:t>Coordination des créneaux de livraison avec la loge de sécurité de l'hôpital, en dehors des heures de forte affluence.</w:t>
      </w:r>
    </w:p>
    <w:p>
      <w:pPr>
        <w:spacing w:before="240" w:after="80"/>
      </w:pPr>
      <w:r>
        <w:rPr>
          <w:b/>
          <w:color w:val="1F3A5F"/>
          <w:sz w:val="24"/>
        </w:rPr>
        <w:t>3.12. Continuité des effectifs et dispositif de remplacement</w:t>
      </w:r>
    </w:p>
    <w:p>
      <w:r>
        <w:rPr>
          <w:b w:val="0"/>
          <w:i w:val="0"/>
          <w:sz w:val="21"/>
        </w:rPr>
        <w:t>France Décoration s'engage à maintenir des effectifs constants et une continuité d'intervention sur toute la durée de l'opération, y compris en période estivale (juin à août).</w:t>
      </w:r>
    </w:p>
    <w:p>
      <w:pPr>
        <w:pStyle w:val="ListBullet"/>
      </w:pPr>
      <w:r>
        <w:t>Le Chef de Chantier, Ali Shazil, encadre directement les trois équipes d'exécution et reste en mesure de réaffecter un compagnon d'une équipe à une autre en cas d'absence ponctuelle, plusieurs profils (faux plafonds, peinture, sols) partageant un socle commun de compétences second œuvre.</w:t>
      </w:r>
    </w:p>
    <w:p>
      <w:pPr>
        <w:pStyle w:val="ListBullet"/>
      </w:pPr>
      <w:r>
        <w:t>Un vivier de compagnons qualifiés, en interne à France Décoration, permet un remplacement rapide sans recours à une main d'œuvre extérieure non formée aux exigences du site.</w:t>
      </w:r>
    </w:p>
    <w:p>
      <w:pPr>
        <w:pStyle w:val="ListBullet"/>
      </w:pPr>
      <w:r>
        <w:t>Le Conducteur de Travaux, Zaka Ullah Butt, reste l'interlocuteur unique et permanent de la Maîtrise d'Œuvre et de l'AP-HP sur toute la durée du chantier, garantissant la continuité du suivi malgré d'éventuels remplacements au niveau des équipes de production.</w:t>
      </w:r>
    </w:p>
    <w:p>
      <w:pPr>
        <w:pStyle w:val="ListBullet"/>
      </w:pPr>
      <w:r>
        <w:t>Les plannings de congés des équipes affectées à l'opération sont positionnés en dehors de la période juin-août, conformément à l'engagement pris au chapitre 1.</w:t>
      </w:r>
    </w:p>
    <w:p/>
    <w:p>
      <w:r>
        <w:rPr>
          <w:i/>
          <w:color w:val="595959"/>
          <w:sz w:val="17"/>
        </w:rPr>
        <w:t>Chapitre établi à partir des CV nominatifs (Annexe 2.1) et de l'organigramme personnalisé du Lot 3 ; les attestations correspondantes sont jointes au dossier de candidature.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