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5 — Optimisation du planning d'exécution (Critère 1 — 10%)</w:t>
      </w:r>
    </w:p>
    <w:p>
      <w:r>
        <w:rPr>
          <w:b w:val="0"/>
          <w:i/>
          <w:color w:val="595959"/>
          <w:sz w:val="19"/>
        </w:rPr>
        <w:t>Établi par France Décoration — Livry-Gargan</w:t>
      </w:r>
    </w:p>
    <w:p/>
    <w:p>
      <w:pPr>
        <w:spacing w:before="360" w:after="120"/>
        <w:pBdr>
          <w:bottom w:val="single" w:sz="8" w:space="4" w:color="2E74B5"/>
        </w:pBdr>
      </w:pPr>
      <w:r>
        <w:rPr>
          <w:b/>
          <w:color w:val="2E74B5"/>
          <w:sz w:val="28"/>
        </w:rPr>
        <w:t>5. OPTIMISATION DU PLANNING D'EXÉCUTION — 10 %</w:t>
      </w:r>
    </w:p>
    <w:p>
      <w:r>
        <w:rPr>
          <w:b w:val="0"/>
          <w:i w:val="0"/>
          <w:sz w:val="21"/>
        </w:rPr>
        <w:t>Le planning présenté ci-après est celui établi par France Décoration pour le Lot 3, construit à partir du calendrier général des travaux de la Maîtrise d'Œuvre (« RENE MURET SCANNER — Calendrier des travaux V2 ») et de notre propre planning prévisionnel d'entreprise. Il traduit notre capacité à intervenir dans le délai contractuel imparti tout en garantissant la qualité d'exécution et la compatibilité avec le maintien en activité de l'établissement hospitalier.</w:t>
      </w:r>
    </w:p>
    <w:p>
      <w:pPr>
        <w:spacing w:before="240" w:after="80"/>
      </w:pPr>
      <w:r>
        <w:rPr>
          <w:b/>
          <w:color w:val="1F3A5F"/>
          <w:sz w:val="24"/>
        </w:rPr>
        <w:t>5.1. Analyse du calendrier contractuel</w:t>
      </w:r>
    </w:p>
    <w:p>
      <w:r>
        <w:rPr>
          <w:b w:val="0"/>
          <w:i w:val="0"/>
          <w:sz w:val="21"/>
        </w:rPr>
        <w:t>Le calendrier général de l'opération, établi par la Maîtrise d'Œuvre, structure le chantier en cinq mois numérotés. Notre analyse de ce calendrier fait ressortir les éléments suivants, déterminants pour le calage de notre propre planning :</w:t>
      </w:r>
    </w:p>
    <w:tbl>
      <w:tblPr>
        <w:tblStyle w:val="TableGrid"/>
        <w:tblW w:type="auto" w:w="0"/>
        <w:jc w:val="center"/>
        <w:tblLook w:firstColumn="1" w:firstRow="1" w:lastColumn="0" w:lastRow="0" w:noHBand="0" w:noVBand="1" w:val="04A0"/>
      </w:tblPr>
      <w:tblGrid>
        <w:gridCol w:w="3400"/>
        <w:gridCol w:w="3400"/>
        <w:gridCol w:w="3400"/>
      </w:tblGrid>
      <w:tr>
        <w:tc>
          <w:tcPr>
            <w:tcW w:type="dxa" w:w="1417"/>
            <w:shd w:val="clear" w:color="auto" w:fill="2E74B5"/>
          </w:tcPr>
          <w:p>
            <w:r/>
            <w:r>
              <w:rPr>
                <w:b/>
                <w:color w:val="FFFFFF"/>
                <w:sz w:val="18"/>
              </w:rPr>
              <w:t>Mois</w:t>
            </w:r>
          </w:p>
        </w:tc>
        <w:tc>
          <w:tcPr>
            <w:tcW w:type="dxa" w:w="4819"/>
            <w:shd w:val="clear" w:color="auto" w:fill="2E74B5"/>
          </w:tcPr>
          <w:p>
            <w:r/>
            <w:r>
              <w:rPr>
                <w:b/>
                <w:color w:val="FFFFFF"/>
                <w:sz w:val="18"/>
              </w:rPr>
              <w:t>Contenu</w:t>
            </w:r>
          </w:p>
        </w:tc>
        <w:tc>
          <w:tcPr>
            <w:tcW w:type="dxa" w:w="3118"/>
            <w:shd w:val="clear" w:color="auto" w:fill="2E74B5"/>
          </w:tcPr>
          <w:p>
            <w:r/>
            <w:r>
              <w:rPr>
                <w:b/>
                <w:color w:val="FFFFFF"/>
                <w:sz w:val="18"/>
              </w:rPr>
              <w:t>Position du Lot 3</w:t>
            </w:r>
          </w:p>
        </w:tc>
      </w:tr>
      <w:tr>
        <w:tc>
          <w:tcPr>
            <w:tcW w:type="dxa" w:w="1417"/>
          </w:tcPr>
          <w:p>
            <w:r/>
            <w:r>
              <w:rPr>
                <w:sz w:val="18"/>
              </w:rPr>
              <w:t>Mois 1</w:t>
            </w:r>
          </w:p>
        </w:tc>
        <w:tc>
          <w:tcPr>
            <w:tcW w:type="dxa" w:w="4819"/>
          </w:tcPr>
          <w:p>
            <w:r/>
            <w:r>
              <w:rPr>
                <w:sz w:val="18"/>
              </w:rPr>
              <w:t>Préparation générale de chantier commune à l'ensemble des lots</w:t>
            </w:r>
          </w:p>
        </w:tc>
        <w:tc>
          <w:tcPr>
            <w:tcW w:type="dxa" w:w="3118"/>
          </w:tcPr>
          <w:p>
            <w:r/>
            <w:r>
              <w:rPr>
                <w:sz w:val="18"/>
              </w:rPr>
              <w:t>Période de préparation (études d'exécution, cf. § 5.2)</w:t>
            </w:r>
          </w:p>
        </w:tc>
      </w:tr>
      <w:tr>
        <w:tc>
          <w:tcPr>
            <w:tcW w:type="dxa" w:w="1417"/>
          </w:tcPr>
          <w:p>
            <w:r/>
            <w:r>
              <w:rPr>
                <w:sz w:val="18"/>
              </w:rPr>
              <w:t>Mois 2 - Mois 3</w:t>
            </w:r>
          </w:p>
        </w:tc>
        <w:tc>
          <w:tcPr>
            <w:tcW w:type="dxa" w:w="4819"/>
          </w:tcPr>
          <w:p>
            <w:r/>
            <w:r>
              <w:rPr>
                <w:sz w:val="18"/>
              </w:rPr>
              <w:t>Travaux des lots amont : démolitions, maçonnerie, cloisonnement, plâtrerie, puis menuiseries, électricité, plomberie-chauffage-climatisation</w:t>
            </w:r>
          </w:p>
        </w:tc>
        <w:tc>
          <w:tcPr>
            <w:tcW w:type="dxa" w:w="3118"/>
          </w:tcPr>
          <w:p>
            <w:r/>
            <w:r>
              <w:rPr>
                <w:sz w:val="18"/>
              </w:rPr>
              <w:t>Non mobilisé sur site — veille documentaire et approvisionnement (cf. § 5.6)</w:t>
            </w:r>
          </w:p>
        </w:tc>
      </w:tr>
      <w:tr>
        <w:tc>
          <w:tcPr>
            <w:tcW w:type="dxa" w:w="1417"/>
          </w:tcPr>
          <w:p>
            <w:r/>
            <w:r>
              <w:rPr>
                <w:sz w:val="18"/>
              </w:rPr>
              <w:t>Mois 4</w:t>
            </w:r>
          </w:p>
        </w:tc>
        <w:tc>
          <w:tcPr>
            <w:tcW w:type="dxa" w:w="4819"/>
          </w:tcPr>
          <w:p>
            <w:r/>
            <w:r>
              <w:rPr>
                <w:sz w:val="18"/>
              </w:rPr>
              <w:t>Fenêtre principale d'intervention du Lot 3</w:t>
            </w:r>
          </w:p>
        </w:tc>
        <w:tc>
          <w:tcPr>
            <w:tcW w:type="dxa" w:w="3118"/>
          </w:tcPr>
          <w:p>
            <w:r/>
            <w:r>
              <w:rPr>
                <w:sz w:val="18"/>
              </w:rPr>
              <w:t>Production : faux plafonds (S1), peinture (S2), sols souples (S3)</w:t>
            </w:r>
          </w:p>
        </w:tc>
      </w:tr>
      <w:tr>
        <w:tc>
          <w:tcPr>
            <w:tcW w:type="dxa" w:w="1417"/>
          </w:tcPr>
          <w:p>
            <w:r/>
            <w:r>
              <w:rPr>
                <w:sz w:val="18"/>
              </w:rPr>
              <w:t>Mois 5</w:t>
            </w:r>
          </w:p>
        </w:tc>
        <w:tc>
          <w:tcPr>
            <w:tcW w:type="dxa" w:w="4819"/>
          </w:tcPr>
          <w:p>
            <w:r/>
            <w:r>
              <w:rPr>
                <w:sz w:val="18"/>
              </w:rPr>
              <w:t>Marge de sécurité puis clôture du chantier</w:t>
            </w:r>
          </w:p>
        </w:tc>
        <w:tc>
          <w:tcPr>
            <w:tcW w:type="dxa" w:w="3118"/>
          </w:tcPr>
          <w:p>
            <w:r/>
            <w:r>
              <w:rPr>
                <w:sz w:val="18"/>
              </w:rPr>
              <w:t>Marge (S1 à S3) puis nettoyage général, OPR, levée des réserves (S4)</w:t>
            </w:r>
          </w:p>
        </w:tc>
      </w:tr>
    </w:tbl>
    <w:p/>
    <w:p>
      <w:r>
        <w:rPr>
          <w:b w:val="0"/>
          <w:i w:val="0"/>
          <w:sz w:val="21"/>
        </w:rPr>
        <w:t>Cette lecture fait apparaître une durée d'intervention effective du Lot 3 resserrée sur trois semaines de production (Mois 4 - S1 à S3), assortie d'une marge de quatre semaines avant la clôture du lot en Mois 5 - S4, pour une enveloppe globale conforme au délai de 45 jours calendaires notifié au titre du marché. Notre planning tient également compte de la dépendance identifiée au chapitre 1 vis-à-vis du Lot 1 : la mise à disposition effective des supports de sol en zone scanner suppose l'achèvement préalable du renfort structurel (profilés HEB220) prescrit par le diagnostic GEOTEC.</w:t>
      </w:r>
    </w:p>
    <w:p>
      <w:pPr>
        <w:spacing w:before="240" w:after="80"/>
      </w:pPr>
      <w:r>
        <w:rPr>
          <w:b/>
          <w:color w:val="1F3A5F"/>
          <w:sz w:val="24"/>
        </w:rPr>
        <w:t>5.2. Période de préparation</w:t>
      </w:r>
    </w:p>
    <w:p>
      <w:r>
        <w:rPr>
          <w:b w:val="0"/>
          <w:i w:val="0"/>
          <w:sz w:val="21"/>
        </w:rPr>
        <w:t>Conformément au calendrier de la MOA, le Mois 1 - Semaine 4 est mobilisé par France Décoration pour la préparation administrative et technique du chantier, avant toute intervention physique sur site.</w:t>
      </w:r>
    </w:p>
    <w:tbl>
      <w:tblPr>
        <w:tblStyle w:val="TableGrid"/>
        <w:tblW w:type="auto" w:w="0"/>
        <w:jc w:val="center"/>
        <w:tblLook w:firstColumn="1" w:firstRow="1" w:lastColumn="0" w:lastRow="0" w:noHBand="0" w:noVBand="1" w:val="04A0"/>
      </w:tblPr>
      <w:tblGrid>
        <w:gridCol w:w="5100"/>
        <w:gridCol w:w="5100"/>
      </w:tblGrid>
      <w:tr>
        <w:tc>
          <w:tcPr>
            <w:tcW w:type="dxa" w:w="3685"/>
            <w:shd w:val="clear" w:color="auto" w:fill="2E74B5"/>
          </w:tcPr>
          <w:p>
            <w:r/>
            <w:r>
              <w:rPr>
                <w:b/>
                <w:color w:val="FFFFFF"/>
                <w:sz w:val="18"/>
              </w:rPr>
              <w:t>Tâche</w:t>
            </w:r>
          </w:p>
        </w:tc>
        <w:tc>
          <w:tcPr>
            <w:tcW w:type="dxa" w:w="5386"/>
            <w:shd w:val="clear" w:color="auto" w:fill="2E74B5"/>
          </w:tcPr>
          <w:p>
            <w:r/>
            <w:r>
              <w:rPr>
                <w:b/>
                <w:color w:val="FFFFFF"/>
                <w:sz w:val="18"/>
              </w:rPr>
              <w:t>Objectif</w:t>
            </w:r>
          </w:p>
        </w:tc>
      </w:tr>
      <w:tr>
        <w:tc>
          <w:tcPr>
            <w:tcW w:type="dxa" w:w="3685"/>
          </w:tcPr>
          <w:p>
            <w:r/>
            <w:r>
              <w:rPr>
                <w:sz w:val="18"/>
              </w:rPr>
              <w:t>Notification du marché</w:t>
            </w:r>
          </w:p>
        </w:tc>
        <w:tc>
          <w:tcPr>
            <w:tcW w:type="dxa" w:w="5386"/>
          </w:tcPr>
          <w:p>
            <w:r/>
            <w:r>
              <w:rPr>
                <w:sz w:val="18"/>
              </w:rPr>
              <w:t>Point de départ contractuel du délai d'exécution</w:t>
            </w:r>
          </w:p>
        </w:tc>
      </w:tr>
      <w:tr>
        <w:tc>
          <w:tcPr>
            <w:tcW w:type="dxa" w:w="3685"/>
          </w:tcPr>
          <w:p>
            <w:r/>
            <w:r>
              <w:rPr>
                <w:sz w:val="18"/>
              </w:rPr>
              <w:t>Analyse du dossier de consultation et des documents d'exécution</w:t>
            </w:r>
          </w:p>
        </w:tc>
        <w:tc>
          <w:tcPr>
            <w:tcW w:type="dxa" w:w="5386"/>
          </w:tcPr>
          <w:p>
            <w:r/>
            <w:r>
              <w:rPr>
                <w:sz w:val="18"/>
              </w:rPr>
              <w:t>Vérification de la cohérence CCTP / plans / quantitatif avant commande</w:t>
            </w:r>
          </w:p>
        </w:tc>
      </w:tr>
      <w:tr>
        <w:tc>
          <w:tcPr>
            <w:tcW w:type="dxa" w:w="3685"/>
          </w:tcPr>
          <w:p>
            <w:r/>
            <w:r>
              <w:rPr>
                <w:sz w:val="18"/>
              </w:rPr>
              <w:t>Visite de chantier et choix des échantillons</w:t>
            </w:r>
          </w:p>
        </w:tc>
        <w:tc>
          <w:tcPr>
            <w:tcW w:type="dxa" w:w="5386"/>
          </w:tcPr>
          <w:p>
            <w:r/>
            <w:r>
              <w:rPr>
                <w:sz w:val="18"/>
              </w:rPr>
              <w:t>Validation des teintes, finitions et références produits auprès de la MOE</w:t>
            </w:r>
          </w:p>
        </w:tc>
      </w:tr>
      <w:tr>
        <w:tc>
          <w:tcPr>
            <w:tcW w:type="dxa" w:w="3685"/>
          </w:tcPr>
          <w:p>
            <w:r/>
            <w:r>
              <w:rPr>
                <w:sz w:val="18"/>
              </w:rPr>
              <w:t>Préparation documentaire (PPSPS, PAQ, plans d'exécution)</w:t>
            </w:r>
          </w:p>
        </w:tc>
        <w:tc>
          <w:tcPr>
            <w:tcW w:type="dxa" w:w="5386"/>
          </w:tcPr>
          <w:p>
            <w:r/>
            <w:r>
              <w:rPr>
                <w:sz w:val="18"/>
              </w:rPr>
              <w:t>Constitution des documents contractuels préalables à l'intervention (cf. chapitre 2, § 2.3)</w:t>
            </w:r>
          </w:p>
        </w:tc>
      </w:tr>
      <w:tr>
        <w:tc>
          <w:tcPr>
            <w:tcW w:type="dxa" w:w="3685"/>
          </w:tcPr>
          <w:p>
            <w:r/>
            <w:r>
              <w:rPr>
                <w:sz w:val="18"/>
              </w:rPr>
              <w:t>Réunion de préparation avec la MOE et les autres lots</w:t>
            </w:r>
          </w:p>
        </w:tc>
        <w:tc>
          <w:tcPr>
            <w:tcW w:type="dxa" w:w="5386"/>
          </w:tcPr>
          <w:p>
            <w:r/>
            <w:r>
              <w:rPr>
                <w:sz w:val="18"/>
              </w:rPr>
              <w:t>Calage des interfaces et des accès (cf. § 5.5)</w:t>
            </w:r>
          </w:p>
        </w:tc>
      </w:tr>
    </w:tbl>
    <w:p/>
    <w:p>
      <w:r>
        <w:rPr>
          <w:b w:val="0"/>
          <w:i w:val="0"/>
          <w:sz w:val="21"/>
        </w:rPr>
        <w:t>Cette semaine de préparation, mobilisant 3 personnes (encadrement et études), conditionne le démarrage sans délai des travaux de production dès l'ouverture de la fenêtre d'intervention en Mois 4, les approvisionnements et validations produits étant anticipés pendant les Mois 2 et 3 (cf. § 5.6).</w:t>
      </w:r>
    </w:p>
    <w:p>
      <w:pPr>
        <w:spacing w:before="240" w:after="80"/>
      </w:pPr>
      <w:r>
        <w:rPr>
          <w:b/>
          <w:color w:val="1F3A5F"/>
          <w:sz w:val="24"/>
        </w:rPr>
        <w:t>5.3. Planning détaillé du lot 03</w:t>
      </w:r>
    </w:p>
    <w:p>
      <w:r>
        <w:rPr>
          <w:b w:val="0"/>
          <w:i w:val="0"/>
          <w:sz w:val="21"/>
        </w:rPr>
        <w:t>Le tableau ci-dessous restitue notre planning prévisionnel semaine par semaine, tel qu'établi sur la base du modèle Excel de planification de France Décoration, lui-même calé sur la numérotation des mois du calendrier de la MOA. Chaque semaine active correspond à une intervention complète d'un corps de métier, préparation des supports comprise ; les semaines non colorées de Mois 4 - S4 à Mois 5 - S3 constituent la marge de sécurité du lot (cf. § 5.8 et § 5.9).</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14"/>
            <w:shd w:val="clear" w:color="auto" w:fill="2E74B5"/>
          </w:tcPr>
          <w:p>
            <w:r/>
            <w:r>
              <w:rPr>
                <w:b/>
                <w:color w:val="FFFFFF"/>
                <w:sz w:val="18"/>
              </w:rPr>
              <w:t>Semaine (numérotation MOA)</w:t>
            </w:r>
          </w:p>
        </w:tc>
        <w:tc>
          <w:tcPr>
            <w:tcW w:type="dxa" w:w="1871"/>
            <w:shd w:val="clear" w:color="auto" w:fill="2E74B5"/>
          </w:tcPr>
          <w:p>
            <w:r/>
            <w:r>
              <w:rPr>
                <w:b/>
                <w:color w:val="FFFFFF"/>
                <w:sz w:val="18"/>
              </w:rPr>
              <w:t>Phase</w:t>
            </w:r>
          </w:p>
        </w:tc>
        <w:tc>
          <w:tcPr>
            <w:tcW w:type="dxa" w:w="4252"/>
            <w:shd w:val="clear" w:color="auto" w:fill="2E74B5"/>
          </w:tcPr>
          <w:p>
            <w:r/>
            <w:r>
              <w:rPr>
                <w:b/>
                <w:color w:val="FFFFFF"/>
                <w:sz w:val="18"/>
              </w:rPr>
              <w:t>Contenu</w:t>
            </w:r>
          </w:p>
        </w:tc>
        <w:tc>
          <w:tcPr>
            <w:tcW w:type="dxa" w:w="1417"/>
            <w:shd w:val="clear" w:color="auto" w:fill="2E74B5"/>
          </w:tcPr>
          <w:p>
            <w:r/>
            <w:r>
              <w:rPr>
                <w:b/>
                <w:color w:val="FFFFFF"/>
                <w:sz w:val="18"/>
              </w:rPr>
              <w:t>Durée / effectif</w:t>
            </w:r>
          </w:p>
        </w:tc>
      </w:tr>
      <w:tr>
        <w:tc>
          <w:tcPr>
            <w:tcW w:type="dxa" w:w="1814"/>
            <w:shd w:val="clear" w:color="auto" w:fill="E8E8E8"/>
          </w:tcPr>
          <w:p>
            <w:r/>
            <w:r>
              <w:rPr>
                <w:sz w:val="18"/>
              </w:rPr>
              <w:t>Mois 1 - S4</w:t>
            </w:r>
          </w:p>
        </w:tc>
        <w:tc>
          <w:tcPr>
            <w:tcW w:type="dxa" w:w="1871"/>
            <w:shd w:val="clear" w:color="auto" w:fill="E8E8E8"/>
          </w:tcPr>
          <w:p>
            <w:r/>
            <w:r>
              <w:rPr>
                <w:sz w:val="18"/>
              </w:rPr>
              <w:t>Préparation</w:t>
            </w:r>
          </w:p>
        </w:tc>
        <w:tc>
          <w:tcPr>
            <w:tcW w:type="dxa" w:w="4252"/>
            <w:shd w:val="clear" w:color="auto" w:fill="E8E8E8"/>
          </w:tcPr>
          <w:p>
            <w:r/>
            <w:r>
              <w:rPr>
                <w:sz w:val="18"/>
              </w:rPr>
              <w:t>Études d'exécution — PLANS EXE</w:t>
            </w:r>
          </w:p>
        </w:tc>
        <w:tc>
          <w:tcPr>
            <w:tcW w:type="dxa" w:w="1417"/>
            <w:shd w:val="clear" w:color="auto" w:fill="E8E8E8"/>
          </w:tcPr>
          <w:p>
            <w:r/>
            <w:r>
              <w:rPr>
                <w:sz w:val="18"/>
              </w:rPr>
              <w:t>1 sem. / 3 pers.</w:t>
            </w:r>
          </w:p>
        </w:tc>
      </w:tr>
      <w:tr>
        <w:tc>
          <w:tcPr>
            <w:tcW w:type="dxa" w:w="1814"/>
            <w:shd w:val="clear" w:color="auto" w:fill="D9E8F5"/>
          </w:tcPr>
          <w:p>
            <w:r/>
            <w:r>
              <w:rPr>
                <w:sz w:val="18"/>
              </w:rPr>
              <w:t>Mois 4 - S1</w:t>
            </w:r>
          </w:p>
        </w:tc>
        <w:tc>
          <w:tcPr>
            <w:tcW w:type="dxa" w:w="1871"/>
            <w:shd w:val="clear" w:color="auto" w:fill="D9E8F5"/>
          </w:tcPr>
          <w:p>
            <w:r/>
            <w:r>
              <w:rPr>
                <w:sz w:val="18"/>
              </w:rPr>
              <w:t>Faux plafonds</w:t>
            </w:r>
          </w:p>
        </w:tc>
        <w:tc>
          <w:tcPr>
            <w:tcW w:type="dxa" w:w="4252"/>
            <w:shd w:val="clear" w:color="auto" w:fill="D9E8F5"/>
          </w:tcPr>
          <w:p>
            <w:r/>
            <w:r>
              <w:rPr>
                <w:sz w:val="18"/>
              </w:rPr>
              <w:t>Faux plafonds (préparation, types 1 et 2, dépose-repose, ouvrages divers)</w:t>
            </w:r>
          </w:p>
        </w:tc>
        <w:tc>
          <w:tcPr>
            <w:tcW w:type="dxa" w:w="1417"/>
            <w:shd w:val="clear" w:color="auto" w:fill="D9E8F5"/>
          </w:tcPr>
          <w:p>
            <w:r/>
            <w:r>
              <w:rPr>
                <w:sz w:val="18"/>
              </w:rPr>
              <w:t>1 sem. / 3 à 5 pers.</w:t>
            </w:r>
          </w:p>
        </w:tc>
      </w:tr>
      <w:tr>
        <w:tc>
          <w:tcPr>
            <w:tcW w:type="dxa" w:w="1814"/>
            <w:shd w:val="clear" w:color="auto" w:fill="F3D9E8"/>
          </w:tcPr>
          <w:p>
            <w:r/>
            <w:r>
              <w:rPr>
                <w:sz w:val="18"/>
              </w:rPr>
              <w:t>Mois 4 - S2</w:t>
            </w:r>
          </w:p>
        </w:tc>
        <w:tc>
          <w:tcPr>
            <w:tcW w:type="dxa" w:w="1871"/>
            <w:shd w:val="clear" w:color="auto" w:fill="F3D9E8"/>
          </w:tcPr>
          <w:p>
            <w:r/>
            <w:r>
              <w:rPr>
                <w:sz w:val="18"/>
              </w:rPr>
              <w:t>Peinture</w:t>
            </w:r>
          </w:p>
        </w:tc>
        <w:tc>
          <w:tcPr>
            <w:tcW w:type="dxa" w:w="4252"/>
            <w:shd w:val="clear" w:color="auto" w:fill="F3D9E8"/>
          </w:tcPr>
          <w:p>
            <w:r/>
            <w:r>
              <w:rPr>
                <w:sz w:val="18"/>
              </w:rPr>
              <w:t>Peinture (préparation, plafonds, murs, boiseries, métaux et PVC)</w:t>
            </w:r>
          </w:p>
        </w:tc>
        <w:tc>
          <w:tcPr>
            <w:tcW w:type="dxa" w:w="1417"/>
            <w:shd w:val="clear" w:color="auto" w:fill="F3D9E8"/>
          </w:tcPr>
          <w:p>
            <w:r/>
            <w:r>
              <w:rPr>
                <w:sz w:val="18"/>
              </w:rPr>
              <w:t>1 sem. / 3 à 5 pers.</w:t>
            </w:r>
          </w:p>
        </w:tc>
      </w:tr>
      <w:tr>
        <w:tc>
          <w:tcPr>
            <w:tcW w:type="dxa" w:w="1814"/>
            <w:shd w:val="clear" w:color="auto" w:fill="DDEFD9"/>
          </w:tcPr>
          <w:p>
            <w:r/>
            <w:r>
              <w:rPr>
                <w:sz w:val="18"/>
              </w:rPr>
              <w:t>Mois 4 - S3</w:t>
            </w:r>
          </w:p>
        </w:tc>
        <w:tc>
          <w:tcPr>
            <w:tcW w:type="dxa" w:w="1871"/>
            <w:shd w:val="clear" w:color="auto" w:fill="DDEFD9"/>
          </w:tcPr>
          <w:p>
            <w:r/>
            <w:r>
              <w:rPr>
                <w:sz w:val="18"/>
              </w:rPr>
              <w:t>Sols souples / murs</w:t>
            </w:r>
          </w:p>
        </w:tc>
        <w:tc>
          <w:tcPr>
            <w:tcW w:type="dxa" w:w="4252"/>
            <w:shd w:val="clear" w:color="auto" w:fill="DDEFD9"/>
          </w:tcPr>
          <w:p>
            <w:r/>
            <w:r>
              <w:rPr>
                <w:sz w:val="18"/>
              </w:rPr>
              <w:t>Sols souples / revêtements muraux (préparation, Les Impression, Mipolam Planet, barres de seuil)</w:t>
            </w:r>
          </w:p>
        </w:tc>
        <w:tc>
          <w:tcPr>
            <w:tcW w:type="dxa" w:w="1417"/>
            <w:shd w:val="clear" w:color="auto" w:fill="DDEFD9"/>
          </w:tcPr>
          <w:p>
            <w:r/>
            <w:r>
              <w:rPr>
                <w:sz w:val="18"/>
              </w:rPr>
              <w:t>1 sem. / 2 à 5 pers.</w:t>
            </w:r>
          </w:p>
        </w:tc>
      </w:tr>
      <w:tr>
        <w:tc>
          <w:tcPr>
            <w:tcW w:type="dxa" w:w="1814"/>
            <w:shd w:val="clear" w:color="auto" w:fill="FFFFFF"/>
          </w:tcPr>
          <w:p>
            <w:r/>
            <w:r>
              <w:rPr>
                <w:sz w:val="18"/>
              </w:rPr>
              <w:t>Mois 4 - S4</w:t>
            </w:r>
          </w:p>
        </w:tc>
        <w:tc>
          <w:tcPr>
            <w:tcW w:type="dxa" w:w="1871"/>
            <w:shd w:val="clear" w:color="auto" w:fill="FFFFFF"/>
          </w:tcPr>
          <w:p>
            <w:r/>
            <w:r>
              <w:rPr>
                <w:sz w:val="18"/>
              </w:rPr>
              <w:t>—</w:t>
            </w:r>
          </w:p>
        </w:tc>
        <w:tc>
          <w:tcPr>
            <w:tcW w:type="dxa" w:w="4252"/>
            <w:shd w:val="clear" w:color="auto" w:fill="FFFFFF"/>
          </w:tcPr>
          <w:p>
            <w:r/>
            <w:r>
              <w:rPr>
                <w:sz w:val="18"/>
              </w:rPr>
              <w:t>Marge de sécurité / coordination inter-lots</w:t>
            </w:r>
          </w:p>
        </w:tc>
        <w:tc>
          <w:tcPr>
            <w:tcW w:type="dxa" w:w="1417"/>
            <w:shd w:val="clear" w:color="auto" w:fill="FFFFFF"/>
          </w:tcPr>
          <w:p>
            <w:r/>
            <w:r>
              <w:rPr>
                <w:sz w:val="18"/>
              </w:rPr>
              <w:t>—</w:t>
            </w:r>
          </w:p>
        </w:tc>
      </w:tr>
      <w:tr>
        <w:tc>
          <w:tcPr>
            <w:tcW w:type="dxa" w:w="1814"/>
            <w:shd w:val="clear" w:color="auto" w:fill="FFFFFF"/>
          </w:tcPr>
          <w:p>
            <w:r/>
            <w:r>
              <w:rPr>
                <w:sz w:val="18"/>
              </w:rPr>
              <w:t>Mois 5 - S1</w:t>
            </w:r>
          </w:p>
        </w:tc>
        <w:tc>
          <w:tcPr>
            <w:tcW w:type="dxa" w:w="1871"/>
            <w:shd w:val="clear" w:color="auto" w:fill="FFFFFF"/>
          </w:tcPr>
          <w:p>
            <w:r/>
            <w:r>
              <w:rPr>
                <w:sz w:val="18"/>
              </w:rPr>
              <w:t>—</w:t>
            </w:r>
          </w:p>
        </w:tc>
        <w:tc>
          <w:tcPr>
            <w:tcW w:type="dxa" w:w="4252"/>
            <w:shd w:val="clear" w:color="auto" w:fill="FFFFFF"/>
          </w:tcPr>
          <w:p>
            <w:r/>
            <w:r>
              <w:rPr>
                <w:sz w:val="18"/>
              </w:rPr>
              <w:t>Marge de sécurité / coordination inter-lots</w:t>
            </w:r>
          </w:p>
        </w:tc>
        <w:tc>
          <w:tcPr>
            <w:tcW w:type="dxa" w:w="1417"/>
            <w:shd w:val="clear" w:color="auto" w:fill="FFFFFF"/>
          </w:tcPr>
          <w:p>
            <w:r/>
            <w:r>
              <w:rPr>
                <w:sz w:val="18"/>
              </w:rPr>
              <w:t>—</w:t>
            </w:r>
          </w:p>
        </w:tc>
      </w:tr>
      <w:tr>
        <w:tc>
          <w:tcPr>
            <w:tcW w:type="dxa" w:w="1814"/>
            <w:shd w:val="clear" w:color="auto" w:fill="FFFFFF"/>
          </w:tcPr>
          <w:p>
            <w:r/>
            <w:r>
              <w:rPr>
                <w:sz w:val="18"/>
              </w:rPr>
              <w:t>Mois 5 - S2</w:t>
            </w:r>
          </w:p>
        </w:tc>
        <w:tc>
          <w:tcPr>
            <w:tcW w:type="dxa" w:w="1871"/>
            <w:shd w:val="clear" w:color="auto" w:fill="FFFFFF"/>
          </w:tcPr>
          <w:p>
            <w:r/>
            <w:r>
              <w:rPr>
                <w:sz w:val="18"/>
              </w:rPr>
              <w:t>—</w:t>
            </w:r>
          </w:p>
        </w:tc>
        <w:tc>
          <w:tcPr>
            <w:tcW w:type="dxa" w:w="4252"/>
            <w:shd w:val="clear" w:color="auto" w:fill="FFFFFF"/>
          </w:tcPr>
          <w:p>
            <w:r/>
            <w:r>
              <w:rPr>
                <w:sz w:val="18"/>
              </w:rPr>
              <w:t>Marge de sécurité / coordination inter-lots</w:t>
            </w:r>
          </w:p>
        </w:tc>
        <w:tc>
          <w:tcPr>
            <w:tcW w:type="dxa" w:w="1417"/>
            <w:shd w:val="clear" w:color="auto" w:fill="FFFFFF"/>
          </w:tcPr>
          <w:p>
            <w:r/>
            <w:r>
              <w:rPr>
                <w:sz w:val="18"/>
              </w:rPr>
              <w:t>—</w:t>
            </w:r>
          </w:p>
        </w:tc>
      </w:tr>
      <w:tr>
        <w:tc>
          <w:tcPr>
            <w:tcW w:type="dxa" w:w="1814"/>
            <w:shd w:val="clear" w:color="auto" w:fill="FFFFFF"/>
          </w:tcPr>
          <w:p>
            <w:r/>
            <w:r>
              <w:rPr>
                <w:sz w:val="18"/>
              </w:rPr>
              <w:t>Mois 5 - S3</w:t>
            </w:r>
          </w:p>
        </w:tc>
        <w:tc>
          <w:tcPr>
            <w:tcW w:type="dxa" w:w="1871"/>
            <w:shd w:val="clear" w:color="auto" w:fill="FFFFFF"/>
          </w:tcPr>
          <w:p>
            <w:r/>
            <w:r>
              <w:rPr>
                <w:sz w:val="18"/>
              </w:rPr>
              <w:t>—</w:t>
            </w:r>
          </w:p>
        </w:tc>
        <w:tc>
          <w:tcPr>
            <w:tcW w:type="dxa" w:w="4252"/>
            <w:shd w:val="clear" w:color="auto" w:fill="FFFFFF"/>
          </w:tcPr>
          <w:p>
            <w:r/>
            <w:r>
              <w:rPr>
                <w:sz w:val="18"/>
              </w:rPr>
              <w:t>Marge de sécurité / coordination inter-lots</w:t>
            </w:r>
          </w:p>
        </w:tc>
        <w:tc>
          <w:tcPr>
            <w:tcW w:type="dxa" w:w="1417"/>
            <w:shd w:val="clear" w:color="auto" w:fill="FFFFFF"/>
          </w:tcPr>
          <w:p>
            <w:r/>
            <w:r>
              <w:rPr>
                <w:sz w:val="18"/>
              </w:rPr>
              <w:t>—</w:t>
            </w:r>
          </w:p>
        </w:tc>
      </w:tr>
      <w:tr>
        <w:tc>
          <w:tcPr>
            <w:tcW w:type="dxa" w:w="1814"/>
            <w:shd w:val="clear" w:color="auto" w:fill="FCEFD0"/>
          </w:tcPr>
          <w:p>
            <w:r/>
            <w:r>
              <w:rPr>
                <w:sz w:val="18"/>
              </w:rPr>
              <w:t>Mois 5 - S4</w:t>
            </w:r>
          </w:p>
        </w:tc>
        <w:tc>
          <w:tcPr>
            <w:tcW w:type="dxa" w:w="1871"/>
            <w:shd w:val="clear" w:color="auto" w:fill="FCEFD0"/>
          </w:tcPr>
          <w:p>
            <w:r/>
            <w:r>
              <w:rPr>
                <w:sz w:val="18"/>
              </w:rPr>
              <w:t>Nettoyage / OPR / Réserves</w:t>
            </w:r>
          </w:p>
        </w:tc>
        <w:tc>
          <w:tcPr>
            <w:tcW w:type="dxa" w:w="4252"/>
            <w:shd w:val="clear" w:color="auto" w:fill="FCEFD0"/>
          </w:tcPr>
          <w:p>
            <w:r/>
            <w:r>
              <w:rPr>
                <w:sz w:val="18"/>
              </w:rPr>
              <w:t>Nettoyage général (1 jour) + OPR (1 jour) + Levée des réserves (1 jour)</w:t>
            </w:r>
          </w:p>
        </w:tc>
        <w:tc>
          <w:tcPr>
            <w:tcW w:type="dxa" w:w="1417"/>
            <w:shd w:val="clear" w:color="auto" w:fill="FCEFD0"/>
          </w:tcPr>
          <w:p>
            <w:r/>
            <w:r>
              <w:rPr>
                <w:sz w:val="18"/>
              </w:rPr>
              <w:t>2 pers.</w:t>
            </w:r>
          </w:p>
        </w:tc>
      </w:tr>
    </w:tbl>
    <w:p/>
    <w:p>
      <w:r>
        <w:rPr>
          <w:b w:val="0"/>
          <w:i w:val="0"/>
          <w:sz w:val="21"/>
        </w:rPr>
        <w:t>Le détail des opérations propres à chaque semaine de production (faux plafonds, peinture, sols souples) ainsi que la méthodologie d'exécution retenue pour chaque ouvrage sont développés au chapitre 2 du présent mémoire (§ 2.8 à § 2.10).</w:t>
      </w:r>
    </w:p>
    <w:p>
      <w:pPr>
        <w:spacing w:before="240" w:after="80"/>
      </w:pPr>
      <w:r>
        <w:rPr>
          <w:b/>
          <w:color w:val="1F3A5F"/>
          <w:sz w:val="24"/>
        </w:rPr>
        <w:t>5.4. Enchaînement des différentes phases d'intervention</w:t>
      </w:r>
    </w:p>
    <w:p>
      <w:r>
        <w:rPr>
          <w:b w:val="0"/>
          <w:i w:val="0"/>
          <w:sz w:val="21"/>
        </w:rPr>
        <w:t>L'enchaînement retenu — faux plafonds, puis peinture, puis sols souples — répond à une logique de chantier propre systématiquement appliquée par France Décoration sur ses opérations en site occupé :</w:t>
      </w:r>
    </w:p>
    <w:tbl>
      <w:tblPr>
        <w:tblStyle w:val="TableGrid"/>
        <w:tblW w:type="auto" w:w="0"/>
        <w:jc w:val="center"/>
        <w:tblLook w:firstColumn="1" w:firstRow="1" w:lastColumn="0" w:lastRow="0" w:noHBand="0" w:noVBand="1" w:val="04A0"/>
      </w:tblPr>
      <w:tblGrid>
        <w:gridCol w:w="3400"/>
        <w:gridCol w:w="3400"/>
        <w:gridCol w:w="3400"/>
      </w:tblGrid>
      <w:tr>
        <w:tc>
          <w:tcPr>
            <w:tcW w:type="dxa" w:w="850"/>
            <w:shd w:val="clear" w:color="auto" w:fill="2E74B5"/>
          </w:tcPr>
          <w:p>
            <w:r/>
            <w:r>
              <w:rPr>
                <w:b/>
                <w:color w:val="FFFFFF"/>
                <w:sz w:val="18"/>
              </w:rPr>
              <w:t>Ordre</w:t>
            </w:r>
          </w:p>
        </w:tc>
        <w:tc>
          <w:tcPr>
            <w:tcW w:type="dxa" w:w="1984"/>
            <w:shd w:val="clear" w:color="auto" w:fill="2E74B5"/>
          </w:tcPr>
          <w:p>
            <w:r/>
            <w:r>
              <w:rPr>
                <w:b/>
                <w:color w:val="FFFFFF"/>
                <w:sz w:val="18"/>
              </w:rPr>
              <w:t>Phase</w:t>
            </w:r>
          </w:p>
        </w:tc>
        <w:tc>
          <w:tcPr>
            <w:tcW w:type="dxa" w:w="5953"/>
            <w:shd w:val="clear" w:color="auto" w:fill="2E74B5"/>
          </w:tcPr>
          <w:p>
            <w:r/>
            <w:r>
              <w:rPr>
                <w:b/>
                <w:color w:val="FFFFFF"/>
                <w:sz w:val="18"/>
              </w:rPr>
              <w:t>Justification de l'enchaînement</w:t>
            </w:r>
          </w:p>
        </w:tc>
      </w:tr>
      <w:tr>
        <w:tc>
          <w:tcPr>
            <w:tcW w:type="dxa" w:w="850"/>
          </w:tcPr>
          <w:p>
            <w:r/>
            <w:r>
              <w:rPr>
                <w:sz w:val="18"/>
              </w:rPr>
              <w:t>1</w:t>
            </w:r>
          </w:p>
        </w:tc>
        <w:tc>
          <w:tcPr>
            <w:tcW w:type="dxa" w:w="1984"/>
          </w:tcPr>
          <w:p>
            <w:r/>
            <w:r>
              <w:rPr>
                <w:sz w:val="18"/>
              </w:rPr>
              <w:t>Faux plafonds</w:t>
            </w:r>
          </w:p>
        </w:tc>
        <w:tc>
          <w:tcPr>
            <w:tcW w:type="dxa" w:w="5953"/>
          </w:tcPr>
          <w:p>
            <w:r/>
            <w:r>
              <w:rPr>
                <w:sz w:val="18"/>
              </w:rPr>
              <w:t>Travaux les plus salissants et générateurs de poussières (dépose, perçages, pose d'ossature) réalisés en premier, plénum ouvert et accessible</w:t>
            </w:r>
          </w:p>
        </w:tc>
      </w:tr>
      <w:tr>
        <w:tc>
          <w:tcPr>
            <w:tcW w:type="dxa" w:w="850"/>
          </w:tcPr>
          <w:p>
            <w:r/>
            <w:r>
              <w:rPr>
                <w:sz w:val="18"/>
              </w:rPr>
              <w:t>2</w:t>
            </w:r>
          </w:p>
        </w:tc>
        <w:tc>
          <w:tcPr>
            <w:tcW w:type="dxa" w:w="1984"/>
          </w:tcPr>
          <w:p>
            <w:r/>
            <w:r>
              <w:rPr>
                <w:sz w:val="18"/>
              </w:rPr>
              <w:t>Peinture</w:t>
            </w:r>
          </w:p>
        </w:tc>
        <w:tc>
          <w:tcPr>
            <w:tcW w:type="dxa" w:w="5953"/>
          </w:tcPr>
          <w:p>
            <w:r/>
            <w:r>
              <w:rPr>
                <w:sz w:val="18"/>
              </w:rPr>
              <w:t>Intervient sur des plafonds finalisés ; les projections et poussières de ponçage sont maîtrisées avant la pose du revêtement de sol</w:t>
            </w:r>
          </w:p>
        </w:tc>
      </w:tr>
      <w:tr>
        <w:tc>
          <w:tcPr>
            <w:tcW w:type="dxa" w:w="850"/>
          </w:tcPr>
          <w:p>
            <w:r/>
            <w:r>
              <w:rPr>
                <w:sz w:val="18"/>
              </w:rPr>
              <w:t>3</w:t>
            </w:r>
          </w:p>
        </w:tc>
        <w:tc>
          <w:tcPr>
            <w:tcW w:type="dxa" w:w="1984"/>
          </w:tcPr>
          <w:p>
            <w:r/>
            <w:r>
              <w:rPr>
                <w:sz w:val="18"/>
              </w:rPr>
              <w:t>Sols souples</w:t>
            </w:r>
          </w:p>
        </w:tc>
        <w:tc>
          <w:tcPr>
            <w:tcW w:type="dxa" w:w="5953"/>
          </w:tcPr>
          <w:p>
            <w:r/>
            <w:r>
              <w:rPr>
                <w:sz w:val="18"/>
              </w:rPr>
              <w:t>Posés en dernier pour éviter toute salissure, poinçonnement ou dégradation du revêtement fraîchement collé par la poursuite d'autres opérations</w:t>
            </w:r>
          </w:p>
        </w:tc>
      </w:tr>
    </w:tbl>
    <w:p/>
    <w:p>
      <w:r>
        <w:rPr>
          <w:b w:val="0"/>
          <w:i w:val="0"/>
          <w:sz w:val="21"/>
        </w:rPr>
        <w:t>Chaque semaine de production regroupe volontairement la préparation des supports et la mise en œuvre finale d'un même corps de métier, ce qui limite les interruptions et les reprises d'équipe, réduit la durée de présence en site hospitalier occupé et facilite le contrôle qualité en continu (autocontrôles, cf. chapitre 2, § 2.11).</w:t>
      </w:r>
    </w:p>
    <w:p>
      <w:pPr>
        <w:spacing w:before="240" w:after="80"/>
      </w:pPr>
      <w:r>
        <w:rPr>
          <w:b/>
          <w:color w:val="1F3A5F"/>
          <w:sz w:val="24"/>
        </w:rPr>
        <w:t>5.5. Coordination et interfaces avec les autres corps d'état</w:t>
      </w:r>
    </w:p>
    <w:p>
      <w:r>
        <w:rPr>
          <w:b w:val="0"/>
          <w:i w:val="0"/>
          <w:sz w:val="21"/>
        </w:rPr>
        <w:t>Le planning du Lot 3 est construit en cohérence avec les interfaces suivantes, identifiées avec les autres intervenants de l'opération :</w:t>
      </w:r>
    </w:p>
    <w:p>
      <w:pPr>
        <w:pStyle w:val="ListBullet"/>
      </w:pPr>
      <w:r>
        <w:rPr>
          <w:b/>
        </w:rPr>
        <w:t xml:space="preserve">Interface amont — </w:t>
      </w:r>
      <w:r>
        <w:t>Lot 1 (Gros œuvre / structure) : réception préalable du renfort de plancher (profilés HEB220) conditionnant l'accès aux zones de pose de sols souples en salle scanner ;</w:t>
      </w:r>
    </w:p>
    <w:p>
      <w:pPr>
        <w:pStyle w:val="ListBullet"/>
      </w:pPr>
      <w:r>
        <w:rPr>
          <w:b/>
        </w:rPr>
        <w:t xml:space="preserve">Interface plénum — </w:t>
      </w:r>
      <w:r>
        <w:t>Lots Électricité et Plomberie-Chauffage-Climatisation : coordination des réseaux transitant en plénum de faux plafonds, avant fermeture des dalles (cf. chapitre 2, § 2.7) ;</w:t>
      </w:r>
    </w:p>
    <w:p>
      <w:pPr>
        <w:pStyle w:val="ListBullet"/>
      </w:pPr>
      <w:r>
        <w:rPr>
          <w:b/>
        </w:rPr>
        <w:t xml:space="preserve">Interface pilotage — </w:t>
      </w:r>
      <w:r>
        <w:t>Maîtrise d'œuvre et AP-HP : participation aux réunions de chantier hebdomadaires, remise des comptes rendus d'avancement et alerte anticipée en cas d'écart de planning ;</w:t>
      </w:r>
    </w:p>
    <w:p>
      <w:pPr>
        <w:pStyle w:val="ListBullet"/>
      </w:pPr>
      <w:r>
        <w:rPr>
          <w:b/>
        </w:rPr>
        <w:t xml:space="preserve">Interface exploitation — </w:t>
      </w:r>
      <w:r>
        <w:t>Exploitant hospitalier : synchronisation des accès et livraisons avec les plages horaires autorisées en établissement en activité (cf. chapitre 1, § 1.5).</w:t>
      </w:r>
    </w:p>
    <w:p>
      <w:r>
        <w:rPr>
          <w:b w:val="0"/>
          <w:i w:val="0"/>
          <w:sz w:val="21"/>
        </w:rPr>
        <w:t>Cette coordination est assurée par notre Conducteur de Travaux, interlocuteur unique vis-à-vis de la MOE et des autres corps d'état pour l'ensemble des questions de planning (cf. chapitre 3, § 3.2).</w:t>
      </w:r>
    </w:p>
    <w:p>
      <w:pPr>
        <w:spacing w:before="240" w:after="80"/>
      </w:pPr>
      <w:r>
        <w:rPr>
          <w:b/>
          <w:color w:val="1F3A5F"/>
          <w:sz w:val="24"/>
        </w:rPr>
        <w:t>5.6. Optimisation des approvisionnements</w:t>
      </w:r>
    </w:p>
    <w:p>
      <w:r>
        <w:rPr>
          <w:b w:val="0"/>
          <w:i w:val="0"/>
          <w:sz w:val="21"/>
        </w:rPr>
        <w:t>Les approvisionnements sont phasés en cohérence avec l'enchaînement des travaux et la disponibilité de nos quatre locaux de stockage (Livry-Gargan, La Houssaye-en-Brie, Saint-Ouen, Paris — cf. chapitre 3, § 3.6), afin de limiter le stockage sur site, contrainte majeure en établissement hospitalier occupé à emprise réduite.</w:t>
      </w:r>
    </w:p>
    <w:tbl>
      <w:tblPr>
        <w:tblStyle w:val="TableGrid"/>
        <w:tblW w:type="auto" w:w="0"/>
        <w:jc w:val="center"/>
        <w:tblLook w:firstColumn="1" w:firstRow="1" w:lastColumn="0" w:lastRow="0" w:noHBand="0" w:noVBand="1" w:val="04A0"/>
      </w:tblPr>
      <w:tblGrid>
        <w:gridCol w:w="3400"/>
        <w:gridCol w:w="3400"/>
        <w:gridCol w:w="3400"/>
      </w:tblGrid>
      <w:tr>
        <w:tc>
          <w:tcPr>
            <w:tcW w:type="dxa" w:w="1531"/>
            <w:shd w:val="clear" w:color="auto" w:fill="2E74B5"/>
          </w:tcPr>
          <w:p>
            <w:r/>
            <w:r>
              <w:rPr>
                <w:b/>
                <w:color w:val="FFFFFF"/>
                <w:sz w:val="18"/>
              </w:rPr>
              <w:t>Période</w:t>
            </w:r>
          </w:p>
        </w:tc>
        <w:tc>
          <w:tcPr>
            <w:tcW w:type="dxa" w:w="4706"/>
            <w:shd w:val="clear" w:color="auto" w:fill="2E74B5"/>
          </w:tcPr>
          <w:p>
            <w:r/>
            <w:r>
              <w:rPr>
                <w:b/>
                <w:color w:val="FFFFFF"/>
                <w:sz w:val="18"/>
              </w:rPr>
              <w:t>Action</w:t>
            </w:r>
          </w:p>
        </w:tc>
        <w:tc>
          <w:tcPr>
            <w:tcW w:type="dxa" w:w="2835"/>
            <w:shd w:val="clear" w:color="auto" w:fill="2E74B5"/>
          </w:tcPr>
          <w:p>
            <w:r/>
            <w:r>
              <w:rPr>
                <w:b/>
                <w:color w:val="FFFFFF"/>
                <w:sz w:val="18"/>
              </w:rPr>
              <w:t>Objectif</w:t>
            </w:r>
          </w:p>
        </w:tc>
      </w:tr>
      <w:tr>
        <w:tc>
          <w:tcPr>
            <w:tcW w:type="dxa" w:w="1531"/>
          </w:tcPr>
          <w:p>
            <w:r/>
            <w:r>
              <w:rPr>
                <w:sz w:val="18"/>
              </w:rPr>
              <w:t>Mois 1 - S4</w:t>
            </w:r>
          </w:p>
        </w:tc>
        <w:tc>
          <w:tcPr>
            <w:tcW w:type="dxa" w:w="4706"/>
          </w:tcPr>
          <w:p>
            <w:r/>
            <w:r>
              <w:rPr>
                <w:sz w:val="18"/>
              </w:rPr>
              <w:t>Commande et validation des produits auprès de la MOE (échantillons, fiches techniques)</w:t>
            </w:r>
          </w:p>
        </w:tc>
        <w:tc>
          <w:tcPr>
            <w:tcW w:type="dxa" w:w="2835"/>
          </w:tcPr>
          <w:p>
            <w:r/>
            <w:r>
              <w:rPr>
                <w:sz w:val="18"/>
              </w:rPr>
              <w:t>Sécuriser les délais fournisseurs avant ouverture de la fenêtre d'intervention</w:t>
            </w:r>
          </w:p>
        </w:tc>
      </w:tr>
      <w:tr>
        <w:tc>
          <w:tcPr>
            <w:tcW w:type="dxa" w:w="1531"/>
          </w:tcPr>
          <w:p>
            <w:r/>
            <w:r>
              <w:rPr>
                <w:sz w:val="18"/>
              </w:rPr>
              <w:t>Mois 2 - Mois 3</w:t>
            </w:r>
          </w:p>
        </w:tc>
        <w:tc>
          <w:tcPr>
            <w:tcW w:type="dxa" w:w="4706"/>
          </w:tcPr>
          <w:p>
            <w:r/>
            <w:r>
              <w:rPr>
                <w:sz w:val="18"/>
              </w:rPr>
              <w:t>Réception et stockage en dépôts France Décoration (hors site)</w:t>
            </w:r>
          </w:p>
        </w:tc>
        <w:tc>
          <w:tcPr>
            <w:tcW w:type="dxa" w:w="2835"/>
          </w:tcPr>
          <w:p>
            <w:r/>
            <w:r>
              <w:rPr>
                <w:sz w:val="18"/>
              </w:rPr>
              <w:t>Anticiper sans encombrer le chantier pendant les travaux des lots amont</w:t>
            </w:r>
          </w:p>
        </w:tc>
      </w:tr>
      <w:tr>
        <w:tc>
          <w:tcPr>
            <w:tcW w:type="dxa" w:w="1531"/>
          </w:tcPr>
          <w:p>
            <w:r/>
            <w:r>
              <w:rPr>
                <w:sz w:val="18"/>
              </w:rPr>
              <w:t>Mois 4 - S1</w:t>
            </w:r>
          </w:p>
        </w:tc>
        <w:tc>
          <w:tcPr>
            <w:tcW w:type="dxa" w:w="4706"/>
          </w:tcPr>
          <w:p>
            <w:r/>
            <w:r>
              <w:rPr>
                <w:sz w:val="18"/>
              </w:rPr>
              <w:t>Livraison au fil de l'eau des matériaux de faux plafonds (dalles Ecophon, ossature Placo)</w:t>
            </w:r>
          </w:p>
        </w:tc>
        <w:tc>
          <w:tcPr>
            <w:tcW w:type="dxa" w:w="2835"/>
          </w:tcPr>
          <w:p>
            <w:r/>
            <w:r>
              <w:rPr>
                <w:sz w:val="18"/>
              </w:rPr>
              <w:t>Approvisionnement limité aux besoins de la semaine en cours</w:t>
            </w:r>
          </w:p>
        </w:tc>
      </w:tr>
      <w:tr>
        <w:tc>
          <w:tcPr>
            <w:tcW w:type="dxa" w:w="1531"/>
          </w:tcPr>
          <w:p>
            <w:r/>
            <w:r>
              <w:rPr>
                <w:sz w:val="18"/>
              </w:rPr>
              <w:t>Mois 4 - S2</w:t>
            </w:r>
          </w:p>
        </w:tc>
        <w:tc>
          <w:tcPr>
            <w:tcW w:type="dxa" w:w="4706"/>
          </w:tcPr>
          <w:p>
            <w:r/>
            <w:r>
              <w:rPr>
                <w:sz w:val="18"/>
              </w:rPr>
              <w:t>Livraison des produits de peinture (Beissier, Seigneurie, Caparol, Sinto)</w:t>
            </w:r>
          </w:p>
        </w:tc>
        <w:tc>
          <w:tcPr>
            <w:tcW w:type="dxa" w:w="2835"/>
          </w:tcPr>
          <w:p>
            <w:r/>
            <w:r>
              <w:rPr>
                <w:sz w:val="18"/>
              </w:rPr>
              <w:t>Idem — livraison synchronisée avec le début de phase</w:t>
            </w:r>
          </w:p>
        </w:tc>
      </w:tr>
      <w:tr>
        <w:tc>
          <w:tcPr>
            <w:tcW w:type="dxa" w:w="1531"/>
          </w:tcPr>
          <w:p>
            <w:r/>
            <w:r>
              <w:rPr>
                <w:sz w:val="18"/>
              </w:rPr>
              <w:t>Mois 4 - S3</w:t>
            </w:r>
          </w:p>
        </w:tc>
        <w:tc>
          <w:tcPr>
            <w:tcW w:type="dxa" w:w="4706"/>
          </w:tcPr>
          <w:p>
            <w:r/>
            <w:r>
              <w:rPr>
                <w:sz w:val="18"/>
              </w:rPr>
              <w:t>Livraison des rouleaux de sols souples Gerflor et colles Uzin</w:t>
            </w:r>
          </w:p>
        </w:tc>
        <w:tc>
          <w:tcPr>
            <w:tcW w:type="dxa" w:w="2835"/>
          </w:tcPr>
          <w:p>
            <w:r/>
            <w:r>
              <w:rPr>
                <w:sz w:val="18"/>
              </w:rPr>
              <w:t>Livraison en flux tendu compte tenu de l'encombrement des lés</w:t>
            </w:r>
          </w:p>
        </w:tc>
      </w:tr>
    </w:tbl>
    <w:p/>
    <w:p>
      <w:r>
        <w:rPr>
          <w:b w:val="0"/>
          <w:i w:val="0"/>
          <w:sz w:val="21"/>
        </w:rPr>
        <w:t>Cette logique de flux tendu, appuyée sur un maillage de quatre sites de stockage dont deux en Île-de-France à proximité immédiate de Sevran, permet un réapprovisionnement rapide en cas d'aléa sans immobiliser d'espace de stockage supplémentaire dans l'établissement (cf. chapitre 2, § 2.4).</w:t>
      </w:r>
    </w:p>
    <w:p>
      <w:pPr>
        <w:spacing w:before="240" w:after="80"/>
      </w:pPr>
      <w:r>
        <w:rPr>
          <w:b/>
          <w:color w:val="1F3A5F"/>
          <w:sz w:val="24"/>
        </w:rPr>
        <w:t>5.7. Dimensionnement des équipes en fonction des phases</w:t>
      </w:r>
    </w:p>
    <w:p>
      <w:r>
        <w:rPr>
          <w:b w:val="0"/>
          <w:i w:val="0"/>
          <w:sz w:val="21"/>
        </w:rPr>
        <w:t>Les effectifs affectés à chaque phase sont dimensionnés à partir de notre planning prévisionnel d'entreprise et peuvent être renforcés, dans les fourchettes indiquées ci-dessous, en fonction de l'avancement réel et des contraintes d'accès négociées avec l'exploitant.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402"/>
            <w:shd w:val="clear" w:color="auto" w:fill="2E74B5"/>
          </w:tcPr>
          <w:p>
            <w:r/>
            <w:r>
              <w:rPr>
                <w:b/>
                <w:color w:val="FFFFFF"/>
                <w:sz w:val="18"/>
              </w:rPr>
              <w:t>Phase</w:t>
            </w:r>
          </w:p>
        </w:tc>
        <w:tc>
          <w:tcPr>
            <w:tcW w:type="dxa" w:w="1701"/>
            <w:shd w:val="clear" w:color="auto" w:fill="2E74B5"/>
          </w:tcPr>
          <w:p>
            <w:r/>
            <w:r>
              <w:rPr>
                <w:b/>
                <w:color w:val="FFFFFF"/>
                <w:sz w:val="18"/>
              </w:rPr>
              <w:t>Semaine</w:t>
            </w:r>
          </w:p>
        </w:tc>
        <w:tc>
          <w:tcPr>
            <w:tcW w:type="dxa" w:w="1984"/>
            <w:shd w:val="clear" w:color="auto" w:fill="2E74B5"/>
          </w:tcPr>
          <w:p>
            <w:r/>
            <w:r>
              <w:rPr>
                <w:b/>
                <w:color w:val="FFFFFF"/>
                <w:sz w:val="18"/>
              </w:rPr>
              <w:t>Effectif de base</w:t>
            </w:r>
          </w:p>
        </w:tc>
        <w:tc>
          <w:tcPr>
            <w:tcW w:type="dxa" w:w="1984"/>
            <w:shd w:val="clear" w:color="auto" w:fill="2E74B5"/>
          </w:tcPr>
          <w:p>
            <w:r/>
            <w:r>
              <w:rPr>
                <w:b/>
                <w:color w:val="FFFFFF"/>
                <w:sz w:val="18"/>
              </w:rPr>
              <w:t>Effectif renforcé possible</w:t>
            </w:r>
          </w:p>
        </w:tc>
      </w:tr>
      <w:tr>
        <w:tc>
          <w:tcPr>
            <w:tcW w:type="dxa" w:w="3402"/>
          </w:tcPr>
          <w:p>
            <w:r/>
            <w:r>
              <w:rPr>
                <w:sz w:val="18"/>
              </w:rPr>
              <w:t>Préparation / études d'exécution</w:t>
            </w:r>
          </w:p>
        </w:tc>
        <w:tc>
          <w:tcPr>
            <w:tcW w:type="dxa" w:w="1701"/>
          </w:tcPr>
          <w:p>
            <w:r/>
            <w:r>
              <w:rPr>
                <w:sz w:val="18"/>
              </w:rPr>
              <w:t>Mois 1 - S4</w:t>
            </w:r>
          </w:p>
        </w:tc>
        <w:tc>
          <w:tcPr>
            <w:tcW w:type="dxa" w:w="1984"/>
          </w:tcPr>
          <w:p>
            <w:r/>
            <w:r>
              <w:rPr>
                <w:sz w:val="18"/>
              </w:rPr>
              <w:t>3 personnes</w:t>
            </w:r>
          </w:p>
        </w:tc>
        <w:tc>
          <w:tcPr>
            <w:tcW w:type="dxa" w:w="1984"/>
          </w:tcPr>
          <w:p>
            <w:r/>
            <w:r>
              <w:rPr>
                <w:sz w:val="18"/>
              </w:rPr>
              <w:t>—</w:t>
            </w:r>
          </w:p>
        </w:tc>
      </w:tr>
      <w:tr>
        <w:tc>
          <w:tcPr>
            <w:tcW w:type="dxa" w:w="3402"/>
          </w:tcPr>
          <w:p>
            <w:r/>
            <w:r>
              <w:rPr>
                <w:sz w:val="18"/>
              </w:rPr>
              <w:t>Faux plafonds</w:t>
            </w:r>
          </w:p>
        </w:tc>
        <w:tc>
          <w:tcPr>
            <w:tcW w:type="dxa" w:w="1701"/>
          </w:tcPr>
          <w:p>
            <w:r/>
            <w:r>
              <w:rPr>
                <w:sz w:val="18"/>
              </w:rPr>
              <w:t>Mois 4 - S1</w:t>
            </w:r>
          </w:p>
        </w:tc>
        <w:tc>
          <w:tcPr>
            <w:tcW w:type="dxa" w:w="1984"/>
          </w:tcPr>
          <w:p>
            <w:r/>
            <w:r>
              <w:rPr>
                <w:sz w:val="18"/>
              </w:rPr>
              <w:t>3 personnes</w:t>
            </w:r>
          </w:p>
        </w:tc>
        <w:tc>
          <w:tcPr>
            <w:tcW w:type="dxa" w:w="1984"/>
          </w:tcPr>
          <w:p>
            <w:r/>
            <w:r>
              <w:rPr>
                <w:sz w:val="18"/>
              </w:rPr>
              <w:t>jusqu'à 5 personnes</w:t>
            </w:r>
          </w:p>
        </w:tc>
      </w:tr>
      <w:tr>
        <w:tc>
          <w:tcPr>
            <w:tcW w:type="dxa" w:w="3402"/>
          </w:tcPr>
          <w:p>
            <w:r/>
            <w:r>
              <w:rPr>
                <w:sz w:val="18"/>
              </w:rPr>
              <w:t>Peinture</w:t>
            </w:r>
          </w:p>
        </w:tc>
        <w:tc>
          <w:tcPr>
            <w:tcW w:type="dxa" w:w="1701"/>
          </w:tcPr>
          <w:p>
            <w:r/>
            <w:r>
              <w:rPr>
                <w:sz w:val="18"/>
              </w:rPr>
              <w:t>Mois 4 - S2</w:t>
            </w:r>
          </w:p>
        </w:tc>
        <w:tc>
          <w:tcPr>
            <w:tcW w:type="dxa" w:w="1984"/>
          </w:tcPr>
          <w:p>
            <w:r/>
            <w:r>
              <w:rPr>
                <w:sz w:val="18"/>
              </w:rPr>
              <w:t>3 personnes</w:t>
            </w:r>
          </w:p>
        </w:tc>
        <w:tc>
          <w:tcPr>
            <w:tcW w:type="dxa" w:w="1984"/>
          </w:tcPr>
          <w:p>
            <w:r/>
            <w:r>
              <w:rPr>
                <w:sz w:val="18"/>
              </w:rPr>
              <w:t>jusqu'à 5 personnes</w:t>
            </w:r>
          </w:p>
        </w:tc>
      </w:tr>
      <w:tr>
        <w:tc>
          <w:tcPr>
            <w:tcW w:type="dxa" w:w="3402"/>
          </w:tcPr>
          <w:p>
            <w:r/>
            <w:r>
              <w:rPr>
                <w:sz w:val="18"/>
              </w:rPr>
              <w:t>Sols souples / reprises murales</w:t>
            </w:r>
          </w:p>
        </w:tc>
        <w:tc>
          <w:tcPr>
            <w:tcW w:type="dxa" w:w="1701"/>
          </w:tcPr>
          <w:p>
            <w:r/>
            <w:r>
              <w:rPr>
                <w:sz w:val="18"/>
              </w:rPr>
              <w:t>Mois 4 - S3</w:t>
            </w:r>
          </w:p>
        </w:tc>
        <w:tc>
          <w:tcPr>
            <w:tcW w:type="dxa" w:w="1984"/>
          </w:tcPr>
          <w:p>
            <w:r/>
            <w:r>
              <w:rPr>
                <w:sz w:val="18"/>
              </w:rPr>
              <w:t>2 personnes</w:t>
            </w:r>
          </w:p>
        </w:tc>
        <w:tc>
          <w:tcPr>
            <w:tcW w:type="dxa" w:w="1984"/>
          </w:tcPr>
          <w:p>
            <w:r/>
            <w:r>
              <w:rPr>
                <w:sz w:val="18"/>
              </w:rPr>
              <w:t>jusqu'à 5 personnes</w:t>
            </w:r>
          </w:p>
        </w:tc>
      </w:tr>
      <w:tr>
        <w:tc>
          <w:tcPr>
            <w:tcW w:type="dxa" w:w="3402"/>
          </w:tcPr>
          <w:p>
            <w:r/>
            <w:r>
              <w:rPr>
                <w:sz w:val="18"/>
              </w:rPr>
              <w:t>Nettoyage général / OPR / réserves</w:t>
            </w:r>
          </w:p>
        </w:tc>
        <w:tc>
          <w:tcPr>
            <w:tcW w:type="dxa" w:w="1701"/>
          </w:tcPr>
          <w:p>
            <w:r/>
            <w:r>
              <w:rPr>
                <w:sz w:val="18"/>
              </w:rPr>
              <w:t>Mois 5 - S4</w:t>
            </w:r>
          </w:p>
        </w:tc>
        <w:tc>
          <w:tcPr>
            <w:tcW w:type="dxa" w:w="1984"/>
          </w:tcPr>
          <w:p>
            <w:r/>
            <w:r>
              <w:rPr>
                <w:sz w:val="18"/>
              </w:rPr>
              <w:t>2 personnes</w:t>
            </w:r>
          </w:p>
        </w:tc>
        <w:tc>
          <w:tcPr>
            <w:tcW w:type="dxa" w:w="1984"/>
          </w:tcPr>
          <w:p>
            <w:r/>
            <w:r>
              <w:rPr>
                <w:sz w:val="18"/>
              </w:rPr>
              <w:t>—</w:t>
            </w:r>
          </w:p>
        </w:tc>
      </w:tr>
    </w:tbl>
    <w:p/>
    <w:p>
      <w:r>
        <w:rPr>
          <w:b w:val="0"/>
          <w:i w:val="0"/>
          <w:sz w:val="21"/>
        </w:rPr>
        <w:t>La possibilité de renforcer chaque équipe de production jusqu'à 5 personnes constitue notre principal outil de gestion des aléas de planning (cf. § 5.9) : elle permet d'absorber un retard ponctuel sans décaler la semaine suivante, en mobilisant du personnel supplémentaire qualifié issu du vivier France Décoration (cf. chapitre 3, § 3.4).</w:t>
      </w:r>
    </w:p>
    <w:p>
      <w:pPr>
        <w:spacing w:before="240" w:after="80"/>
      </w:pPr>
      <w:r>
        <w:rPr>
          <w:b/>
          <w:color w:val="1F3A5F"/>
          <w:sz w:val="24"/>
        </w:rPr>
        <w:t>5.8. Mesures mises en œuvre pour respecter le délai de 45 jours</w:t>
      </w:r>
    </w:p>
    <w:p>
      <w:r>
        <w:rPr>
          <w:b w:val="0"/>
          <w:i w:val="0"/>
          <w:sz w:val="21"/>
        </w:rPr>
        <w:t>France Décoration met en œuvre plusieurs leviers complémentaires pour garantir le respect du délai contractuel de 45 jours calendaires notifié au titre du Lot 3 :</w:t>
      </w:r>
    </w:p>
    <w:p>
      <w:pPr>
        <w:pStyle w:val="ListBullet"/>
      </w:pPr>
      <w:r>
        <w:rPr>
          <w:b/>
        </w:rPr>
        <w:t xml:space="preserve">Phasage compact — </w:t>
      </w:r>
      <w:r>
        <w:t>chaque semaine de production regroupe préparation des supports et mise en œuvre finale d'un même corps d'état, évitant toute rupture de charge entre équipes (cf. § 5.4) ;</w:t>
      </w:r>
    </w:p>
    <w:p>
      <w:pPr>
        <w:pStyle w:val="ListBullet"/>
      </w:pPr>
      <w:r>
        <w:rPr>
          <w:b/>
        </w:rPr>
        <w:t xml:space="preserve">Anticipation des approvisionnements — </w:t>
      </w:r>
      <w:r>
        <w:t>les commandes sont passées dès la période de préparation (Mois 1 - S4) pour sécuriser les délais fournisseurs avant le début de la production (cf. § 5.6) ;</w:t>
      </w:r>
    </w:p>
    <w:p>
      <w:pPr>
        <w:pStyle w:val="ListBullet"/>
      </w:pPr>
      <w:r>
        <w:rPr>
          <w:b/>
        </w:rPr>
        <w:t xml:space="preserve">Effectifs modulables — </w:t>
      </w:r>
      <w:r>
        <w:t>possibilité de mobiliser jusqu'à 5 personnes par phase de production sans recomposition d'équipe (cf. § 5.7) ;</w:t>
      </w:r>
    </w:p>
    <w:p>
      <w:pPr>
        <w:pStyle w:val="ListBullet"/>
      </w:pPr>
      <w:r>
        <w:rPr>
          <w:b/>
        </w:rPr>
        <w:t xml:space="preserve">Marge de sécurité intégrée — </w:t>
      </w:r>
      <w:r>
        <w:t>une marge de quatre semaines (Mois 4 - S4 à Mois 5 - S3) est positionnée avant la clôture du lot, absorbant tout retard sans exposer l'entreprise aux pénalités prévues au CCAP (cf. chapitre 1, § 1.5.2) ;</w:t>
      </w:r>
    </w:p>
    <w:p>
      <w:pPr>
        <w:pStyle w:val="ListBullet"/>
      </w:pPr>
      <w:r>
        <w:rPr>
          <w:b/>
        </w:rPr>
        <w:t xml:space="preserve">Suivi hebdomadaire — </w:t>
      </w:r>
      <w:r>
        <w:t>le Conducteur de Travaux assure un point d'avancement hebdomadaire avec la MOE, permettant une alerte précoce et une réaction immédiate en cas d'écart (cf. § 5.5).</w:t>
      </w:r>
    </w:p>
    <w:p>
      <w:pPr>
        <w:spacing w:before="240" w:after="80"/>
      </w:pPr>
      <w:r>
        <w:rPr>
          <w:b/>
          <w:color w:val="1F3A5F"/>
          <w:sz w:val="24"/>
        </w:rPr>
        <w:t>5.9. Gestion des aléas et mesures de rattrapage</w:t>
      </w:r>
    </w:p>
    <w:p>
      <w:r>
        <w:rPr>
          <w:b w:val="0"/>
          <w:i w:val="0"/>
          <w:sz w:val="21"/>
        </w:rPr>
        <w:t>Au-delà de la marge de sécurité intégrée au planning (§ 5.8), France Décoration dispose de mesures de rattrapage activables en cas d'aléa avéré (retard de mise à disposition des supports par un lot amont, indisponibilité ponctuelle de personnel, aléa technique) :</w:t>
      </w:r>
    </w:p>
    <w:tbl>
      <w:tblPr>
        <w:tblStyle w:val="TableGrid"/>
        <w:tblW w:type="auto" w:w="0"/>
        <w:jc w:val="center"/>
        <w:tblLook w:firstColumn="1" w:firstRow="1" w:lastColumn="0" w:lastRow="0" w:noHBand="0" w:noVBand="1" w:val="04A0"/>
      </w:tblPr>
      <w:tblGrid>
        <w:gridCol w:w="5100"/>
        <w:gridCol w:w="5100"/>
      </w:tblGrid>
      <w:tr>
        <w:tc>
          <w:tcPr>
            <w:tcW w:type="dxa" w:w="3969"/>
            <w:shd w:val="clear" w:color="auto" w:fill="2E74B5"/>
          </w:tcPr>
          <w:p>
            <w:r/>
            <w:r>
              <w:rPr>
                <w:b/>
                <w:color w:val="FFFFFF"/>
                <w:sz w:val="18"/>
              </w:rPr>
              <w:t>Type d'aléa</w:t>
            </w:r>
          </w:p>
        </w:tc>
        <w:tc>
          <w:tcPr>
            <w:tcW w:type="dxa" w:w="4819"/>
            <w:shd w:val="clear" w:color="auto" w:fill="2E74B5"/>
          </w:tcPr>
          <w:p>
            <w:r/>
            <w:r>
              <w:rPr>
                <w:b/>
                <w:color w:val="FFFFFF"/>
                <w:sz w:val="18"/>
              </w:rPr>
              <w:t>Mesure de rattrapage</w:t>
            </w:r>
          </w:p>
        </w:tc>
      </w:tr>
      <w:tr>
        <w:tc>
          <w:tcPr>
            <w:tcW w:type="dxa" w:w="3969"/>
          </w:tcPr>
          <w:p>
            <w:r/>
            <w:r>
              <w:rPr>
                <w:sz w:val="18"/>
              </w:rPr>
              <w:t>Retard de réception des supports (ex. renfort structurel Lot 1)</w:t>
            </w:r>
          </w:p>
        </w:tc>
        <w:tc>
          <w:tcPr>
            <w:tcW w:type="dxa" w:w="4819"/>
          </w:tcPr>
          <w:p>
            <w:r/>
            <w:r>
              <w:rPr>
                <w:sz w:val="18"/>
              </w:rPr>
              <w:t>Basculement anticipé sur les ouvrages non impactés (ex. faux plafonds hors zone scanner) pendant la levée de la réserve amont</w:t>
            </w:r>
          </w:p>
        </w:tc>
      </w:tr>
      <w:tr>
        <w:tc>
          <w:tcPr>
            <w:tcW w:type="dxa" w:w="3969"/>
          </w:tcPr>
          <w:p>
            <w:r/>
            <w:r>
              <w:rPr>
                <w:sz w:val="18"/>
              </w:rPr>
              <w:t>Aléa technique ponctuel (non-conformité de support, reprise)</w:t>
            </w:r>
          </w:p>
        </w:tc>
        <w:tc>
          <w:tcPr>
            <w:tcW w:type="dxa" w:w="4819"/>
          </w:tcPr>
          <w:p>
            <w:r/>
            <w:r>
              <w:rPr>
                <w:sz w:val="18"/>
              </w:rPr>
              <w:t>Mobilisation immédiate de personnel supplémentaire (jusqu'à 5 pers./phase) sans attendre la semaine suivante</w:t>
            </w:r>
          </w:p>
        </w:tc>
      </w:tr>
      <w:tr>
        <w:tc>
          <w:tcPr>
            <w:tcW w:type="dxa" w:w="3969"/>
          </w:tcPr>
          <w:p>
            <w:r/>
            <w:r>
              <w:rPr>
                <w:sz w:val="18"/>
              </w:rPr>
              <w:t>Absence imprévue de personnel d'encadrement</w:t>
            </w:r>
          </w:p>
        </w:tc>
        <w:tc>
          <w:tcPr>
            <w:tcW w:type="dxa" w:w="4819"/>
          </w:tcPr>
          <w:p>
            <w:r/>
            <w:r>
              <w:rPr>
                <w:sz w:val="18"/>
              </w:rPr>
              <w:t>Continuité assurée par doublement des fonctions Conducteur de Travaux / Chef de Chantier (cf. chapitre 3, § 3.12)</w:t>
            </w:r>
          </w:p>
        </w:tc>
      </w:tr>
      <w:tr>
        <w:tc>
          <w:tcPr>
            <w:tcW w:type="dxa" w:w="3969"/>
          </w:tcPr>
          <w:p>
            <w:r/>
            <w:r>
              <w:rPr>
                <w:sz w:val="18"/>
              </w:rPr>
              <w:t>Décalage ponctuel de l'accès à une zone (contrainte d'exploitation hospitalière)</w:t>
            </w:r>
          </w:p>
        </w:tc>
        <w:tc>
          <w:tcPr>
            <w:tcW w:type="dxa" w:w="4819"/>
          </w:tcPr>
          <w:p>
            <w:r/>
            <w:r>
              <w:rPr>
                <w:sz w:val="18"/>
              </w:rPr>
              <w:t>Report de la semaine concernée sur la marge de sécurité (Mois 4 - S4 à Mois 5 - S3) sans impact sur la date de clôture</w:t>
            </w:r>
          </w:p>
        </w:tc>
      </w:tr>
    </w:tbl>
    <w:p/>
    <w:p>
      <w:r>
        <w:rPr>
          <w:b w:val="0"/>
          <w:i w:val="0"/>
          <w:sz w:val="21"/>
        </w:rPr>
        <w:t>Ces mesures sont mobilisées sur décision du Conducteur de Travaux, en concertation avec la MOE lors des réunions de chantier hebdomadaires, de manière à préserver la date de réception finale même en cas de cumul de plusieurs aléas mineurs.</w:t>
      </w:r>
    </w:p>
    <w:p>
      <w:pPr>
        <w:spacing w:before="240" w:after="80"/>
      </w:pPr>
      <w:r>
        <w:rPr>
          <w:b/>
          <w:color w:val="1F3A5F"/>
          <w:sz w:val="24"/>
        </w:rPr>
        <w:t>5.10. Organisation des finitions, OPR et levée des réserves</w:t>
      </w:r>
    </w:p>
    <w:p>
      <w:r>
        <w:rPr>
          <w:b w:val="0"/>
          <w:i w:val="0"/>
          <w:sz w:val="21"/>
        </w:rPr>
        <w:t>La clôture du lot est organisée sur la dernière semaine du calendrier (Mois 5 - S4), mobilisant 2 personnes sur trois journées dédiées :</w:t>
      </w:r>
    </w:p>
    <w:tbl>
      <w:tblPr>
        <w:tblStyle w:val="TableGrid"/>
        <w:tblW w:type="auto" w:w="0"/>
        <w:jc w:val="center"/>
        <w:tblLook w:firstColumn="1" w:firstRow="1" w:lastColumn="0" w:lastRow="0" w:noHBand="0" w:noVBand="1" w:val="04A0"/>
      </w:tblPr>
      <w:tblGrid>
        <w:gridCol w:w="3400"/>
        <w:gridCol w:w="3400"/>
        <w:gridCol w:w="3400"/>
      </w:tblGrid>
      <w:tr>
        <w:tc>
          <w:tcPr>
            <w:tcW w:type="dxa" w:w="1020"/>
            <w:shd w:val="clear" w:color="auto" w:fill="2E74B5"/>
          </w:tcPr>
          <w:p>
            <w:r/>
            <w:r>
              <w:rPr>
                <w:b/>
                <w:color w:val="FFFFFF"/>
                <w:sz w:val="18"/>
              </w:rPr>
              <w:t>Jour</w:t>
            </w:r>
          </w:p>
        </w:tc>
        <w:tc>
          <w:tcPr>
            <w:tcW w:type="dxa" w:w="2835"/>
            <w:shd w:val="clear" w:color="auto" w:fill="2E74B5"/>
          </w:tcPr>
          <w:p>
            <w:r/>
            <w:r>
              <w:rPr>
                <w:b/>
                <w:color w:val="FFFFFF"/>
                <w:sz w:val="18"/>
              </w:rPr>
              <w:t>Opération</w:t>
            </w:r>
          </w:p>
        </w:tc>
        <w:tc>
          <w:tcPr>
            <w:tcW w:type="dxa" w:w="4932"/>
            <w:shd w:val="clear" w:color="auto" w:fill="2E74B5"/>
          </w:tcPr>
          <w:p>
            <w:r/>
            <w:r>
              <w:rPr>
                <w:b/>
                <w:color w:val="FFFFFF"/>
                <w:sz w:val="18"/>
              </w:rPr>
              <w:t>Contenu</w:t>
            </w:r>
          </w:p>
        </w:tc>
      </w:tr>
      <w:tr>
        <w:tc>
          <w:tcPr>
            <w:tcW w:type="dxa" w:w="1020"/>
          </w:tcPr>
          <w:p>
            <w:r/>
            <w:r>
              <w:rPr>
                <w:sz w:val="18"/>
              </w:rPr>
              <w:t>Jour 1</w:t>
            </w:r>
          </w:p>
        </w:tc>
        <w:tc>
          <w:tcPr>
            <w:tcW w:type="dxa" w:w="2835"/>
          </w:tcPr>
          <w:p>
            <w:r/>
            <w:r>
              <w:rPr>
                <w:sz w:val="18"/>
              </w:rPr>
              <w:t>Nettoyage général</w:t>
            </w:r>
          </w:p>
        </w:tc>
        <w:tc>
          <w:tcPr>
            <w:tcW w:type="dxa" w:w="4932"/>
          </w:tcPr>
          <w:p>
            <w:r/>
            <w:r>
              <w:rPr>
                <w:sz w:val="18"/>
              </w:rPr>
              <w:t>Nettoyage fin de chantier de l'ensemble des zones d'intervention (faux plafonds, peinture, sols), évacuation des déchets et reconditionnement des locaux avant réception</w:t>
            </w:r>
          </w:p>
        </w:tc>
      </w:tr>
      <w:tr>
        <w:tc>
          <w:tcPr>
            <w:tcW w:type="dxa" w:w="1020"/>
          </w:tcPr>
          <w:p>
            <w:r/>
            <w:r>
              <w:rPr>
                <w:sz w:val="18"/>
              </w:rPr>
              <w:t>Jour 2</w:t>
            </w:r>
          </w:p>
        </w:tc>
        <w:tc>
          <w:tcPr>
            <w:tcW w:type="dxa" w:w="2835"/>
          </w:tcPr>
          <w:p>
            <w:r/>
            <w:r>
              <w:rPr>
                <w:sz w:val="18"/>
              </w:rPr>
              <w:t>Opérations Préalables à la Réception (OPR)</w:t>
            </w:r>
          </w:p>
        </w:tc>
        <w:tc>
          <w:tcPr>
            <w:tcW w:type="dxa" w:w="4932"/>
          </w:tcPr>
          <w:p>
            <w:r/>
            <w:r>
              <w:rPr>
                <w:sz w:val="18"/>
              </w:rPr>
              <w:t>Visite contradictoire avec la MOE et l'AP-HP, contrôle de conformité des ouvrages aux exigences du CCTP et relevé des désordres éventuels</w:t>
            </w:r>
          </w:p>
        </w:tc>
      </w:tr>
      <w:tr>
        <w:tc>
          <w:tcPr>
            <w:tcW w:type="dxa" w:w="1020"/>
          </w:tcPr>
          <w:p>
            <w:r/>
            <w:r>
              <w:rPr>
                <w:sz w:val="18"/>
              </w:rPr>
              <w:t>Jour 3</w:t>
            </w:r>
          </w:p>
        </w:tc>
        <w:tc>
          <w:tcPr>
            <w:tcW w:type="dxa" w:w="2835"/>
          </w:tcPr>
          <w:p>
            <w:r/>
            <w:r>
              <w:rPr>
                <w:sz w:val="18"/>
              </w:rPr>
              <w:t>Levée des réserves</w:t>
            </w:r>
          </w:p>
        </w:tc>
        <w:tc>
          <w:tcPr>
            <w:tcW w:type="dxa" w:w="4932"/>
          </w:tcPr>
          <w:p>
            <w:r/>
            <w:r>
              <w:rPr>
                <w:sz w:val="18"/>
              </w:rPr>
              <w:t>Reprises ponctuelles identifiées lors de l'OPR, avec repasse et validation contradictoire avant remise du DOE</w:t>
            </w:r>
          </w:p>
        </w:tc>
      </w:tr>
    </w:tbl>
    <w:p/>
    <w:p>
      <w:r>
        <w:rPr>
          <w:b w:val="0"/>
          <w:i w:val="0"/>
          <w:sz w:val="21"/>
        </w:rPr>
        <w:t>Cette organisation resserrée sur trois journées est rendue possible par les autocontrôles menés en continu tout au long des phases de production (cf. chapitre 2, § 2.11), qui limitent le volume de réserves relevées lors de l'OPR. Le Dossier des Ouvrages Exécutés (DOE), intégrant l'ensemble des fiches techniques, FDS, PV et certificats produits (cf. chapitre 4, § 4.10), est constitué en parallèle de ces opérations et remis à la clôture du lot (cf. chapitre 2, § 2.13).</w:t>
      </w:r>
    </w:p>
    <w:p/>
    <w:p>
      <w:r>
        <w:rPr>
          <w:i/>
          <w:color w:val="595959"/>
          <w:sz w:val="17"/>
        </w:rPr>
        <w:t>Chapitre établi à partir du planning prévisionnel Lot 3 de France Décoration (fichier Planning.xlsx), lui-même construit sur la base du calendrier des travaux de la Maîtrise d'Œuvre (« RENE MURET SCANNER — Calendrier des travaux V2 »).</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