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Analyse d'Appel d'Offres</w:t>
      </w:r>
    </w:p>
    <w:p>
      <w:r>
        <w:rPr>
          <w:i/>
          <w:color w:val="595959"/>
          <w:sz w:val="24"/>
        </w:rPr>
        <w:t>Marché 26 RMB 41 TVX — Création d'un nouveau scanner à l'hôpital René Muret (AP-HP)</w:t>
      </w:r>
    </w:p>
    <w:p>
      <w:r>
        <w:rPr>
          <w:b/>
          <w:i w:val="0"/>
          <w:color w:val="2E74B5"/>
          <w:sz w:val="26"/>
        </w:rPr>
        <w:t>Lot 3 — Faux Plafonds • Peinture • Sols Souples</w:t>
      </w:r>
    </w:p>
    <w:p>
      <w:r>
        <w:rPr>
          <w:b w:val="0"/>
          <w:i/>
          <w:color w:val="595959"/>
          <w:sz w:val="21"/>
        </w:rPr>
        <w:t>Note de synthèse à destination de France Décoration — Date d'analyse : 24 août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803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Maître d'ouvrage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AP-HP — Hôpitaux Universitaires Paris Seine-Saint-Denis (HUPSSD)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Site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Hôpital René Muret, avenue du Dr Schaeffner, 93270 Sevran (bâtiment Madeleine Brès)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Objet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Travaux de création d'un nouveau scanner (réaménagement d'une ancienne zone de radiologie, RDC)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N° de consultation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26 RMB 41 TVX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Procédure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MAPA ouvert (art. R2123-4 à R2123-7 CCP) — allotissement en 6 lots séparés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Lot concerné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Lot 3 — Faux Plafonds - Peinture - Sols Souples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Maîtrise d'œuvre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Groupement EXAEQUO INGENIERIE (mandataire/BET) / URUK V (architecte) / EVTB (économiste)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Date limite de remise des offres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08 septembre 2026 à 12h00 (plateforme marches-publics.gouv.fr uniquement)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Visite de site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OBLIGATOIRE — attestation à joindre à l'offre (contacts : M. Vannex / Mme Tamazirt)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1. Synthèse — points clés pour la décision de candidater</w:t>
      </w:r>
    </w:p>
    <w:p>
      <w:pPr>
        <w:pStyle w:val="ListBullet"/>
      </w:pPr>
      <w:r>
        <w:t>Marché alloti en 6 lots séparés ; possibilité de candidater sur le Lot 3 seul, sans groupement obligatoire.</w:t>
      </w:r>
    </w:p>
    <w:p>
      <w:pPr>
        <w:pStyle w:val="ListBullet"/>
      </w:pPr>
      <w:r>
        <w:t>Le dossier de réponse est déjà partiellement engagé : l'acte d'engagement (Lot_3_AE_v0) est pré-rempli au nom de France Décoration (SIRET 823 616 461 00021), signataire M. Waseem Akram, Président — la société semble déjà en cours de constitution de son offre.</w:t>
      </w:r>
    </w:p>
    <w:p>
      <w:pPr>
        <w:pStyle w:val="ListBullet"/>
      </w:pPr>
      <w:r>
        <w:t>Critères de jugement très orientés « valeur technique » : 60% technique / 40% prix — le mémoire technique sera déterminant, notamment la partie environnementale (15%) et la qualité des matériaux (15%).</w:t>
      </w:r>
    </w:p>
    <w:p>
      <w:pPr>
        <w:pStyle w:val="ListBullet"/>
      </w:pPr>
      <w:r>
        <w:t>Qualifications professionnelles exigées pour le Lot 3 : QUALIBAT 6111 - 6222 - 6611 (à vérifier/justifier dans le dossier de candidature).</w:t>
      </w:r>
    </w:p>
    <w:p>
      <w:pPr>
        <w:pStyle w:val="ListBullet"/>
      </w:pPr>
      <w:r>
        <w:t>Chantier en site hospitalier en activité (ERP type U, 3ᵉ catégorie) : contraintes fortes de sécurité incendie (SSI catégorie A), de propreté et de phasage — le lot dépend de l'avancement des lots 1, 2, 4 et 5 qui l'engagent (calendrier en chaîne).</w:t>
      </w:r>
    </w:p>
    <w:p>
      <w:pPr>
        <w:pStyle w:val="ListBullet"/>
      </w:pPr>
      <w:r>
        <w:t>Point de vigilance structurel majeur : un diagnostic GEOTEC a mis en évidence un déficit de portance du plancher/poutre au droit de la future salle scanner ; un renfort métallique (profilés HEB 220, à la charge du Lot 1 - PSE4) est nécessaire avant la pose des ouvrages du Lot 3 (faux plafonds/sols). Le planning du Lot 3 est donc conditionné à la bonne exécution de ce renfort.</w:t>
      </w:r>
    </w:p>
    <w:p>
      <w:pPr>
        <w:pStyle w:val="ListBullet"/>
      </w:pPr>
      <w:r>
        <w:t>Régime de pénalités très strict et sans mise en demeure préalable (nombreuses pénalités journalières cumulables : retard global 500€/j, documents 500€/j, sécurité/hygiène 200€/j, bruit 500€/j, etc.) — à intégrer dans le chiffrage du risque.</w:t>
      </w:r>
    </w:p>
    <w:p>
      <w:pPr>
        <w:pStyle w:val="ListBullet"/>
      </w:pPr>
      <w:r>
        <w:t>Garanties particulières longues sur les ouvrages du lot : 10 ans sur les peintures (maçonnerie/enduits/serrurerie) et sur les systèmes de protection sur bois, en sus de la garantie décennale/parfait achèvement classique.</w:t>
      </w:r>
    </w:p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2. Calendrier de la consultation et de l'exécution</w:t>
      </w:r>
    </w:p>
    <w:p>
      <w:pPr>
        <w:spacing w:before="200" w:after="80"/>
      </w:pPr>
      <w:r>
        <w:rPr>
          <w:b/>
          <w:color w:val="1F3A5F"/>
          <w:sz w:val="23"/>
        </w:rPr>
        <w:t>2.1 Dates de la consultation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4819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Date / Délai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Visite de site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Obligatoire avant remise d'offre (attestation signée à joindre)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Demande de renseignements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Au plus tard 10 jours avant la remise des offres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Réponse du pouvoir adjudicateur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Au plus tard 6 jours avant la remise des offres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Remise des offres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08/09/2026 à 12h00 — dématérialisée uniquement (marches-publics.gouv.fr)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Validité des offres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180 jours à compter de la date limite de remise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Délai de production des certificats (si retenu)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15 jours maximum après classement provisoire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2.2 Phasage prévisionnel des travaux (calendrier des travaux V2)</w:t>
      </w:r>
    </w:p>
    <w:p>
      <w:r>
        <w:rPr>
          <w:b w:val="0"/>
          <w:i w:val="0"/>
          <w:sz w:val="21"/>
        </w:rPr>
        <w:t>Démarrage prévu : second semestre 2026. Durée globale : 5 mois dont 1 mois de préparation de chantier (congés payés inclus).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Lot</w:t>
            </w:r>
          </w:p>
        </w:tc>
        <w:tc>
          <w:tcPr>
            <w:tcW w:type="dxa" w:w="4535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Désignation</w:t>
            </w:r>
          </w:p>
        </w:tc>
        <w:tc>
          <w:tcPr>
            <w:tcW w:type="dxa" w:w="130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Durée (j)</w:t>
            </w:r>
          </w:p>
        </w:tc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Positionnement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Démolitions - Maçonnerie - Cloisonnement - Plâtrerie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60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Mois 2-3 (démarre après la préparation)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Menuiseries intérieures - Meubles spéciaux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Mois 3-5, par phases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Faux Plafonds - Peinture - Sols Souples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45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Mois 4-5 (après gros œuvre / cloisonnement)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Électricité CFO-CFA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105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Mois 2 à 5 (fil rouge du chantier)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Chauffage - Plomberie - Climatisation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105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Mois 2 à 5 (fil rouge du chantier)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Fluides médicaux</w:t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Mois 2 et mois 4-5</w:t>
            </w:r>
          </w:p>
        </w:tc>
      </w:tr>
    </w:tbl>
    <w:p>
      <w:r>
        <w:rPr>
          <w:b w:val="0"/>
          <w:i/>
          <w:color w:val="B03A2E"/>
          <w:sz w:val="21"/>
        </w:rPr>
        <w:t>⚠ Le Lot 3 intervient en fin de chaîne : tout retard des lots 1 (gros œuvre / renfort structurel), 4 et 5 (réseaux à intégrer aux plénums de faux plafonds) se répercute directement sur sa fenêtre d'intervention (45 jours seulement).</w:t>
      </w:r>
    </w:p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3. Procédure, pièces à fournir et critères de jugement</w:t>
      </w:r>
    </w:p>
    <w:p>
      <w:pPr>
        <w:spacing w:before="200" w:after="80"/>
      </w:pPr>
      <w:r>
        <w:rPr>
          <w:b/>
          <w:color w:val="1F3A5F"/>
          <w:sz w:val="23"/>
        </w:rPr>
        <w:t>3.1 Critères de jugement des offres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5386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Sous-critère</w:t>
            </w:r>
          </w:p>
        </w:tc>
        <w:tc>
          <w:tcPr>
            <w:tcW w:type="dxa" w:w="1701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Pondération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Valeur technique (60%)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Organisation / méthodologie en site hospitalier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Moyens matériels &amp; effectifs (organigramme, CV)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Qualité des matériaux et matériels employés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Optimisation du planning d'exécution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Démarche environnementale (méthodo, économie circulaire/déchets, indicateurs)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Prix (40%)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Offre financière (DPGF)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40%</w:t>
            </w:r>
          </w:p>
        </w:tc>
      </w:tr>
    </w:tbl>
    <w:p>
      <w:r>
        <w:rPr>
          <w:b w:val="0"/>
          <w:i/>
          <w:sz w:val="21"/>
        </w:rPr>
        <w:t>Le pouvoir adjudicateur se réserve le droit de négocier avec le(s) mieux classé(s), mais peut aussi attribuer sans négociation.</w:t>
      </w:r>
    </w:p>
    <w:p>
      <w:pPr>
        <w:spacing w:before="200" w:after="80"/>
      </w:pPr>
      <w:r>
        <w:rPr>
          <w:b/>
          <w:color w:val="1F3A5F"/>
          <w:sz w:val="23"/>
        </w:rPr>
        <w:t>3.2 Pièces de candidature (checklist)</w:t>
      </w:r>
    </w:p>
    <w:p>
      <w:pPr>
        <w:pStyle w:val="ListBullet"/>
      </w:pPr>
      <w:r>
        <w:t>DC1 (ou déclaration sur l'honneur) + DC2, ou DUME</w:t>
      </w:r>
    </w:p>
    <w:p>
      <w:pPr>
        <w:pStyle w:val="ListBullet"/>
      </w:pPr>
      <w:r>
        <w:t>Chiffre d'affaires (3 derniers exercices) + attestations bancaires/assurance</w:t>
      </w:r>
    </w:p>
    <w:p>
      <w:pPr>
        <w:pStyle w:val="ListBullet"/>
      </w:pPr>
      <w:r>
        <w:t>Effectifs moyens annuels et encadrement (3 dernières années)</w:t>
      </w:r>
    </w:p>
    <w:p>
      <w:pPr>
        <w:pStyle w:val="ListBullet"/>
      </w:pPr>
      <w:r>
        <w:t>Références de travaux similaires (5 dernières années) avec attestations de bonne exécution, dont en ERP/milieu hospitalier</w:t>
      </w:r>
    </w:p>
    <w:p>
      <w:pPr>
        <w:pStyle w:val="ListBullet"/>
      </w:pPr>
      <w:r>
        <w:t>Certificats/qualifications QUALIBAT 6111 - 6222 - 6611 (ou équivalence démontrée)</w:t>
      </w:r>
    </w:p>
    <w:p>
      <w:pPr>
        <w:pStyle w:val="ListBullet"/>
      </w:pPr>
      <w:r>
        <w:t>Attestations fiscales et sociales à jour, Kbis (&lt; 3 mois), RIB</w:t>
      </w:r>
    </w:p>
    <w:p>
      <w:pPr>
        <w:pStyle w:val="ListBullet"/>
      </w:pPr>
      <w:r>
        <w:t>Attestation de visite de site signée</w:t>
      </w:r>
    </w:p>
    <w:p>
      <w:pPr>
        <w:spacing w:before="200" w:after="80"/>
      </w:pPr>
      <w:r>
        <w:rPr>
          <w:b/>
          <w:color w:val="1F3A5F"/>
          <w:sz w:val="23"/>
        </w:rPr>
        <w:t>3.3 Pièces de l'offre</w:t>
      </w:r>
    </w:p>
    <w:p>
      <w:pPr>
        <w:pStyle w:val="ListBullet"/>
      </w:pPr>
      <w:r>
        <w:t>Acte d'engagement (AE) complété et signé pour le Lot 3</w:t>
      </w:r>
    </w:p>
    <w:p>
      <w:pPr>
        <w:pStyle w:val="ListBullet"/>
      </w:pPr>
      <w:r>
        <w:t>DPGF complétée — 1 version PDF + 1 version Excel obligatoires</w:t>
      </w:r>
    </w:p>
    <w:p>
      <w:pPr>
        <w:pStyle w:val="ListBullet"/>
      </w:pPr>
      <w:r>
        <w:t>Attestation d'acceptation du CCAP et du CCTP (annexe 1 du CCAP)</w:t>
      </w:r>
    </w:p>
    <w:p>
      <w:pPr>
        <w:pStyle w:val="ListBullet"/>
      </w:pPr>
      <w:r>
        <w:t>Mémoire technique détaillé (cf. critères ci-dessus — c'est la pièce qui pèse le plus lourd, 60% de la note)</w:t>
      </w:r>
    </w:p>
    <w:p>
      <w:pPr>
        <w:pStyle w:val="ListBullet"/>
      </w:pPr>
      <w:r>
        <w:t>Engagement écrit : travaux non interrompus et effectifs constants en période estivale (juin-août)</w:t>
      </w:r>
    </w:p>
    <w:p>
      <w:pPr>
        <w:pStyle w:val="ListBullet"/>
      </w:pPr>
      <w:r>
        <w:t>Attestations d'assurance (Dommages + Responsabilité, incluant décennale)</w:t>
      </w:r>
    </w:p>
    <w:p>
      <w:pPr>
        <w:pStyle w:val="ListBullet"/>
      </w:pPr>
      <w:r>
        <w:t>Fiche de contact fournisseur (adresse mail utilisée pour tous les échanges post-remise, y compris négociation)</w:t>
      </w:r>
    </w:p>
    <w:p>
      <w:r>
        <w:rPr>
          <w:b w:val="0"/>
          <w:i/>
          <w:color w:val="595959"/>
          <w:sz w:val="21"/>
        </w:rPr>
        <w:t>Nommage des fichiers imposé : préfixer d'un tiret bas « _ » les pièces prioritaires (AE, tableau de prix, pouvoir, DC1/DC2, attestation de visite, Kbis, attestations fiscales/sociales, RIB).</w:t>
      </w:r>
    </w:p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4. Contenu technique du Lot 3 (CCTP)</w:t>
      </w:r>
    </w:p>
    <w:p>
      <w:pPr>
        <w:spacing w:before="200" w:after="80"/>
      </w:pPr>
      <w:r>
        <w:rPr>
          <w:b/>
          <w:color w:val="1F3A5F"/>
          <w:sz w:val="23"/>
        </w:rPr>
        <w:t>4.1 Faux plafonds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2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Ouvrage</w:t>
            </w:r>
          </w:p>
        </w:tc>
        <w:tc>
          <w:tcPr>
            <w:tcW w:type="dxa" w:w="243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Produit prescrit</w:t>
            </w:r>
          </w:p>
        </w:tc>
        <w:tc>
          <w:tcPr>
            <w:tcW w:type="dxa" w:w="2381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Caractéristiques</w:t>
            </w:r>
          </w:p>
        </w:tc>
        <w:tc>
          <w:tcPr>
            <w:tcW w:type="dxa" w:w="260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Localisation (extrait)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Faux plafond Hygiène Performance A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Ecophon Hygiène Performance A (Akutex HS) ou équiv.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600x600, ép. 20mm, classement A, EN13501-1 A2-s1,d0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Sanitaires, LT électrique, WC, salle de détente, secrétariat…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Faux plafond Hygiène Protect Air A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Ecophon Hygiène Protect Air A (Akutex HP) ou équiv.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600x600, ép. 20mm, classement B, A2-s1,d0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Scanner, salle claire, accès accueil radio, déshabilloirs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Jouées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Placostil BA13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Provision 20 ml x 0,60 m hauteur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Liaisons entre niveaux de plafonds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Grilles de ventilation plénum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Aluminium laqué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Provision 5 unités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Selon présence de fluides médicaux en plénum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Dépose/repose plafonds existants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Provision 67 m², constat contradictoire avant dépose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4.2 Peinture</w:t>
      </w:r>
    </w:p>
    <w:p>
      <w:r>
        <w:rPr>
          <w:b w:val="0"/>
          <w:i w:val="0"/>
          <w:sz w:val="21"/>
        </w:rPr>
        <w:t>Système CAPAROL Indeko (Fix + Satin, faible C.O.V., Ecolabel) ou équivalent, en finition A (murs/plafonds) et B (métaux/PVC). Garantie particulière de 10 ans sur les peintures appliquées sur maçonnerie/enduits/serrurerie.</w:t>
      </w:r>
    </w:p>
    <w:p>
      <w:r>
        <w:rPr>
          <w:b w:val="0"/>
          <w:i w:val="0"/>
          <w:sz w:val="21"/>
        </w:rPr>
        <w:t>Provision spécifique : reprise de peinture en circulation N°5 — 70 m².</w:t>
      </w:r>
    </w:p>
    <w:p>
      <w:r>
        <w:rPr>
          <w:b w:val="0"/>
          <w:i w:val="0"/>
          <w:sz w:val="21"/>
        </w:rPr>
        <w:t>Locaux traités : ensemble des locaux du projet (salle de détente, secrétariat/accueil, sanitaires, accès radio/écho, scanner, salle claire, déshabilloirs, box, GT, LT électrique…).</w:t>
      </w:r>
    </w:p>
    <w:p>
      <w:pPr>
        <w:spacing w:before="200" w:after="80"/>
      </w:pPr>
      <w:r>
        <w:rPr>
          <w:b/>
          <w:color w:val="1F3A5F"/>
          <w:sz w:val="23"/>
        </w:rPr>
        <w:t>4.3 Sols souples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1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Ouvrage</w:t>
            </w:r>
          </w:p>
        </w:tc>
        <w:tc>
          <w:tcPr>
            <w:tcW w:type="dxa" w:w="2494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Produit prescrit</w:t>
            </w:r>
          </w:p>
        </w:tc>
        <w:tc>
          <w:tcPr>
            <w:tcW w:type="dxa" w:w="2438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Caractéristiques</w:t>
            </w:r>
          </w:p>
        </w:tc>
        <w:tc>
          <w:tcPr>
            <w:tcW w:type="dxa" w:w="2551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Localisation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Sol PVC compact imprimé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Gerflor Taralay Impression Compact ou équiv.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2,00mm (usure 0,70mm), classt 33-42, UPEC U3P3E2/3C2, Bfl-s1, R10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Locaux courants / sanitaires / secrétariat / LT élec.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Sol homogène compact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Gerflor Taralay Mipolam Planet ou équiv.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2,00mm, classt 34-43, UPEC U3P3E2/3C2, Bfl-s1, R9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Scanner, salle claire, accès accueil radio, déshabilloirs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Ragréage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Weber &amp; Broutin Nivdur S (P3) ou équiv.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Épaisseur mini 3mm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Sur toute la surface des aires de pose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9"/>
              </w:rPr>
              <w:t>Plinthes / barres de seuil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Profil Gerflor réf. 0488 / seuils laiton 35mm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Remontée en plinthe 0,10m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Selon calepinage</w:t>
            </w:r>
          </w:p>
        </w:tc>
      </w:tr>
    </w:tbl>
    <w:p>
      <w:r>
        <w:rPr>
          <w:b w:val="0"/>
          <w:i/>
          <w:sz w:val="21"/>
        </w:rPr>
        <w:t>Garantie décennale d'indécollabilité exigée sur les revêtements de sols souples.</w:t>
      </w:r>
    </w:p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5. Conditions financières et contractuelles (CCAP)</w:t>
      </w:r>
    </w:p>
    <w:p>
      <w:pPr>
        <w:spacing w:before="200" w:after="80"/>
      </w:pPr>
      <w:r>
        <w:rPr>
          <w:b/>
          <w:color w:val="1F3A5F"/>
          <w:sz w:val="23"/>
        </w:rPr>
        <w:t>5.1 Prix et révision</w:t>
      </w:r>
    </w:p>
    <w:p>
      <w:pPr>
        <w:pStyle w:val="ListBullet"/>
      </w:pPr>
      <w:r>
        <w:t>Prix global et forfaitaire, hors TVA, réputé intégrer tous les aléas normalement prévisibles (le quantitatif est à vérifier par le candidat avant remise d'offre — aucune réclamation possible après signature).</w:t>
      </w:r>
    </w:p>
    <w:p>
      <w:pPr>
        <w:pStyle w:val="ListBullet"/>
      </w:pPr>
      <w:r>
        <w:t>Formule de révision : P = Po x [0,125 + 0,875(Z)], avec pour le Lot 3 : BT08 (30%), BT10 (45%), BT25 (25%).</w:t>
      </w:r>
    </w:p>
    <w:p>
      <w:pPr>
        <w:pStyle w:val="ListBullet"/>
      </w:pPr>
      <w:r>
        <w:t>Dérogations CCAG notables : seuil de bouleversement porté à 15% (au lieu de 10%) de la masse initiale ; augmentation/diminution limite portée à 15%.</w:t>
      </w:r>
    </w:p>
    <w:p>
      <w:pPr>
        <w:spacing w:before="200" w:after="80"/>
      </w:pPr>
      <w:r>
        <w:rPr>
          <w:b/>
          <w:color w:val="1F3A5F"/>
          <w:sz w:val="23"/>
        </w:rPr>
        <w:t>5.2 Garanties financières et avance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Point</w:t>
            </w:r>
          </w:p>
        </w:tc>
        <w:tc>
          <w:tcPr>
            <w:tcW w:type="dxa" w:w="6520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Règle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Retenue de garantie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5% du montant du marché (3% pour les PME) — remplaçable par caution/garantie à 1ère demande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Avance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5% du montant initial TTC (10% pour les PME), sous condition de garantie à 1ère demande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Délai global de paiement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50 jours maximum (Chorus Pro obligatoire)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Délai de validité de l'offre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180 jours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5.3 Pénalités (application sans mise en demeure préalable, dérogation à l'exonération)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953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Motif</w:t>
            </w:r>
          </w:p>
        </w:tc>
        <w:tc>
          <w:tcPr>
            <w:tcW w:type="dxa" w:w="3402"/>
            <w:shd w:val="clear" w:color="auto" w:fill="2E74B5"/>
          </w:tcPr>
          <w:p>
            <w:r/>
            <w:r>
              <w:rPr>
                <w:b/>
                <w:color w:val="FFFFFF"/>
                <w:sz w:val="19"/>
              </w:rPr>
              <w:t>Montant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sur délai global d'exécution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remise de documents (calendrier)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demande d'acceptation sous-traitant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installation/repliement de chantier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Bruit de chantier hors limites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Sécurité / gardiennage / hygiène / signalisation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Dépôt de gravois hors zones prescrites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200 € par infraction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nettoyage / évacuation gravois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/ absence rendez-vous de chantier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200 € par occurrence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présentation échantillons / locaux témoins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150 €/jour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Retard documents après exécution (DOE)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500 €/jour calendaire</w:t>
            </w:r>
          </w:p>
        </w:tc>
      </w:tr>
      <w:tr>
        <w:tc>
          <w:tcPr>
            <w:tcW w:type="dxa" w:w="5953"/>
          </w:tcPr>
          <w:p>
            <w:r/>
            <w:r>
              <w:rPr>
                <w:sz w:val="19"/>
              </w:rPr>
              <w:t>Travail dissimulé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10% du montant TTC du marché</w:t>
            </w:r>
          </w:p>
        </w:tc>
      </w:tr>
    </w:tbl>
    <w:p>
      <w:r>
        <w:rPr>
          <w:b w:val="0"/>
          <w:i/>
          <w:color w:val="B03A2E"/>
          <w:sz w:val="21"/>
        </w:rPr>
        <w:t>Ces pénalités sont cumulables entre elles et retenues sur les décomptes mensuels : un chiffrage prudent des aléas de planning (dépendance aux lots amont) est recommandé.</w:t>
      </w:r>
    </w:p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6. Contraintes de site et sécurité</w:t>
      </w:r>
    </w:p>
    <w:p>
      <w:pPr>
        <w:pStyle w:val="ListBullet"/>
      </w:pPr>
      <w:r>
        <w:t>Établissement recevant du public de type U (soins) avec locaux L, 3ᵉ catégorie, comportant des locaux à sommeil (hospitalisation) — SSI de catégorie A.</w:t>
      </w:r>
    </w:p>
    <w:p>
      <w:pPr>
        <w:pStyle w:val="ListBullet"/>
      </w:pPr>
      <w:r>
        <w:t>Le lot n'est pas prescripteur SSI, mais devra respecter le maintien du niveau de sécurité pendant toute la durée des travaux : coordination avec le lot SSI dédié pour toute intervention en plénum ou sur cloisons coupe-feu.</w:t>
      </w:r>
    </w:p>
    <w:p>
      <w:pPr>
        <w:pStyle w:val="ListBullet"/>
      </w:pPr>
      <w:r>
        <w:t>Coordination SPS assurée par SOCOTEC Construction ; contrôle technique par ALPHA CONTROLE SAS.</w:t>
      </w:r>
    </w:p>
    <w:p>
      <w:pPr>
        <w:pStyle w:val="ListBullet"/>
      </w:pPr>
      <w:r>
        <w:t>Diagnostic structurel GEOTEC : déficit de portance identifié sur le plancher/poutre de la zone scanner (sous-sol) — renforcement par profilés HEB 220 nécessaire (à la charge du Lot 1, PSE4 « plancher renforcé »). Le Lot 3 ne peut intervenir (pose de sols et faux plafonds) qu'une fois ce renfort réceptionné : point de vigilance sur le planning et sur la réception préalable des supports.</w:t>
      </w:r>
    </w:p>
    <w:p>
      <w:pPr>
        <w:pStyle w:val="ListBullet"/>
      </w:pPr>
      <w:r>
        <w:t>Engagement contractuel à prendre : maintien des effectifs et continuité des travaux en période estivale (juin à août).</w:t>
      </w:r>
    </w:p>
    <w:p>
      <w:r>
        <w:br w:type="page"/>
      </w:r>
    </w:p>
    <w:p>
      <w:pPr>
        <w:spacing w:before="360" w:after="120"/>
        <w:pBdr>
          <w:bottom w:val="single" w:sz="8" w:space="4" w:color="2E74B5"/>
        </w:pBdr>
      </w:pPr>
      <w:r>
        <w:rPr>
          <w:b/>
          <w:color w:val="2E74B5"/>
          <w:sz w:val="28"/>
        </w:rPr>
        <w:t>7. Points de vigilance et recommandations pour la remise d'offre</w:t>
      </w:r>
    </w:p>
    <w:p>
      <w:pPr>
        <w:pStyle w:val="ListBullet"/>
      </w:pPr>
      <w:r>
        <w:t>Le mémoire technique pèse 60% de la note : soigner particulièrement le volet « démarche environnementale » (15% à lui seul) — méthodologie de réduction des impacts, gestion des déchets/économie circulaire, indicateurs de suivi — ainsi que la description de la méthodologie d'intervention en site hospitalier en activité.</w:t>
      </w:r>
    </w:p>
    <w:p>
      <w:pPr>
        <w:pStyle w:val="ListBullet"/>
      </w:pPr>
      <w:r>
        <w:t>Vérifier en amont la détention des qualifications QUALIBAT 6111 - 6222 - 6611 (ou constituer un dossier d'équivalence solide) : condition de recevabilité de la candidature.</w:t>
      </w:r>
    </w:p>
    <w:p>
      <w:pPr>
        <w:pStyle w:val="ListBullet"/>
      </w:pPr>
      <w:r>
        <w:t>Chiffrer une marge de sécurité sur le planning (45 jours) compte tenu de la dépendance aux lots 1/4/5 et du risque de glissement lié au renfort structurel préalable.</w:t>
      </w:r>
    </w:p>
    <w:p>
      <w:pPr>
        <w:pStyle w:val="ListBullet"/>
      </w:pPr>
      <w:r>
        <w:t>Intégrer dans le prix les garanties particulières à 10 ans (peinture) et l'entretien pendant la période de garantie d'un an, ainsi que les provisions du CCTP (jouées 20 ml, grilles 5 u., dépose/repose 67 m², reprise peinture circulation N°5 70 m²).</w:t>
      </w:r>
    </w:p>
    <w:p>
      <w:pPr>
        <w:pStyle w:val="ListBullet"/>
      </w:pPr>
      <w:r>
        <w:t>Ne pas oublier la fiche de contact fournisseur (unique canal d'échange après remise d'offre, y compris pour une éventuelle négociation) et le respect strict de la règle de nommage des fichiers du pli.</w:t>
      </w:r>
    </w:p>
    <w:p>
      <w:pPr>
        <w:pStyle w:val="ListBullet"/>
      </w:pPr>
      <w:r>
        <w:t>Le dossier de réponse (acte d'engagement Lot 3) est déjà initié au nom de France Décoration : vérifier sa cohérence avec la DPGF, le mémoire technique et les pièces de candidature avant dépôt.</w:t>
      </w:r>
    </w:p>
    <w:p/>
    <w:p>
      <w:r>
        <w:rPr>
          <w:i/>
          <w:color w:val="595959"/>
          <w:sz w:val="17"/>
        </w:rPr>
        <w:t>Document généré à partir des pièces du DCE fournies : RC, CCAP, CCTP Lot 3, plan de zoning, calendrier des travaux, diagnostic structurel GEOTEC et projet d'acte d'engagement Lot 3.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