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Mémoire Technique — Lot 03</w:t>
      </w:r>
    </w:p>
    <w:p>
      <w:r>
        <w:rPr>
          <w:i/>
          <w:color w:val="595959"/>
          <w:sz w:val="24"/>
        </w:rPr>
        <w:t>Faux Plafonds — Peinture — Sols Souples</w:t>
      </w:r>
    </w:p>
    <w:p>
      <w:r>
        <w:rPr>
          <w:b/>
          <w:i w:val="0"/>
          <w:color w:val="2E74B5"/>
          <w:sz w:val="24"/>
        </w:rPr>
        <w:t>26 RMB 41 TVX — Travaux pour la création d'un nouveau scanner à l'hôpital René Muret (AP-HP HUPSSD)</w:t>
      </w:r>
    </w:p>
    <w:p>
      <w:r>
        <w:rPr>
          <w:b w:val="0"/>
          <w:i/>
          <w:color w:val="595959"/>
          <w:sz w:val="21"/>
        </w:rPr>
        <w:t>Chapitre 7 — Engagements de France Décoration</w:t>
      </w:r>
    </w:p>
    <w:p>
      <w:r>
        <w:rPr>
          <w:b w:val="0"/>
          <w:i/>
          <w:color w:val="595959"/>
          <w:sz w:val="19"/>
        </w:rPr>
        <w:t>Établi par France Décoration — Livry-Gargan</w:t>
      </w:r>
    </w:p>
    <w:p/>
    <w:p>
      <w:pPr>
        <w:spacing w:before="360" w:after="120"/>
        <w:pBdr>
          <w:bottom w:val="single" w:sz="8" w:space="4" w:color="2E74B5"/>
        </w:pBdr>
      </w:pPr>
      <w:r>
        <w:rPr>
          <w:b/>
          <w:color w:val="2E74B5"/>
          <w:sz w:val="28"/>
        </w:rPr>
        <w:t>7. ENGAGEMENTS DE FRANCE DÉCORATION</w:t>
      </w:r>
    </w:p>
    <w:p>
      <w:r>
        <w:rPr>
          <w:b w:val="0"/>
          <w:i w:val="0"/>
          <w:sz w:val="21"/>
        </w:rPr>
        <w:t>En synthèse des chapitres précédents, France Décoration formalise ci-dessous les six engagements fermes pris pour la réalisation du Lot 3 de l'opération de création du nouveau scanner de l'hôpital René Muret. Ces engagements reprennent, sous forme chiffrée et vérifiable, les dispositions détaillées dans le corps du présent mémoire technique.</w:t>
      </w:r>
    </w:p>
    <w:p>
      <w:pPr>
        <w:spacing w:before="240" w:after="80"/>
      </w:pPr>
      <w:r>
        <w:rPr>
          <w:b/>
          <w:color w:val="1F3A5F"/>
          <w:sz w:val="24"/>
        </w:rPr>
        <w:t>7.1. Respect des délais</w:t>
      </w:r>
    </w:p>
    <w:p>
      <w:r>
        <w:rPr>
          <w:b w:val="0"/>
          <w:i w:val="0"/>
          <w:sz w:val="21"/>
        </w:rPr>
        <w:t>France Décoration s'engage à réaliser l'ensemble des prestations du Lot 3 dans le délai contractuel de 45 jours calendaires, selon le planning détaillé au chapitre 5, structuré en une semaine de préparation (Mois 1 - S4), trois semaines de production (Mois 4 - S1 à S3) et une semaine de clôture (Mois 5 - S4), avec une marge de sécurité de quatre semaines intégrée avant réception.</w:t>
      </w:r>
    </w:p>
    <w:p>
      <w:pPr>
        <w:pStyle w:val="ListBullet"/>
      </w:pPr>
      <w:r>
        <w:t>effectifs modulables de 2 à 5 personnes par phase, mobilisables sans délai en cas d'aléa (cf. chapitre 5, § 5.7 et § 5.9) ;</w:t>
      </w:r>
    </w:p>
    <w:p>
      <w:pPr>
        <w:pStyle w:val="ListBullet"/>
      </w:pPr>
      <w:r>
        <w:t>point d'avancement hebdomadaire systématique avec la MOE, permettant une alerte précoce (cf. chapitre 5, § 5.5) ;</w:t>
      </w:r>
    </w:p>
    <w:p>
      <w:pPr>
        <w:pStyle w:val="ListBullet"/>
      </w:pPr>
      <w:r>
        <w:t>aucune pénalité de retard visée sur la durée du chantier (cf. chapitre 1, § 1.5.2).</w:t>
      </w:r>
    </w:p>
    <w:p>
      <w:pPr>
        <w:spacing w:before="240" w:after="80"/>
      </w:pPr>
      <w:r>
        <w:rPr>
          <w:b/>
          <w:color w:val="1F3A5F"/>
          <w:sz w:val="24"/>
        </w:rPr>
        <w:t>7.2. Respect des exigences hospitalières</w:t>
      </w:r>
    </w:p>
    <w:p>
      <w:r>
        <w:rPr>
          <w:b w:val="0"/>
          <w:i w:val="0"/>
          <w:sz w:val="21"/>
        </w:rPr>
        <w:t>France Décoration s'engage à adapter en permanence son organisation de chantier aux contraintes d'un établissement de santé en pleine activité, sans jamais compromettre la continuité des soins ni la sécurité des patients et des personnels.</w:t>
      </w:r>
    </w:p>
    <w:p>
      <w:pPr>
        <w:pStyle w:val="ListBullet"/>
      </w:pPr>
      <w:r>
        <w:t>plages horaires d'intervention et de livraison validées préalablement avec l'exploitant (cf. chapitre 1, § 1.5 et chapitre 6, § 6.1.1) ;</w:t>
      </w:r>
    </w:p>
    <w:p>
      <w:pPr>
        <w:pStyle w:val="ListBullet"/>
      </w:pPr>
      <w:r>
        <w:t>confinement et protection systématiques des zones adjacentes occupées, avec maintien d'un empoussièrement conforme aux seuils réglementaires (cf. chapitre 2, § 2.5 et chapitre 6, § 6.1.2) ;</w:t>
      </w:r>
    </w:p>
    <w:p>
      <w:pPr>
        <w:pStyle w:val="ListBullet"/>
      </w:pPr>
      <w:r>
        <w:t>personnel qualifié et sensibilisé à l'environnement hospitalier, avec encadrement certifié amiante Sous-section 4 (SS4) sur l'ensemble des postes clés (cf. chapitre 3, § 3.4) ;</w:t>
      </w:r>
    </w:p>
    <w:p>
      <w:pPr>
        <w:pStyle w:val="ListBullet"/>
      </w:pPr>
      <w:r>
        <w:t>nettoyage de fin de poste quotidien systématique sur chaque zone d'intervention (cf. chapitre 2, § 2.6).</w:t>
      </w:r>
    </w:p>
    <w:p>
      <w:pPr>
        <w:spacing w:before="240" w:after="80"/>
      </w:pPr>
      <w:r>
        <w:rPr>
          <w:b/>
          <w:color w:val="1F3A5F"/>
          <w:sz w:val="24"/>
        </w:rPr>
        <w:t>7.3. Qualité et conformité des ouvrages</w:t>
      </w:r>
    </w:p>
    <w:p>
      <w:r>
        <w:rPr>
          <w:b w:val="0"/>
          <w:i w:val="0"/>
          <w:sz w:val="21"/>
        </w:rPr>
        <w:t>France Décoration s'engage sur la conformité intégrale des ouvrages réalisés aux prescriptions du CCTP et aux normes en vigueur, à partir de produits exclusivement issus de son dossier de fiches techniques (cf. chapitre 4).</w:t>
      </w:r>
    </w:p>
    <w:p>
      <w:pPr>
        <w:pStyle w:val="ListBullet"/>
      </w:pPr>
      <w:r>
        <w:t>100% des produits mis en œuvre de classe d'émission A+ dans l'air intérieur (cf. chapitre 4, § 4.8 et chapitre 6, § 6.1.5) ;</w:t>
      </w:r>
    </w:p>
    <w:p>
      <w:pPr>
        <w:pStyle w:val="ListBullet"/>
      </w:pPr>
      <w:r>
        <w:t>autocontrôles systématiques à chaque étape de production, avant passage à la phase suivante (cf. chapitre 2, § 2.11) ;</w:t>
      </w:r>
    </w:p>
    <w:p>
      <w:pPr>
        <w:pStyle w:val="ListBullet"/>
      </w:pPr>
      <w:r>
        <w:t>constitution d'un Dossier des Ouvrages Exécutés (DOE) complet, incluant fiches techniques, FDS, PV et certificats (cf. chapitre 2, § 2.13 et chapitre 4, § 4.10) ;</w:t>
      </w:r>
    </w:p>
    <w:p>
      <w:pPr>
        <w:pStyle w:val="ListBullet"/>
      </w:pPr>
      <w:r>
        <w:t>objectif visé de zéro réserve bloquante à l'issue des Opérations Préalables à la Réception (cf. chapitre 5, § 5.10).</w:t>
      </w:r>
    </w:p>
    <w:p>
      <w:pPr>
        <w:spacing w:before="240" w:after="80"/>
      </w:pPr>
      <w:r>
        <w:rPr>
          <w:b/>
          <w:color w:val="1F3A5F"/>
          <w:sz w:val="24"/>
        </w:rPr>
        <w:t>7.4. Réactivité et disponibilité de l'encadrement</w:t>
      </w:r>
    </w:p>
    <w:p>
      <w:r>
        <w:rPr>
          <w:b w:val="0"/>
          <w:i w:val="0"/>
          <w:sz w:val="21"/>
        </w:rPr>
        <w:t>France Décoration garantit un interlocuteur unique et joignable en permanence pour l'ensemble des questions relatives au Lot 3, ainsi qu'une chaîne d'encadrement dédiée et présente sur site.</w:t>
      </w:r>
    </w:p>
    <w:tbl>
      <w:tblPr>
        <w:tblStyle w:val="TableGrid"/>
        <w:tblW w:type="auto" w:w="0"/>
        <w:jc w:val="center"/>
        <w:tblLook w:firstColumn="1" w:firstRow="1" w:lastColumn="0" w:lastRow="0" w:noHBand="0" w:noVBand="1" w:val="04A0"/>
      </w:tblPr>
      <w:tblGrid>
        <w:gridCol w:w="3400"/>
        <w:gridCol w:w="3400"/>
        <w:gridCol w:w="3400"/>
      </w:tblGrid>
      <w:tr>
        <w:tc>
          <w:tcPr>
            <w:tcW w:type="dxa" w:w="2551"/>
            <w:shd w:val="clear" w:color="auto" w:fill="2E74B5"/>
          </w:tcPr>
          <w:p>
            <w:r/>
            <w:r>
              <w:rPr>
                <w:b/>
                <w:color w:val="FFFFFF"/>
                <w:sz w:val="18"/>
              </w:rPr>
              <w:t>Fonction</w:t>
            </w:r>
          </w:p>
        </w:tc>
        <w:tc>
          <w:tcPr>
            <w:tcW w:type="dxa" w:w="2551"/>
            <w:shd w:val="clear" w:color="auto" w:fill="2E74B5"/>
          </w:tcPr>
          <w:p>
            <w:r/>
            <w:r>
              <w:rPr>
                <w:b/>
                <w:color w:val="FFFFFF"/>
                <w:sz w:val="18"/>
              </w:rPr>
              <w:t>Nom</w:t>
            </w:r>
          </w:p>
        </w:tc>
        <w:tc>
          <w:tcPr>
            <w:tcW w:type="dxa" w:w="3685"/>
            <w:shd w:val="clear" w:color="auto" w:fill="2E74B5"/>
          </w:tcPr>
          <w:p>
            <w:r/>
            <w:r>
              <w:rPr>
                <w:b/>
                <w:color w:val="FFFFFF"/>
                <w:sz w:val="18"/>
              </w:rPr>
              <w:t>Rôle vis-à-vis de la MOE / AP-HP</w:t>
            </w:r>
          </w:p>
        </w:tc>
      </w:tr>
      <w:tr>
        <w:tc>
          <w:tcPr>
            <w:tcW w:type="dxa" w:w="2551"/>
          </w:tcPr>
          <w:p>
            <w:r/>
            <w:r>
              <w:rPr>
                <w:sz w:val="18"/>
              </w:rPr>
              <w:t>Interlocuteur Unique</w:t>
            </w:r>
          </w:p>
        </w:tc>
        <w:tc>
          <w:tcPr>
            <w:tcW w:type="dxa" w:w="2551"/>
          </w:tcPr>
          <w:p>
            <w:r/>
            <w:r>
              <w:rPr>
                <w:sz w:val="18"/>
              </w:rPr>
              <w:t>Ghobech Ali</w:t>
            </w:r>
          </w:p>
        </w:tc>
        <w:tc>
          <w:tcPr>
            <w:tcW w:type="dxa" w:w="3685"/>
          </w:tcPr>
          <w:p>
            <w:r/>
            <w:r>
              <w:rPr>
                <w:sz w:val="18"/>
              </w:rPr>
              <w:t>Point de contact contractuel unique pour l'opération</w:t>
            </w:r>
          </w:p>
        </w:tc>
      </w:tr>
      <w:tr>
        <w:tc>
          <w:tcPr>
            <w:tcW w:type="dxa" w:w="2551"/>
          </w:tcPr>
          <w:p>
            <w:r/>
            <w:r>
              <w:rPr>
                <w:sz w:val="18"/>
              </w:rPr>
              <w:t>Conducteur de Travaux</w:t>
            </w:r>
          </w:p>
        </w:tc>
        <w:tc>
          <w:tcPr>
            <w:tcW w:type="dxa" w:w="2551"/>
          </w:tcPr>
          <w:p>
            <w:r/>
            <w:r>
              <w:rPr>
                <w:sz w:val="18"/>
              </w:rPr>
              <w:t>Zaka Ullah Butt</w:t>
            </w:r>
          </w:p>
        </w:tc>
        <w:tc>
          <w:tcPr>
            <w:tcW w:type="dxa" w:w="3685"/>
          </w:tcPr>
          <w:p>
            <w:r/>
            <w:r>
              <w:rPr>
                <w:sz w:val="18"/>
              </w:rPr>
              <w:t>Pilotage opérationnel, coordination inter-lots, reporting hebdomadaire</w:t>
            </w:r>
          </w:p>
        </w:tc>
      </w:tr>
      <w:tr>
        <w:tc>
          <w:tcPr>
            <w:tcW w:type="dxa" w:w="2551"/>
          </w:tcPr>
          <w:p>
            <w:r/>
            <w:r>
              <w:rPr>
                <w:sz w:val="18"/>
              </w:rPr>
              <w:t>Chef de Chantier</w:t>
            </w:r>
          </w:p>
        </w:tc>
        <w:tc>
          <w:tcPr>
            <w:tcW w:type="dxa" w:w="2551"/>
          </w:tcPr>
          <w:p>
            <w:r/>
            <w:r>
              <w:rPr>
                <w:sz w:val="18"/>
              </w:rPr>
              <w:t>Ali Shazil</w:t>
            </w:r>
          </w:p>
        </w:tc>
        <w:tc>
          <w:tcPr>
            <w:tcW w:type="dxa" w:w="3685"/>
          </w:tcPr>
          <w:p>
            <w:r/>
            <w:r>
              <w:rPr>
                <w:sz w:val="18"/>
              </w:rPr>
              <w:t>Encadrement quotidien des équipes, autocontrôles, sécurité</w:t>
            </w:r>
          </w:p>
        </w:tc>
      </w:tr>
    </w:tbl>
    <w:p/>
    <w:p>
      <w:r>
        <w:rPr>
          <w:b w:val="0"/>
          <w:i w:val="0"/>
          <w:sz w:val="21"/>
        </w:rPr>
        <w:t>Un délai de réactivité maximal de 24 heures est garanti pour toute sollicitation de la MOE ou de l'AP-HP (question technique, demande de reprise, incident), et de 48 heures pour la mobilisation de moyens supplémentaires en cas d'aléa avéré (cf. chapitre 5, § 5.9).</w:t>
      </w:r>
    </w:p>
    <w:p>
      <w:pPr>
        <w:spacing w:before="240" w:after="80"/>
      </w:pPr>
      <w:r>
        <w:rPr>
          <w:b/>
          <w:color w:val="1F3A5F"/>
          <w:sz w:val="24"/>
        </w:rPr>
        <w:t>7.5. Continuité des travaux et maintien des effectifs</w:t>
      </w:r>
    </w:p>
    <w:p>
      <w:r>
        <w:rPr>
          <w:b w:val="0"/>
          <w:i w:val="0"/>
          <w:sz w:val="21"/>
        </w:rPr>
        <w:t>France Décoration s'engage à assurer une continuité totale de ses effectifs sur toute la durée du chantier, y compris en période estivale, par un dispositif de doublement des fonctions d'encadrement et un vivier de personnel qualifié mobilisable sans délai.</w:t>
      </w:r>
    </w:p>
    <w:p>
      <w:pPr>
        <w:pStyle w:val="ListBullet"/>
      </w:pPr>
      <w:r>
        <w:t>continuité assurée par doublement des fonctions Conducteur de Travaux / Chef de Chantier en cas d'absence imprévue (cf. chapitre 3, § 3.12) ;</w:t>
      </w:r>
    </w:p>
    <w:p>
      <w:pPr>
        <w:pStyle w:val="ListBullet"/>
      </w:pPr>
      <w:r>
        <w:t>effectif de base de 9 intervenants nommément identifiés et qualifiés, répartis en 3 équipes (faux plafonds, peinture, sols souples — cf. chapitre 3, § 3.3 et § 3.4) ;</w:t>
      </w:r>
    </w:p>
    <w:p>
      <w:pPr>
        <w:pStyle w:val="ListBullet"/>
      </w:pPr>
      <w:r>
        <w:t>capacité de renfort jusqu'à 5 personnes par phase sans recomposition d'équipe (cf. chapitre 5, § 5.7) ;</w:t>
      </w:r>
    </w:p>
    <w:p>
      <w:pPr>
        <w:pStyle w:val="ListBullet"/>
      </w:pPr>
      <w:r>
        <w:t>aucune interruption de chantier visée sur la durée du lot, hors aléa majeur relevant d'un autre corps d'état.</w:t>
      </w:r>
    </w:p>
    <w:p>
      <w:pPr>
        <w:spacing w:before="240" w:after="80"/>
      </w:pPr>
      <w:r>
        <w:rPr>
          <w:b/>
          <w:color w:val="1F3A5F"/>
          <w:sz w:val="24"/>
        </w:rPr>
        <w:t>7.6. Engagement environnemental</w:t>
      </w:r>
    </w:p>
    <w:p>
      <w:r>
        <w:rPr>
          <w:b w:val="0"/>
          <w:i w:val="0"/>
          <w:sz w:val="21"/>
        </w:rPr>
        <w:t>France Décoration s'engage sur des objectifs environnementaux chiffrés et vérifiables, pilotés hebdomadairement via le tableau de bord environnemental du chantier (cf. chapitre 6, § 6.3.1).</w:t>
      </w:r>
    </w:p>
    <w:tbl>
      <w:tblPr>
        <w:tblStyle w:val="TableGrid"/>
        <w:tblW w:type="auto" w:w="0"/>
        <w:jc w:val="center"/>
        <w:tblLook w:firstColumn="1" w:firstRow="1" w:lastColumn="0" w:lastRow="0" w:noHBand="0" w:noVBand="1" w:val="04A0"/>
      </w:tblPr>
      <w:tblGrid>
        <w:gridCol w:w="5100"/>
        <w:gridCol w:w="5100"/>
      </w:tblGrid>
      <w:tr>
        <w:tc>
          <w:tcPr>
            <w:tcW w:type="dxa" w:w="5102"/>
            <w:shd w:val="clear" w:color="auto" w:fill="2E74B5"/>
          </w:tcPr>
          <w:p>
            <w:r/>
            <w:r>
              <w:rPr>
                <w:b/>
                <w:color w:val="FFFFFF"/>
                <w:sz w:val="18"/>
              </w:rPr>
              <w:t>Engagement chiffré</w:t>
            </w:r>
          </w:p>
        </w:tc>
        <w:tc>
          <w:tcPr>
            <w:tcW w:type="dxa" w:w="3402"/>
            <w:shd w:val="clear" w:color="auto" w:fill="2E74B5"/>
          </w:tcPr>
          <w:p>
            <w:r/>
            <w:r>
              <w:rPr>
                <w:b/>
                <w:color w:val="FFFFFF"/>
                <w:sz w:val="18"/>
              </w:rPr>
              <w:t>Cible</w:t>
            </w:r>
          </w:p>
        </w:tc>
      </w:tr>
      <w:tr>
        <w:tc>
          <w:tcPr>
            <w:tcW w:type="dxa" w:w="5102"/>
          </w:tcPr>
          <w:p>
            <w:r/>
            <w:r>
              <w:rPr>
                <w:sz w:val="18"/>
              </w:rPr>
              <w:t>Taux de valorisation global des déchets</w:t>
            </w:r>
          </w:p>
        </w:tc>
        <w:tc>
          <w:tcPr>
            <w:tcW w:type="dxa" w:w="3402"/>
          </w:tcPr>
          <w:p>
            <w:r/>
            <w:r>
              <w:rPr>
                <w:sz w:val="18"/>
              </w:rPr>
              <w:t>≥ 82% (vs. 70% objectif national BTP)</w:t>
            </w:r>
          </w:p>
        </w:tc>
      </w:tr>
      <w:tr>
        <w:tc>
          <w:tcPr>
            <w:tcW w:type="dxa" w:w="5102"/>
          </w:tcPr>
          <w:p>
            <w:r/>
            <w:r>
              <w:rPr>
                <w:sz w:val="18"/>
              </w:rPr>
              <w:t>Taux de tri à la source</w:t>
            </w:r>
          </w:p>
        </w:tc>
        <w:tc>
          <w:tcPr>
            <w:tcW w:type="dxa" w:w="3402"/>
          </w:tcPr>
          <w:p>
            <w:r/>
            <w:r>
              <w:rPr>
                <w:sz w:val="18"/>
              </w:rPr>
              <w:t>100% des déchets triés dès production (7 flux + amiante)</w:t>
            </w:r>
          </w:p>
        </w:tc>
      </w:tr>
      <w:tr>
        <w:tc>
          <w:tcPr>
            <w:tcW w:type="dxa" w:w="5102"/>
          </w:tcPr>
          <w:p>
            <w:r/>
            <w:r>
              <w:rPr>
                <w:sz w:val="18"/>
              </w:rPr>
              <w:t>Production totale de déchets sur le lot</w:t>
            </w:r>
          </w:p>
        </w:tc>
        <w:tc>
          <w:tcPr>
            <w:tcW w:type="dxa" w:w="3402"/>
          </w:tcPr>
          <w:p>
            <w:r/>
            <w:r>
              <w:rPr>
                <w:sz w:val="18"/>
              </w:rPr>
              <w:t>≈ 4,0 tonnes, avec traçabilité intégrale par bordereaux BSD/BSDA</w:t>
            </w:r>
          </w:p>
        </w:tc>
      </w:tr>
      <w:tr>
        <w:tc>
          <w:tcPr>
            <w:tcW w:type="dxa" w:w="5102"/>
          </w:tcPr>
          <w:p>
            <w:r/>
            <w:r>
              <w:rPr>
                <w:sz w:val="18"/>
              </w:rPr>
              <w:t>Produits de classe d'émission A+</w:t>
            </w:r>
          </w:p>
        </w:tc>
        <w:tc>
          <w:tcPr>
            <w:tcW w:type="dxa" w:w="3402"/>
          </w:tcPr>
          <w:p>
            <w:r/>
            <w:r>
              <w:rPr>
                <w:sz w:val="18"/>
              </w:rPr>
              <w:t>100% des produits de préparation et de finition</w:t>
            </w:r>
          </w:p>
        </w:tc>
      </w:tr>
      <w:tr>
        <w:tc>
          <w:tcPr>
            <w:tcW w:type="dxa" w:w="5102"/>
          </w:tcPr>
          <w:p>
            <w:r/>
            <w:r>
              <w:rPr>
                <w:sz w:val="18"/>
              </w:rPr>
              <w:t>Réduction des rotations de véhicules</w:t>
            </w:r>
          </w:p>
        </w:tc>
        <w:tc>
          <w:tcPr>
            <w:tcW w:type="dxa" w:w="3402"/>
          </w:tcPr>
          <w:p>
            <w:r/>
            <w:r>
              <w:rPr>
                <w:sz w:val="18"/>
              </w:rPr>
              <w:t>≥ 30% par rapport à une livraison au coup par coup</w:t>
            </w:r>
          </w:p>
        </w:tc>
      </w:tr>
      <w:tr>
        <w:tc>
          <w:tcPr>
            <w:tcW w:type="dxa" w:w="5102"/>
          </w:tcPr>
          <w:p>
            <w:r/>
            <w:r>
              <w:rPr>
                <w:sz w:val="18"/>
              </w:rPr>
              <w:t>Incidents de pollution accidentelle</w:t>
            </w:r>
          </w:p>
        </w:tc>
        <w:tc>
          <w:tcPr>
            <w:tcW w:type="dxa" w:w="3402"/>
          </w:tcPr>
          <w:p>
            <w:r/>
            <w:r>
              <w:rPr>
                <w:sz w:val="18"/>
              </w:rPr>
              <w:t>0 sur la durée du chantier</w:t>
            </w:r>
          </w:p>
        </w:tc>
      </w:tr>
    </w:tbl>
    <w:p/>
    <w:p>
      <w:r>
        <w:rPr>
          <w:b w:val="0"/>
          <w:i/>
          <w:sz w:val="21"/>
        </w:rPr>
        <w:t>L'ensemble de ces engagements fait l'objet d'un suivi contradictoire avec la Maîtrise d'Œuvre tout au long du chantier et d'un bilan chiffré remis à réception (cf. chapitre 6, § 6.3.6), garantissant à l'AP-HP une entière transparence sur leur tenue effective.</w:t>
      </w:r>
    </w:p>
    <w:p/>
    <w:p>
      <w:r>
        <w:rPr>
          <w:i/>
          <w:color w:val="595959"/>
          <w:sz w:val="17"/>
        </w:rPr>
        <w:t>Chapitre de synthèse récapitulant les engagements pris par France Décoration dans les chapitres 1 à 6 du présent mémoire technique — Lot 3, marché 26 RMB 41 TVX.</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