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2 — Organisation et méthodologie d'exécution en site hospitalier (Critère 1 — 15%)</w:t>
      </w:r>
    </w:p>
    <w:p>
      <w:r>
        <w:rPr>
          <w:b w:val="0"/>
          <w:i/>
          <w:color w:val="595959"/>
          <w:sz w:val="19"/>
        </w:rPr>
        <w:t>Établi par France Décoration — Livry-Gargan</w:t>
      </w:r>
    </w:p>
    <w:p/>
    <w:p>
      <w:pPr>
        <w:spacing w:before="360" w:after="120"/>
        <w:pBdr>
          <w:bottom w:val="single" w:sz="8" w:space="4" w:color="2E74B5"/>
        </w:pBdr>
      </w:pPr>
      <w:r>
        <w:rPr>
          <w:b/>
          <w:color w:val="2E74B5"/>
          <w:sz w:val="28"/>
        </w:rPr>
        <w:t>2. ORGANISATION ET MÉTHODOLOGIE D'EXÉCUTION EN SITE HOSPITALIER — 15 %</w:t>
      </w:r>
    </w:p>
    <w:p>
      <w:r>
        <w:rPr>
          <w:b w:val="0"/>
          <w:i w:val="0"/>
          <w:sz w:val="21"/>
        </w:rPr>
        <w:t>Le présent chapitre décrit l'organisation générale de notre intervention et la méthodologie d'exécution retenue pour chacun des ouvrages du Lot 3, en cohérence avec les prescriptions du CCTP et les contraintes du site hospitalier identifiées au chapitre 1.</w:t>
      </w:r>
    </w:p>
    <w:p>
      <w:pPr>
        <w:spacing w:before="240" w:after="80"/>
      </w:pPr>
      <w:r>
        <w:rPr>
          <w:b/>
          <w:color w:val="1F3A5F"/>
          <w:sz w:val="24"/>
        </w:rPr>
        <w:t>Tableau de correspondance produits mis en œuvre / fiches techniques / articles du CCTP</w:t>
      </w:r>
    </w:p>
    <w:p>
      <w:r>
        <w:rPr>
          <w:b w:val="0"/>
          <w:i w:val="0"/>
          <w:sz w:val="21"/>
        </w:rPr>
        <w:t>Ce tableau est établi à partir du dossier de fiches techniques de France Décoration (annexe jointe au présent mémoire, certifiée QUALIBAT). Chaque produit retenu y est rattaché à l'article du CCTP Lot 3 qui prescrit l'ouvrage correspondant.</w:t>
      </w:r>
    </w:p>
    <w:p>
      <w:pPr>
        <w:spacing w:before="160" w:after="60"/>
      </w:pPr>
      <w:r>
        <w:rPr>
          <w:b/>
          <w:i/>
          <w:color w:val="2E74B5"/>
          <w:sz w:val="21"/>
        </w:rPr>
        <w:t>Faux plafonds et jouées</w:t>
      </w:r>
    </w:p>
    <w:tbl>
      <w:tblPr>
        <w:tblStyle w:val="TableGrid"/>
        <w:tblW w:type="auto" w:w="0"/>
        <w:jc w:val="center"/>
        <w:tblLook w:firstColumn="1" w:firstRow="1" w:lastColumn="0" w:lastRow="0" w:noHBand="0" w:noVBand="1" w:val="04A0"/>
      </w:tblPr>
      <w:tblGrid>
        <w:gridCol w:w="3324"/>
        <w:gridCol w:w="3324"/>
        <w:gridCol w:w="3324"/>
      </w:tblGrid>
      <w:tr>
        <w:tc>
          <w:tcPr>
            <w:tcW w:type="dxa" w:w="1304"/>
            <w:shd w:val="clear" w:color="auto" w:fill="2E74B5"/>
          </w:tcPr>
          <w:p>
            <w:r/>
            <w:r>
              <w:rPr>
                <w:b/>
                <w:color w:val="FFFFFF"/>
                <w:sz w:val="18"/>
              </w:rPr>
              <w:t>Art. CCTP</w:t>
            </w:r>
          </w:p>
        </w:tc>
        <w:tc>
          <w:tcPr>
            <w:tcW w:type="dxa" w:w="5499"/>
            <w:shd w:val="clear" w:color="auto" w:fill="2E74B5"/>
          </w:tcPr>
          <w:p>
            <w:r/>
            <w:r>
              <w:rPr>
                <w:b/>
                <w:color w:val="FFFFFF"/>
                <w:sz w:val="18"/>
              </w:rPr>
              <w:t>Produit (fiche technique)</w:t>
            </w:r>
          </w:p>
        </w:tc>
        <w:tc>
          <w:tcPr>
            <w:tcW w:type="dxa" w:w="1984"/>
            <w:shd w:val="clear" w:color="auto" w:fill="2E74B5"/>
          </w:tcPr>
          <w:p>
            <w:r/>
            <w:r>
              <w:rPr>
                <w:b/>
                <w:color w:val="FFFFFF"/>
                <w:sz w:val="18"/>
              </w:rPr>
              <w:t>Fabricant</w:t>
            </w:r>
          </w:p>
        </w:tc>
      </w:tr>
      <w:tr>
        <w:tc>
          <w:tcPr>
            <w:tcW w:type="dxa" w:w="1304"/>
          </w:tcPr>
          <w:p>
            <w:r/>
            <w:r>
              <w:rPr>
                <w:sz w:val="18"/>
              </w:rPr>
              <w:t>IV.3</w:t>
            </w:r>
          </w:p>
        </w:tc>
        <w:tc>
          <w:tcPr>
            <w:tcW w:type="dxa" w:w="5499"/>
          </w:tcPr>
          <w:p>
            <w:r/>
            <w:r>
              <w:rPr>
                <w:sz w:val="18"/>
              </w:rPr>
              <w:t>Placoplâtre BA 13 (plaque de jouées)</w:t>
            </w:r>
          </w:p>
        </w:tc>
        <w:tc>
          <w:tcPr>
            <w:tcW w:type="dxa" w:w="1984"/>
          </w:tcPr>
          <w:p>
            <w:r/>
            <w:r>
              <w:rPr>
                <w:sz w:val="18"/>
              </w:rPr>
              <w:t>PLACO — SAINT-GOBAIN</w:t>
            </w:r>
          </w:p>
        </w:tc>
      </w:tr>
      <w:tr>
        <w:tc>
          <w:tcPr>
            <w:tcW w:type="dxa" w:w="1304"/>
          </w:tcPr>
          <w:p>
            <w:r/>
            <w:r>
              <w:rPr>
                <w:sz w:val="18"/>
              </w:rPr>
              <w:t>IV.3</w:t>
            </w:r>
          </w:p>
        </w:tc>
        <w:tc>
          <w:tcPr>
            <w:tcW w:type="dxa" w:w="5499"/>
          </w:tcPr>
          <w:p>
            <w:r/>
            <w:r>
              <w:rPr>
                <w:sz w:val="18"/>
              </w:rPr>
              <w:t>Ossature de jouées — Montant Stil R48 + Stil M48</w:t>
            </w:r>
          </w:p>
        </w:tc>
        <w:tc>
          <w:tcPr>
            <w:tcW w:type="dxa" w:w="1984"/>
          </w:tcPr>
          <w:p>
            <w:r/>
            <w:r>
              <w:rPr>
                <w:sz w:val="18"/>
              </w:rPr>
              <w:t>PLACO — SAINT-GOBAIN</w:t>
            </w:r>
          </w:p>
        </w:tc>
      </w:tr>
      <w:tr>
        <w:tc>
          <w:tcPr>
            <w:tcW w:type="dxa" w:w="1304"/>
          </w:tcPr>
          <w:p>
            <w:r/>
            <w:r>
              <w:rPr>
                <w:sz w:val="18"/>
              </w:rPr>
              <w:t>IV.3</w:t>
            </w:r>
          </w:p>
        </w:tc>
        <w:tc>
          <w:tcPr>
            <w:tcW w:type="dxa" w:w="5499"/>
          </w:tcPr>
          <w:p>
            <w:r/>
            <w:r>
              <w:rPr>
                <w:sz w:val="18"/>
              </w:rPr>
              <w:t>Fixation des plaques — Vis TTPC 25</w:t>
            </w:r>
          </w:p>
        </w:tc>
        <w:tc>
          <w:tcPr>
            <w:tcW w:type="dxa" w:w="1984"/>
          </w:tcPr>
          <w:p>
            <w:r/>
            <w:r>
              <w:rPr>
                <w:sz w:val="18"/>
              </w:rPr>
              <w:t>PLACO — SAINT-GOBAIN</w:t>
            </w:r>
          </w:p>
        </w:tc>
      </w:tr>
      <w:tr>
        <w:tc>
          <w:tcPr>
            <w:tcW w:type="dxa" w:w="1304"/>
          </w:tcPr>
          <w:p>
            <w:r/>
            <w:r>
              <w:rPr>
                <w:sz w:val="18"/>
              </w:rPr>
              <w:t>IV.3</w:t>
            </w:r>
          </w:p>
        </w:tc>
        <w:tc>
          <w:tcPr>
            <w:tcW w:type="dxa" w:w="5499"/>
          </w:tcPr>
          <w:p>
            <w:r/>
            <w:r>
              <w:rPr>
                <w:sz w:val="18"/>
              </w:rPr>
              <w:t>Traitement des joints — Placojoint PR4</w:t>
            </w:r>
          </w:p>
        </w:tc>
        <w:tc>
          <w:tcPr>
            <w:tcW w:type="dxa" w:w="1984"/>
          </w:tcPr>
          <w:p>
            <w:r/>
            <w:r>
              <w:rPr>
                <w:sz w:val="18"/>
              </w:rPr>
              <w:t>PLACO — SAINT-GOBAIN</w:t>
            </w:r>
          </w:p>
        </w:tc>
      </w:tr>
      <w:tr>
        <w:tc>
          <w:tcPr>
            <w:tcW w:type="dxa" w:w="1304"/>
          </w:tcPr>
          <w:p>
            <w:r/>
            <w:r>
              <w:rPr>
                <w:sz w:val="18"/>
              </w:rPr>
              <w:t>IV.3</w:t>
            </w:r>
          </w:p>
        </w:tc>
        <w:tc>
          <w:tcPr>
            <w:tcW w:type="dxa" w:w="5499"/>
          </w:tcPr>
          <w:p>
            <w:r/>
            <w:r>
              <w:rPr>
                <w:sz w:val="18"/>
              </w:rPr>
              <w:t>Bande à joints — Bande PP grand rouleau</w:t>
            </w:r>
          </w:p>
        </w:tc>
        <w:tc>
          <w:tcPr>
            <w:tcW w:type="dxa" w:w="1984"/>
          </w:tcPr>
          <w:p>
            <w:r/>
            <w:r>
              <w:rPr>
                <w:sz w:val="18"/>
              </w:rPr>
              <w:t>PLACO — SAINT-GOBAIN</w:t>
            </w:r>
          </w:p>
        </w:tc>
      </w:tr>
      <w:tr>
        <w:tc>
          <w:tcPr>
            <w:tcW w:type="dxa" w:w="1304"/>
          </w:tcPr>
          <w:p>
            <w:r/>
            <w:r>
              <w:rPr>
                <w:sz w:val="18"/>
              </w:rPr>
              <w:t>IV.1</w:t>
            </w:r>
          </w:p>
        </w:tc>
        <w:tc>
          <w:tcPr>
            <w:tcW w:type="dxa" w:w="5499"/>
          </w:tcPr>
          <w:p>
            <w:r/>
            <w:r>
              <w:rPr>
                <w:sz w:val="18"/>
              </w:rPr>
              <w:t>Faux plafond Hygiène Performance A — Akutex HS (600x600, 20mm, classt A)</w:t>
            </w:r>
          </w:p>
        </w:tc>
        <w:tc>
          <w:tcPr>
            <w:tcW w:type="dxa" w:w="1984"/>
          </w:tcPr>
          <w:p>
            <w:r/>
            <w:r>
              <w:rPr>
                <w:sz w:val="18"/>
              </w:rPr>
              <w:t>ECOPHON — SAINT-GOBAIN</w:t>
            </w:r>
          </w:p>
        </w:tc>
      </w:tr>
      <w:tr>
        <w:tc>
          <w:tcPr>
            <w:tcW w:type="dxa" w:w="1304"/>
          </w:tcPr>
          <w:p>
            <w:r/>
            <w:r>
              <w:rPr>
                <w:sz w:val="18"/>
              </w:rPr>
              <w:t>IV.1</w:t>
            </w:r>
          </w:p>
        </w:tc>
        <w:tc>
          <w:tcPr>
            <w:tcW w:type="dxa" w:w="5499"/>
          </w:tcPr>
          <w:p>
            <w:r/>
            <w:r>
              <w:rPr>
                <w:sz w:val="18"/>
              </w:rPr>
              <w:t>Système d'ossature Hygiène Performance A (profil T24 Connect C3, suspentes)</w:t>
            </w:r>
          </w:p>
        </w:tc>
        <w:tc>
          <w:tcPr>
            <w:tcW w:type="dxa" w:w="1984"/>
          </w:tcPr>
          <w:p>
            <w:r/>
            <w:r>
              <w:rPr>
                <w:sz w:val="18"/>
              </w:rPr>
              <w:t>ECOPHON — SAINT-GOBAIN</w:t>
            </w:r>
          </w:p>
        </w:tc>
      </w:tr>
      <w:tr>
        <w:tc>
          <w:tcPr>
            <w:tcW w:type="dxa" w:w="1304"/>
          </w:tcPr>
          <w:p>
            <w:r/>
            <w:r>
              <w:rPr>
                <w:sz w:val="18"/>
              </w:rPr>
              <w:t>IV.2</w:t>
            </w:r>
          </w:p>
        </w:tc>
        <w:tc>
          <w:tcPr>
            <w:tcW w:type="dxa" w:w="5499"/>
          </w:tcPr>
          <w:p>
            <w:r/>
            <w:r>
              <w:rPr>
                <w:sz w:val="18"/>
              </w:rPr>
              <w:t>Faux plafond Hygiène Protect Air A — Akutex HP (600x600, 20mm, classt B)</w:t>
            </w:r>
          </w:p>
        </w:tc>
        <w:tc>
          <w:tcPr>
            <w:tcW w:type="dxa" w:w="1984"/>
          </w:tcPr>
          <w:p>
            <w:r/>
            <w:r>
              <w:rPr>
                <w:sz w:val="18"/>
              </w:rPr>
              <w:t>ECOPHON — SAINT-GOBAIN</w:t>
            </w:r>
          </w:p>
        </w:tc>
      </w:tr>
      <w:tr>
        <w:tc>
          <w:tcPr>
            <w:tcW w:type="dxa" w:w="1304"/>
          </w:tcPr>
          <w:p>
            <w:r/>
            <w:r>
              <w:rPr>
                <w:sz w:val="18"/>
              </w:rPr>
              <w:t>IV.2</w:t>
            </w:r>
          </w:p>
        </w:tc>
        <w:tc>
          <w:tcPr>
            <w:tcW w:type="dxa" w:w="5499"/>
          </w:tcPr>
          <w:p>
            <w:r/>
            <w:r>
              <w:rPr>
                <w:sz w:val="18"/>
              </w:rPr>
              <w:t>Système d'ossature Hygiène Protect Air A</w:t>
            </w:r>
          </w:p>
        </w:tc>
        <w:tc>
          <w:tcPr>
            <w:tcW w:type="dxa" w:w="1984"/>
          </w:tcPr>
          <w:p>
            <w:r/>
            <w:r>
              <w:rPr>
                <w:sz w:val="18"/>
              </w:rPr>
              <w:t>ECOPHON — SAINT-GOBAIN</w:t>
            </w:r>
          </w:p>
        </w:tc>
      </w:tr>
      <w:tr>
        <w:tc>
          <w:tcPr>
            <w:tcW w:type="dxa" w:w="1304"/>
          </w:tcPr>
          <w:p>
            <w:r/>
            <w:r>
              <w:rPr>
                <w:sz w:val="18"/>
              </w:rPr>
              <w:t>IV.1 / IV.2</w:t>
            </w:r>
          </w:p>
        </w:tc>
        <w:tc>
          <w:tcPr>
            <w:tcW w:type="dxa" w:w="5499"/>
          </w:tcPr>
          <w:p>
            <w:r/>
            <w:r>
              <w:rPr>
                <w:sz w:val="18"/>
              </w:rPr>
              <w:t>Trappe de visite — Connect Inspection Hatch C3, 600x600mm</w:t>
            </w:r>
          </w:p>
        </w:tc>
        <w:tc>
          <w:tcPr>
            <w:tcW w:type="dxa" w:w="1984"/>
          </w:tcPr>
          <w:p>
            <w:r/>
            <w:r>
              <w:rPr>
                <w:sz w:val="18"/>
              </w:rPr>
              <w:t>ECOPHON</w:t>
            </w:r>
          </w:p>
        </w:tc>
      </w:tr>
      <w:tr>
        <w:tc>
          <w:tcPr>
            <w:tcW w:type="dxa" w:w="1304"/>
          </w:tcPr>
          <w:p>
            <w:r/>
            <w:r>
              <w:rPr>
                <w:sz w:val="18"/>
              </w:rPr>
              <w:t>IV.4</w:t>
            </w:r>
          </w:p>
        </w:tc>
        <w:tc>
          <w:tcPr>
            <w:tcW w:type="dxa" w:w="5499"/>
          </w:tcPr>
          <w:p>
            <w:r/>
            <w:r>
              <w:rPr>
                <w:sz w:val="18"/>
              </w:rPr>
              <w:t>Grille de ventilation des plénums — LAC 30, aluminium laqué blanc RAL 9003 mat</w:t>
            </w:r>
          </w:p>
        </w:tc>
        <w:tc>
          <w:tcPr>
            <w:tcW w:type="dxa" w:w="1984"/>
          </w:tcPr>
          <w:p>
            <w:r/>
            <w:r>
              <w:rPr>
                <w:sz w:val="18"/>
              </w:rPr>
              <w:t>FRANCE AIR</w:t>
            </w:r>
          </w:p>
        </w:tc>
      </w:tr>
    </w:tbl>
    <w:p/>
    <w:p>
      <w:pPr>
        <w:spacing w:before="160" w:after="60"/>
      </w:pPr>
      <w:r>
        <w:rPr>
          <w:b/>
          <w:i/>
          <w:color w:val="2E74B5"/>
          <w:sz w:val="21"/>
        </w:rPr>
        <w:t>Sols souples</w:t>
      </w:r>
    </w:p>
    <w:tbl>
      <w:tblPr>
        <w:tblStyle w:val="TableGrid"/>
        <w:tblW w:type="auto" w:w="0"/>
        <w:jc w:val="center"/>
        <w:tblLook w:firstColumn="1" w:firstRow="1" w:lastColumn="0" w:lastRow="0" w:noHBand="0" w:noVBand="1" w:val="04A0"/>
      </w:tblPr>
      <w:tblGrid>
        <w:gridCol w:w="3324"/>
        <w:gridCol w:w="3324"/>
        <w:gridCol w:w="3324"/>
      </w:tblGrid>
      <w:tr>
        <w:tc>
          <w:tcPr>
            <w:tcW w:type="dxa" w:w="1304"/>
            <w:shd w:val="clear" w:color="auto" w:fill="2E74B5"/>
          </w:tcPr>
          <w:p>
            <w:r/>
            <w:r>
              <w:rPr>
                <w:b/>
                <w:color w:val="FFFFFF"/>
                <w:sz w:val="18"/>
              </w:rPr>
              <w:t>Art. CCTP</w:t>
            </w:r>
          </w:p>
        </w:tc>
        <w:tc>
          <w:tcPr>
            <w:tcW w:type="dxa" w:w="5499"/>
            <w:shd w:val="clear" w:color="auto" w:fill="2E74B5"/>
          </w:tcPr>
          <w:p>
            <w:r/>
            <w:r>
              <w:rPr>
                <w:b/>
                <w:color w:val="FFFFFF"/>
                <w:sz w:val="18"/>
              </w:rPr>
              <w:t>Produit (fiche technique)</w:t>
            </w:r>
          </w:p>
        </w:tc>
        <w:tc>
          <w:tcPr>
            <w:tcW w:type="dxa" w:w="1984"/>
            <w:shd w:val="clear" w:color="auto" w:fill="2E74B5"/>
          </w:tcPr>
          <w:p>
            <w:r/>
            <w:r>
              <w:rPr>
                <w:b/>
                <w:color w:val="FFFFFF"/>
                <w:sz w:val="18"/>
              </w:rPr>
              <w:t>Fabricant</w:t>
            </w:r>
          </w:p>
        </w:tc>
      </w:tr>
      <w:tr>
        <w:tc>
          <w:tcPr>
            <w:tcW w:type="dxa" w:w="1304"/>
          </w:tcPr>
          <w:p>
            <w:r/>
            <w:r>
              <w:rPr>
                <w:sz w:val="18"/>
              </w:rPr>
              <w:t>IV.8.01</w:t>
            </w:r>
          </w:p>
        </w:tc>
        <w:tc>
          <w:tcPr>
            <w:tcW w:type="dxa" w:w="5499"/>
          </w:tcPr>
          <w:p>
            <w:r/>
            <w:r>
              <w:rPr>
                <w:sz w:val="18"/>
              </w:rPr>
              <w:t>Primaire d'accrochage — Weberprim RP</w:t>
            </w:r>
          </w:p>
        </w:tc>
        <w:tc>
          <w:tcPr>
            <w:tcW w:type="dxa" w:w="1984"/>
          </w:tcPr>
          <w:p>
            <w:r/>
            <w:r>
              <w:rPr>
                <w:sz w:val="18"/>
              </w:rPr>
              <w:t>WEBER</w:t>
            </w:r>
          </w:p>
        </w:tc>
      </w:tr>
      <w:tr>
        <w:tc>
          <w:tcPr>
            <w:tcW w:type="dxa" w:w="1304"/>
          </w:tcPr>
          <w:p>
            <w:r/>
            <w:r>
              <w:rPr>
                <w:sz w:val="18"/>
              </w:rPr>
              <w:t>IV.8.01</w:t>
            </w:r>
          </w:p>
        </w:tc>
        <w:tc>
          <w:tcPr>
            <w:tcW w:type="dxa" w:w="5499"/>
          </w:tcPr>
          <w:p>
            <w:r/>
            <w:r>
              <w:rPr>
                <w:sz w:val="18"/>
              </w:rPr>
              <w:t>Primaire de rattrapage — Cegecol PE</w:t>
            </w:r>
          </w:p>
        </w:tc>
        <w:tc>
          <w:tcPr>
            <w:tcW w:type="dxa" w:w="1984"/>
          </w:tcPr>
          <w:p>
            <w:r/>
            <w:r>
              <w:rPr>
                <w:sz w:val="18"/>
              </w:rPr>
              <w:t>CEGECOL</w:t>
            </w:r>
          </w:p>
        </w:tc>
      </w:tr>
      <w:tr>
        <w:tc>
          <w:tcPr>
            <w:tcW w:type="dxa" w:w="1304"/>
          </w:tcPr>
          <w:p>
            <w:r/>
            <w:r>
              <w:rPr>
                <w:sz w:val="18"/>
              </w:rPr>
              <w:t>IV.8.01</w:t>
            </w:r>
          </w:p>
        </w:tc>
        <w:tc>
          <w:tcPr>
            <w:tcW w:type="dxa" w:w="5499"/>
          </w:tcPr>
          <w:p>
            <w:r/>
            <w:r>
              <w:rPr>
                <w:sz w:val="18"/>
              </w:rPr>
              <w:t>Primaire d'accrochage associé — Emulcim</w:t>
            </w:r>
          </w:p>
        </w:tc>
        <w:tc>
          <w:tcPr>
            <w:tcW w:type="dxa" w:w="1984"/>
          </w:tcPr>
          <w:p>
            <w:r/>
            <w:r>
              <w:rPr>
                <w:sz w:val="18"/>
              </w:rPr>
              <w:t>CEGECOL</w:t>
            </w:r>
          </w:p>
        </w:tc>
      </w:tr>
      <w:tr>
        <w:tc>
          <w:tcPr>
            <w:tcW w:type="dxa" w:w="1304"/>
          </w:tcPr>
          <w:p>
            <w:r/>
            <w:r>
              <w:rPr>
                <w:sz w:val="18"/>
              </w:rPr>
              <w:t>IV.8.01</w:t>
            </w:r>
          </w:p>
        </w:tc>
        <w:tc>
          <w:tcPr>
            <w:tcW w:type="dxa" w:w="5499"/>
          </w:tcPr>
          <w:p>
            <w:r/>
            <w:r>
              <w:rPr>
                <w:sz w:val="18"/>
              </w:rPr>
              <w:t>Enduit de lissage P3 — Weberniv Dur+ (Nivdur S)</w:t>
            </w:r>
          </w:p>
        </w:tc>
        <w:tc>
          <w:tcPr>
            <w:tcW w:type="dxa" w:w="1984"/>
          </w:tcPr>
          <w:p>
            <w:r/>
            <w:r>
              <w:rPr>
                <w:sz w:val="18"/>
              </w:rPr>
              <w:t>WEBER</w:t>
            </w:r>
          </w:p>
        </w:tc>
      </w:tr>
      <w:tr>
        <w:tc>
          <w:tcPr>
            <w:tcW w:type="dxa" w:w="1304"/>
          </w:tcPr>
          <w:p>
            <w:r/>
            <w:r>
              <w:rPr>
                <w:sz w:val="18"/>
              </w:rPr>
              <w:t>IV.8.02</w:t>
            </w:r>
          </w:p>
        </w:tc>
        <w:tc>
          <w:tcPr>
            <w:tcW w:type="dxa" w:w="5499"/>
          </w:tcPr>
          <w:p>
            <w:r/>
            <w:r>
              <w:rPr>
                <w:sz w:val="18"/>
              </w:rPr>
              <w:t>Colle PVC — Uzin KE 2000S</w:t>
            </w:r>
          </w:p>
        </w:tc>
        <w:tc>
          <w:tcPr>
            <w:tcW w:type="dxa" w:w="1984"/>
          </w:tcPr>
          <w:p>
            <w:r/>
            <w:r>
              <w:rPr>
                <w:sz w:val="18"/>
              </w:rPr>
              <w:t>UZIN</w:t>
            </w:r>
          </w:p>
        </w:tc>
      </w:tr>
      <w:tr>
        <w:tc>
          <w:tcPr>
            <w:tcW w:type="dxa" w:w="1304"/>
          </w:tcPr>
          <w:p>
            <w:r/>
            <w:r>
              <w:rPr>
                <w:sz w:val="18"/>
              </w:rPr>
              <w:t>IV.8.03</w:t>
            </w:r>
          </w:p>
        </w:tc>
        <w:tc>
          <w:tcPr>
            <w:tcW w:type="dxa" w:w="5499"/>
          </w:tcPr>
          <w:p>
            <w:r/>
            <w:r>
              <w:rPr>
                <w:sz w:val="18"/>
              </w:rPr>
              <w:t>Revêtement de sol en lés — Taralay Impression Compact 43</w:t>
            </w:r>
          </w:p>
        </w:tc>
        <w:tc>
          <w:tcPr>
            <w:tcW w:type="dxa" w:w="1984"/>
          </w:tcPr>
          <w:p>
            <w:r/>
            <w:r>
              <w:rPr>
                <w:sz w:val="18"/>
              </w:rPr>
              <w:t>GERFLOR</w:t>
            </w:r>
          </w:p>
        </w:tc>
      </w:tr>
      <w:tr>
        <w:tc>
          <w:tcPr>
            <w:tcW w:type="dxa" w:w="1304"/>
          </w:tcPr>
          <w:p>
            <w:r/>
            <w:r>
              <w:rPr>
                <w:sz w:val="18"/>
              </w:rPr>
              <w:t>IV.8.04</w:t>
            </w:r>
          </w:p>
        </w:tc>
        <w:tc>
          <w:tcPr>
            <w:tcW w:type="dxa" w:w="5499"/>
          </w:tcPr>
          <w:p>
            <w:r/>
            <w:r>
              <w:rPr>
                <w:sz w:val="18"/>
              </w:rPr>
              <w:t>Revêtement PVC homogène — Mipolam Planet</w:t>
            </w:r>
          </w:p>
        </w:tc>
        <w:tc>
          <w:tcPr>
            <w:tcW w:type="dxa" w:w="1984"/>
          </w:tcPr>
          <w:p>
            <w:r/>
            <w:r>
              <w:rPr>
                <w:sz w:val="18"/>
              </w:rPr>
              <w:t>GERFLOR</w:t>
            </w:r>
          </w:p>
        </w:tc>
      </w:tr>
      <w:tr>
        <w:tc>
          <w:tcPr>
            <w:tcW w:type="dxa" w:w="1304"/>
          </w:tcPr>
          <w:p>
            <w:r/>
            <w:r>
              <w:rPr>
                <w:sz w:val="18"/>
              </w:rPr>
              <w:t>IV.8.03 / IV.8.04</w:t>
            </w:r>
          </w:p>
        </w:tc>
        <w:tc>
          <w:tcPr>
            <w:tcW w:type="dxa" w:w="5499"/>
          </w:tcPr>
          <w:p>
            <w:r/>
            <w:r>
              <w:rPr>
                <w:sz w:val="18"/>
              </w:rPr>
              <w:t>Profil de remontée en plinthe — réf. 0488</w:t>
            </w:r>
          </w:p>
        </w:tc>
        <w:tc>
          <w:tcPr>
            <w:tcW w:type="dxa" w:w="1984"/>
          </w:tcPr>
          <w:p>
            <w:r/>
            <w:r>
              <w:rPr>
                <w:sz w:val="18"/>
              </w:rPr>
              <w:t>GERFLOR</w:t>
            </w:r>
          </w:p>
        </w:tc>
      </w:tr>
      <w:tr>
        <w:tc>
          <w:tcPr>
            <w:tcW w:type="dxa" w:w="1304"/>
          </w:tcPr>
          <w:p>
            <w:r/>
            <w:r>
              <w:rPr>
                <w:sz w:val="18"/>
              </w:rPr>
              <w:t>IV.8.05</w:t>
            </w:r>
          </w:p>
        </w:tc>
        <w:tc>
          <w:tcPr>
            <w:tcW w:type="dxa" w:w="5499"/>
          </w:tcPr>
          <w:p>
            <w:r/>
            <w:r>
              <w:rPr>
                <w:sz w:val="18"/>
              </w:rPr>
              <w:t>Barre de seuil — laiton plat 35mm, réf. 2025090</w:t>
            </w:r>
          </w:p>
        </w:tc>
        <w:tc>
          <w:tcPr>
            <w:tcW w:type="dxa" w:w="1984"/>
          </w:tcPr>
          <w:p>
            <w:r/>
            <w:r>
              <w:rPr>
                <w:sz w:val="18"/>
              </w:rPr>
              <w:t>DINAC</w:t>
            </w:r>
          </w:p>
        </w:tc>
      </w:tr>
    </w:tbl>
    <w:p/>
    <w:p>
      <w:pPr>
        <w:spacing w:before="160" w:after="60"/>
      </w:pPr>
      <w:r>
        <w:rPr>
          <w:b/>
          <w:i/>
          <w:color w:val="2E74B5"/>
          <w:sz w:val="21"/>
        </w:rPr>
        <w:t>Peinture</w:t>
      </w:r>
    </w:p>
    <w:tbl>
      <w:tblPr>
        <w:tblStyle w:val="TableGrid"/>
        <w:tblW w:type="auto" w:w="0"/>
        <w:jc w:val="center"/>
        <w:tblLook w:firstColumn="1" w:firstRow="1" w:lastColumn="0" w:lastRow="0" w:noHBand="0" w:noVBand="1" w:val="04A0"/>
      </w:tblPr>
      <w:tblGrid>
        <w:gridCol w:w="3324"/>
        <w:gridCol w:w="3324"/>
        <w:gridCol w:w="3324"/>
      </w:tblGrid>
      <w:tr>
        <w:tc>
          <w:tcPr>
            <w:tcW w:type="dxa" w:w="1304"/>
            <w:shd w:val="clear" w:color="auto" w:fill="2E74B5"/>
          </w:tcPr>
          <w:p>
            <w:r/>
            <w:r>
              <w:rPr>
                <w:b/>
                <w:color w:val="FFFFFF"/>
                <w:sz w:val="18"/>
              </w:rPr>
              <w:t>Art. CCTP</w:t>
            </w:r>
          </w:p>
        </w:tc>
        <w:tc>
          <w:tcPr>
            <w:tcW w:type="dxa" w:w="5499"/>
            <w:shd w:val="clear" w:color="auto" w:fill="2E74B5"/>
          </w:tcPr>
          <w:p>
            <w:r/>
            <w:r>
              <w:rPr>
                <w:b/>
                <w:color w:val="FFFFFF"/>
                <w:sz w:val="18"/>
              </w:rPr>
              <w:t>Produit (fiche technique)</w:t>
            </w:r>
          </w:p>
        </w:tc>
        <w:tc>
          <w:tcPr>
            <w:tcW w:type="dxa" w:w="1984"/>
            <w:shd w:val="clear" w:color="auto" w:fill="2E74B5"/>
          </w:tcPr>
          <w:p>
            <w:r/>
            <w:r>
              <w:rPr>
                <w:b/>
                <w:color w:val="FFFFFF"/>
                <w:sz w:val="18"/>
              </w:rPr>
              <w:t>Fabricant</w:t>
            </w:r>
          </w:p>
        </w:tc>
      </w:tr>
      <w:tr>
        <w:tc>
          <w:tcPr>
            <w:tcW w:type="dxa" w:w="1304"/>
          </w:tcPr>
          <w:p>
            <w:r/>
            <w:r>
              <w:rPr>
                <w:sz w:val="18"/>
              </w:rPr>
              <w:t>IV.6.02</w:t>
            </w:r>
          </w:p>
        </w:tc>
        <w:tc>
          <w:tcPr>
            <w:tcW w:type="dxa" w:w="5499"/>
          </w:tcPr>
          <w:p>
            <w:r/>
            <w:r>
              <w:rPr>
                <w:sz w:val="18"/>
              </w:rPr>
              <w:t>Enduit d'ébouchage/dégrossissage et ratissage — Bagar Airliss G</w:t>
            </w:r>
          </w:p>
        </w:tc>
        <w:tc>
          <w:tcPr>
            <w:tcW w:type="dxa" w:w="1984"/>
          </w:tcPr>
          <w:p>
            <w:r/>
            <w:r>
              <w:rPr>
                <w:sz w:val="18"/>
              </w:rPr>
              <w:t>BEISSIER</w:t>
            </w:r>
          </w:p>
        </w:tc>
      </w:tr>
      <w:tr>
        <w:tc>
          <w:tcPr>
            <w:tcW w:type="dxa" w:w="1304"/>
          </w:tcPr>
          <w:p>
            <w:r/>
            <w:r>
              <w:rPr>
                <w:sz w:val="18"/>
              </w:rPr>
              <w:t>IV.6.02</w:t>
            </w:r>
          </w:p>
        </w:tc>
        <w:tc>
          <w:tcPr>
            <w:tcW w:type="dxa" w:w="5499"/>
          </w:tcPr>
          <w:p>
            <w:r/>
            <w:r>
              <w:rPr>
                <w:sz w:val="18"/>
              </w:rPr>
              <w:t>Enduit de finition — Bagar Airliss F</w:t>
            </w:r>
          </w:p>
        </w:tc>
        <w:tc>
          <w:tcPr>
            <w:tcW w:type="dxa" w:w="1984"/>
          </w:tcPr>
          <w:p>
            <w:r/>
            <w:r>
              <w:rPr>
                <w:sz w:val="18"/>
              </w:rPr>
              <w:t>BEISSIER</w:t>
            </w:r>
          </w:p>
        </w:tc>
      </w:tr>
      <w:tr>
        <w:tc>
          <w:tcPr>
            <w:tcW w:type="dxa" w:w="1304"/>
          </w:tcPr>
          <w:p>
            <w:r/>
            <w:r>
              <w:rPr>
                <w:sz w:val="18"/>
              </w:rPr>
              <w:t>IV.6.01 / IV.6.02</w:t>
            </w:r>
          </w:p>
        </w:tc>
        <w:tc>
          <w:tcPr>
            <w:tcW w:type="dxa" w:w="5499"/>
          </w:tcPr>
          <w:p>
            <w:r/>
            <w:r>
              <w:rPr>
                <w:sz w:val="18"/>
              </w:rPr>
              <w:t>Impression sur plafonds et parements cartonnés — Muroprim</w:t>
            </w:r>
          </w:p>
        </w:tc>
        <w:tc>
          <w:tcPr>
            <w:tcW w:type="dxa" w:w="1984"/>
          </w:tcPr>
          <w:p>
            <w:r/>
            <w:r>
              <w:rPr>
                <w:sz w:val="18"/>
              </w:rPr>
              <w:t>SEIGNEURIE</w:t>
            </w:r>
          </w:p>
        </w:tc>
      </w:tr>
      <w:tr>
        <w:tc>
          <w:tcPr>
            <w:tcW w:type="dxa" w:w="1304"/>
          </w:tcPr>
          <w:p>
            <w:r/>
            <w:r>
              <w:rPr>
                <w:sz w:val="18"/>
              </w:rPr>
              <w:t>IV.6.02</w:t>
            </w:r>
          </w:p>
        </w:tc>
        <w:tc>
          <w:tcPr>
            <w:tcW w:type="dxa" w:w="5499"/>
          </w:tcPr>
          <w:p>
            <w:r/>
            <w:r>
              <w:rPr>
                <w:sz w:val="18"/>
              </w:rPr>
              <w:t>Impression pigmentée aqueuse (murs) — Indeko Bio Fix, faible C.O.V.</w:t>
            </w:r>
          </w:p>
        </w:tc>
        <w:tc>
          <w:tcPr>
            <w:tcW w:type="dxa" w:w="1984"/>
          </w:tcPr>
          <w:p>
            <w:r/>
            <w:r>
              <w:rPr>
                <w:sz w:val="18"/>
              </w:rPr>
              <w:t>CAPAROL</w:t>
            </w:r>
          </w:p>
        </w:tc>
      </w:tr>
      <w:tr>
        <w:tc>
          <w:tcPr>
            <w:tcW w:type="dxa" w:w="1304"/>
          </w:tcPr>
          <w:p>
            <w:r/>
            <w:r>
              <w:rPr>
                <w:sz w:val="18"/>
              </w:rPr>
              <w:t>IV.6.03</w:t>
            </w:r>
          </w:p>
        </w:tc>
        <w:tc>
          <w:tcPr>
            <w:tcW w:type="dxa" w:w="5499"/>
          </w:tcPr>
          <w:p>
            <w:r/>
            <w:r>
              <w:rPr>
                <w:sz w:val="18"/>
              </w:rPr>
              <w:t>Rebouchage bois — Sintobois Standard</w:t>
            </w:r>
          </w:p>
        </w:tc>
        <w:tc>
          <w:tcPr>
            <w:tcW w:type="dxa" w:w="1984"/>
          </w:tcPr>
          <w:p>
            <w:r/>
            <w:r>
              <w:rPr>
                <w:sz w:val="18"/>
              </w:rPr>
              <w:t>SINTO</w:t>
            </w:r>
          </w:p>
        </w:tc>
      </w:tr>
      <w:tr>
        <w:tc>
          <w:tcPr>
            <w:tcW w:type="dxa" w:w="1304"/>
          </w:tcPr>
          <w:p>
            <w:r/>
            <w:r>
              <w:rPr>
                <w:sz w:val="18"/>
              </w:rPr>
              <w:t>IV.6.03</w:t>
            </w:r>
          </w:p>
        </w:tc>
        <w:tc>
          <w:tcPr>
            <w:tcW w:type="dxa" w:w="5499"/>
          </w:tcPr>
          <w:p>
            <w:r/>
            <w:r>
              <w:rPr>
                <w:sz w:val="18"/>
              </w:rPr>
              <w:t>Impression du bois — Primwood Aqua Robust</w:t>
            </w:r>
          </w:p>
        </w:tc>
        <w:tc>
          <w:tcPr>
            <w:tcW w:type="dxa" w:w="1984"/>
          </w:tcPr>
          <w:p>
            <w:r/>
            <w:r>
              <w:rPr>
                <w:sz w:val="18"/>
              </w:rPr>
              <w:t>SEIGNEURIE</w:t>
            </w:r>
          </w:p>
        </w:tc>
      </w:tr>
      <w:tr>
        <w:tc>
          <w:tcPr>
            <w:tcW w:type="dxa" w:w="1304"/>
          </w:tcPr>
          <w:p>
            <w:r/>
            <w:r>
              <w:rPr>
                <w:sz w:val="18"/>
              </w:rPr>
              <w:t>IV.6.04</w:t>
            </w:r>
          </w:p>
        </w:tc>
        <w:tc>
          <w:tcPr>
            <w:tcW w:type="dxa" w:w="5499"/>
          </w:tcPr>
          <w:p>
            <w:r/>
            <w:r>
              <w:rPr>
                <w:sz w:val="18"/>
              </w:rPr>
              <w:t>Primaire antirouille métaux ferreux — Freitamétal Expert</w:t>
            </w:r>
          </w:p>
        </w:tc>
        <w:tc>
          <w:tcPr>
            <w:tcW w:type="dxa" w:w="1984"/>
          </w:tcPr>
          <w:p>
            <w:r/>
            <w:r>
              <w:rPr>
                <w:sz w:val="18"/>
              </w:rPr>
              <w:t>SEIGNEURIE</w:t>
            </w:r>
          </w:p>
        </w:tc>
      </w:tr>
      <w:tr>
        <w:tc>
          <w:tcPr>
            <w:tcW w:type="dxa" w:w="1304"/>
          </w:tcPr>
          <w:p>
            <w:r/>
            <w:r>
              <w:rPr>
                <w:sz w:val="18"/>
              </w:rPr>
              <w:t>IV.6.04 / IV.6.05</w:t>
            </w:r>
          </w:p>
        </w:tc>
        <w:tc>
          <w:tcPr>
            <w:tcW w:type="dxa" w:w="5499"/>
          </w:tcPr>
          <w:p>
            <w:r/>
            <w:r>
              <w:rPr>
                <w:sz w:val="18"/>
              </w:rPr>
              <w:t>Primaire d'accrochage métaux non ferreux et PVC — Print ADR</w:t>
            </w:r>
          </w:p>
        </w:tc>
        <w:tc>
          <w:tcPr>
            <w:tcW w:type="dxa" w:w="1984"/>
          </w:tcPr>
          <w:p>
            <w:r/>
            <w:r>
              <w:rPr>
                <w:sz w:val="18"/>
              </w:rPr>
              <w:t>SEIGNEURIE</w:t>
            </w:r>
          </w:p>
        </w:tc>
      </w:tr>
      <w:tr>
        <w:tc>
          <w:tcPr>
            <w:tcW w:type="dxa" w:w="1304"/>
          </w:tcPr>
          <w:p>
            <w:r/>
            <w:r>
              <w:rPr>
                <w:sz w:val="18"/>
              </w:rPr>
              <w:t>IV.6.01 / IV.6.03 / IV.6.04 / IV.6.05</w:t>
            </w:r>
          </w:p>
        </w:tc>
        <w:tc>
          <w:tcPr>
            <w:tcW w:type="dxa" w:w="5499"/>
          </w:tcPr>
          <w:p>
            <w:r/>
            <w:r>
              <w:rPr>
                <w:sz w:val="18"/>
              </w:rPr>
              <w:t>Peinture de finition plafonds/bois/métaux/PVC — Garnysatin S2P</w:t>
            </w:r>
          </w:p>
        </w:tc>
        <w:tc>
          <w:tcPr>
            <w:tcW w:type="dxa" w:w="1984"/>
          </w:tcPr>
          <w:p>
            <w:r/>
            <w:r>
              <w:rPr>
                <w:sz w:val="18"/>
              </w:rPr>
              <w:t>SEIGNEURIE</w:t>
            </w:r>
          </w:p>
        </w:tc>
      </w:tr>
      <w:tr>
        <w:tc>
          <w:tcPr>
            <w:tcW w:type="dxa" w:w="1304"/>
          </w:tcPr>
          <w:p>
            <w:r/>
            <w:r>
              <w:rPr>
                <w:sz w:val="18"/>
              </w:rPr>
              <w:t>IV.6.02</w:t>
            </w:r>
          </w:p>
        </w:tc>
        <w:tc>
          <w:tcPr>
            <w:tcW w:type="dxa" w:w="5499"/>
          </w:tcPr>
          <w:p>
            <w:r/>
            <w:r>
              <w:rPr>
                <w:sz w:val="18"/>
              </w:rPr>
              <w:t>Peinture de finition murs — Indeko Satin, faible C.O.V.</w:t>
            </w:r>
          </w:p>
        </w:tc>
        <w:tc>
          <w:tcPr>
            <w:tcW w:type="dxa" w:w="1984"/>
          </w:tcPr>
          <w:p>
            <w:r/>
            <w:r>
              <w:rPr>
                <w:sz w:val="18"/>
              </w:rPr>
              <w:t>CAPAROL</w:t>
            </w:r>
          </w:p>
        </w:tc>
      </w:tr>
    </w:tbl>
    <w:p/>
    <w:p>
      <w:r>
        <w:rPr>
          <w:b w:val="0"/>
          <w:i/>
          <w:sz w:val="21"/>
        </w:rPr>
        <w:t>L'ensemble de ces fiches techniques, référencées dans le dossier joint en annexe, dispose de la marque NF/CE et des étiquetages sanitaires A+/Ecolabel applicables (cf. § 2.6 pour l'enjeu émissions C.O.V.).</w:t>
      </w:r>
    </w:p>
    <w:p>
      <w:r>
        <w:br w:type="page"/>
      </w:r>
    </w:p>
    <w:p>
      <w:pPr>
        <w:spacing w:before="240" w:after="80"/>
      </w:pPr>
      <w:r>
        <w:rPr>
          <w:b/>
          <w:color w:val="1F3A5F"/>
          <w:sz w:val="24"/>
        </w:rPr>
        <w:t>2.1. Organisation générale du chantier</w:t>
      </w:r>
    </w:p>
    <w:p>
      <w:r>
        <w:rPr>
          <w:b w:val="0"/>
          <w:i w:val="0"/>
          <w:sz w:val="21"/>
        </w:rPr>
        <w:t>Notre organisation repose sur une équipe dédiée au Lot 3, encadrée par un conducteur de travaux unique, interlocuteur permanent de la Maîtrise d'Œuvre et de l'AP-HP pendant toute la durée de l'opération. Cette équipe est constituée d'un noyau de compagnons qualifiés par corps de métier (faux plafonds, peinture, sols souples), dimensionné pour tenir la fenêtre d'exécution de 45 jours du lot.</w:t>
      </w:r>
    </w:p>
    <w:tbl>
      <w:tblPr>
        <w:tblStyle w:val="TableGrid"/>
        <w:tblW w:type="auto" w:w="0"/>
        <w:jc w:val="center"/>
        <w:tblLook w:firstColumn="1" w:firstRow="1" w:lastColumn="0" w:lastRow="0" w:noHBand="0" w:noVBand="1" w:val="04A0"/>
      </w:tblPr>
      <w:tblGrid>
        <w:gridCol w:w="3324"/>
        <w:gridCol w:w="3324"/>
        <w:gridCol w:w="3324"/>
      </w:tblGrid>
      <w:tr>
        <w:tc>
          <w:tcPr>
            <w:tcW w:type="dxa" w:w="2098"/>
            <w:shd w:val="clear" w:color="auto" w:fill="2E74B5"/>
          </w:tcPr>
          <w:p>
            <w:r/>
            <w:r>
              <w:rPr>
                <w:b/>
                <w:color w:val="FFFFFF"/>
                <w:sz w:val="18"/>
              </w:rPr>
              <w:t>Fonction</w:t>
            </w:r>
          </w:p>
        </w:tc>
        <w:tc>
          <w:tcPr>
            <w:tcW w:type="dxa" w:w="4706"/>
            <w:shd w:val="clear" w:color="auto" w:fill="2E74B5"/>
          </w:tcPr>
          <w:p>
            <w:r/>
            <w:r>
              <w:rPr>
                <w:b/>
                <w:color w:val="FFFFFF"/>
                <w:sz w:val="18"/>
              </w:rPr>
              <w:t>Rôle sur l'opération</w:t>
            </w:r>
          </w:p>
        </w:tc>
        <w:tc>
          <w:tcPr>
            <w:tcW w:type="dxa" w:w="1984"/>
            <w:shd w:val="clear" w:color="auto" w:fill="2E74B5"/>
          </w:tcPr>
          <w:p>
            <w:r/>
            <w:r>
              <w:rPr>
                <w:b/>
                <w:color w:val="FFFFFF"/>
                <w:sz w:val="18"/>
              </w:rPr>
              <w:t>Interlocuteur</w:t>
            </w:r>
          </w:p>
        </w:tc>
      </w:tr>
      <w:tr>
        <w:tc>
          <w:tcPr>
            <w:tcW w:type="dxa" w:w="2098"/>
          </w:tcPr>
          <w:p>
            <w:r/>
            <w:r>
              <w:rPr>
                <w:sz w:val="18"/>
              </w:rPr>
              <w:t>Conducteur de travaux</w:t>
            </w:r>
          </w:p>
        </w:tc>
        <w:tc>
          <w:tcPr>
            <w:tcW w:type="dxa" w:w="4706"/>
          </w:tcPr>
          <w:p>
            <w:r/>
            <w:r>
              <w:rPr>
                <w:sz w:val="18"/>
              </w:rPr>
              <w:t>Pilotage global du lot, planning, interface MOE/AP-HP, validation des points d'arrêt</w:t>
            </w:r>
          </w:p>
        </w:tc>
        <w:tc>
          <w:tcPr>
            <w:tcW w:type="dxa" w:w="1984"/>
          </w:tcPr>
          <w:p>
            <w:r/>
            <w:r>
              <w:rPr>
                <w:sz w:val="18"/>
              </w:rPr>
              <w:t>MOE / AP-HP</w:t>
            </w:r>
          </w:p>
        </w:tc>
      </w:tr>
      <w:tr>
        <w:tc>
          <w:tcPr>
            <w:tcW w:type="dxa" w:w="2098"/>
          </w:tcPr>
          <w:p>
            <w:r/>
            <w:r>
              <w:rPr>
                <w:sz w:val="18"/>
              </w:rPr>
              <w:t>Chef de chantier</w:t>
            </w:r>
          </w:p>
        </w:tc>
        <w:tc>
          <w:tcPr>
            <w:tcW w:type="dxa" w:w="4706"/>
          </w:tcPr>
          <w:p>
            <w:r/>
            <w:r>
              <w:rPr>
                <w:sz w:val="18"/>
              </w:rPr>
              <w:t>Encadrement quotidien des équipes, sécurité, coordination inter-lots sur site</w:t>
            </w:r>
          </w:p>
        </w:tc>
        <w:tc>
          <w:tcPr>
            <w:tcW w:type="dxa" w:w="1984"/>
          </w:tcPr>
          <w:p>
            <w:r/>
            <w:r>
              <w:rPr>
                <w:sz w:val="18"/>
              </w:rPr>
              <w:t>Coordonnateur SPS</w:t>
            </w:r>
          </w:p>
        </w:tc>
      </w:tr>
      <w:tr>
        <w:tc>
          <w:tcPr>
            <w:tcW w:type="dxa" w:w="2098"/>
          </w:tcPr>
          <w:p>
            <w:r/>
            <w:r>
              <w:rPr>
                <w:sz w:val="18"/>
              </w:rPr>
              <w:t>Chargé QSE / environnement</w:t>
            </w:r>
          </w:p>
        </w:tc>
        <w:tc>
          <w:tcPr>
            <w:tcW w:type="dxa" w:w="4706"/>
          </w:tcPr>
          <w:p>
            <w:r/>
            <w:r>
              <w:rPr>
                <w:sz w:val="18"/>
              </w:rPr>
              <w:t>Suivi PPSPS, gestion des déchets et indicateurs environnementaux, autocontrôles</w:t>
            </w:r>
          </w:p>
        </w:tc>
        <w:tc>
          <w:tcPr>
            <w:tcW w:type="dxa" w:w="1984"/>
          </w:tcPr>
          <w:p>
            <w:r/>
            <w:r>
              <w:rPr>
                <w:sz w:val="18"/>
              </w:rPr>
              <w:t>Coordonnateur SPS / MOE</w:t>
            </w:r>
          </w:p>
        </w:tc>
      </w:tr>
      <w:tr>
        <w:tc>
          <w:tcPr>
            <w:tcW w:type="dxa" w:w="2098"/>
          </w:tcPr>
          <w:p>
            <w:r/>
            <w:r>
              <w:rPr>
                <w:sz w:val="18"/>
              </w:rPr>
              <w:t>Équipe faux plafonds</w:t>
            </w:r>
          </w:p>
        </w:tc>
        <w:tc>
          <w:tcPr>
            <w:tcW w:type="dxa" w:w="4706"/>
          </w:tcPr>
          <w:p>
            <w:r/>
            <w:r>
              <w:rPr>
                <w:sz w:val="18"/>
              </w:rPr>
              <w:t>Pose ossatures, dalles Ecophon, jouées, grilles de ventilation</w:t>
            </w:r>
          </w:p>
        </w:tc>
        <w:tc>
          <w:tcPr>
            <w:tcW w:type="dxa" w:w="1984"/>
          </w:tcPr>
          <w:p>
            <w:r/>
            <w:r>
              <w:rPr>
                <w:sz w:val="18"/>
              </w:rPr>
              <w:t>Chef de chantier</w:t>
            </w:r>
          </w:p>
        </w:tc>
      </w:tr>
      <w:tr>
        <w:tc>
          <w:tcPr>
            <w:tcW w:type="dxa" w:w="2098"/>
          </w:tcPr>
          <w:p>
            <w:r/>
            <w:r>
              <w:rPr>
                <w:sz w:val="18"/>
              </w:rPr>
              <w:t>Équipe peinture</w:t>
            </w:r>
          </w:p>
        </w:tc>
        <w:tc>
          <w:tcPr>
            <w:tcW w:type="dxa" w:w="4706"/>
          </w:tcPr>
          <w:p>
            <w:r/>
            <w:r>
              <w:rPr>
                <w:sz w:val="18"/>
              </w:rPr>
              <w:t>Préparation des supports, impression, finitions</w:t>
            </w:r>
          </w:p>
        </w:tc>
        <w:tc>
          <w:tcPr>
            <w:tcW w:type="dxa" w:w="1984"/>
          </w:tcPr>
          <w:p>
            <w:r/>
            <w:r>
              <w:rPr>
                <w:sz w:val="18"/>
              </w:rPr>
              <w:t>Chef de chantier</w:t>
            </w:r>
          </w:p>
        </w:tc>
      </w:tr>
      <w:tr>
        <w:tc>
          <w:tcPr>
            <w:tcW w:type="dxa" w:w="2098"/>
          </w:tcPr>
          <w:p>
            <w:r/>
            <w:r>
              <w:rPr>
                <w:sz w:val="18"/>
              </w:rPr>
              <w:t>Équipe sols souples</w:t>
            </w:r>
          </w:p>
        </w:tc>
        <w:tc>
          <w:tcPr>
            <w:tcW w:type="dxa" w:w="4706"/>
          </w:tcPr>
          <w:p>
            <w:r/>
            <w:r>
              <w:rPr>
                <w:sz w:val="18"/>
              </w:rPr>
              <w:t>Ragréage, pose des revêtements, plinthes, seuils</w:t>
            </w:r>
          </w:p>
        </w:tc>
        <w:tc>
          <w:tcPr>
            <w:tcW w:type="dxa" w:w="1984"/>
          </w:tcPr>
          <w:p>
            <w:r/>
            <w:r>
              <w:rPr>
                <w:sz w:val="18"/>
              </w:rPr>
              <w:t>Chef de chantier</w:t>
            </w:r>
          </w:p>
        </w:tc>
      </w:tr>
    </w:tbl>
    <w:p/>
    <w:p>
      <w:pPr>
        <w:spacing w:before="240" w:after="80"/>
      </w:pPr>
      <w:r>
        <w:rPr>
          <w:b/>
          <w:color w:val="1F3A5F"/>
          <w:sz w:val="24"/>
        </w:rPr>
        <w:t>2.2. Organisation particulière en site hospitalier occupé</w:t>
      </w:r>
    </w:p>
    <w:p>
      <w:r>
        <w:rPr>
          <w:b w:val="0"/>
          <w:i w:val="0"/>
          <w:sz w:val="21"/>
        </w:rPr>
        <w:t>L'hôpital René Muret restant en activité pendant toute la durée du chantier, notre organisation intègre dès la préparation les contraintes propres à un établissement de soins : nous adaptons nos horaires d'intervention aux périodes les moins sensibles pour l'activité de soins, en particulier pour les tâches bruyantes ou générant des poussières, en concertation avec le service technique de l'hôpital et le Maître d'Œuvre. Notre zone d'intervention est physiquement isolée du reste de l'établissement par un cloisonnement de chantier étanche, afin de garantir l'absence d'impact sur les circuits patients, le personnel et les locaux à sommeil voisins.</w:t>
      </w:r>
    </w:p>
    <w:p>
      <w:r>
        <w:rPr>
          <w:b w:val="0"/>
          <w:i w:val="0"/>
          <w:sz w:val="21"/>
        </w:rPr>
        <w:t>Nos équipes sont sensibilisées, avant intervention, aux spécificités d'un chantier en milieu hospitalier : discrétion, respect des circulations réservées au public, comportement adapté à proximité de patients, et strict respect des consignes de sécurité incendie propres à un établissement classé SSI catégorie A.</w:t>
      </w:r>
    </w:p>
    <w:p>
      <w:pPr>
        <w:spacing w:before="240" w:after="80"/>
      </w:pPr>
      <w:r>
        <w:rPr>
          <w:b/>
          <w:color w:val="1F3A5F"/>
          <w:sz w:val="24"/>
        </w:rPr>
        <w:t>2.3. Préparation et installation de chantier</w:t>
      </w:r>
    </w:p>
    <w:p>
      <w:r>
        <w:rPr>
          <w:b w:val="0"/>
          <w:i w:val="0"/>
          <w:sz w:val="21"/>
        </w:rPr>
        <w:t>Conformément à l'article XI du CCAP, la période de préparation d'un mois est mise à profit pour sécuriser l'ensemble des conditions de démarrage de notre intervention.</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2E74B5"/>
          </w:tcPr>
          <w:p>
            <w:r/>
            <w:r>
              <w:rPr>
                <w:b/>
                <w:color w:val="FFFFFF"/>
                <w:sz w:val="18"/>
              </w:rPr>
              <w:t>Étape de préparation</w:t>
            </w:r>
          </w:p>
        </w:tc>
        <w:tc>
          <w:tcPr>
            <w:tcW w:type="dxa" w:w="3685"/>
            <w:shd w:val="clear" w:color="auto" w:fill="2E74B5"/>
          </w:tcPr>
          <w:p>
            <w:r/>
            <w:r>
              <w:rPr>
                <w:b/>
                <w:color w:val="FFFFFF"/>
                <w:sz w:val="18"/>
              </w:rPr>
              <w:t>Livrable / action</w:t>
            </w:r>
          </w:p>
        </w:tc>
        <w:tc>
          <w:tcPr>
            <w:tcW w:type="dxa" w:w="2551"/>
            <w:shd w:val="clear" w:color="auto" w:fill="2E74B5"/>
          </w:tcPr>
          <w:p>
            <w:r/>
            <w:r>
              <w:rPr>
                <w:b/>
                <w:color w:val="FFFFFF"/>
                <w:sz w:val="18"/>
              </w:rPr>
              <w:t>Référence contractuelle</w:t>
            </w:r>
          </w:p>
        </w:tc>
      </w:tr>
      <w:tr>
        <w:tc>
          <w:tcPr>
            <w:tcW w:type="dxa" w:w="2551"/>
          </w:tcPr>
          <w:p>
            <w:r/>
            <w:r>
              <w:rPr>
                <w:sz w:val="18"/>
              </w:rPr>
              <w:t>Visite et reconnaissance des lieux</w:t>
            </w:r>
          </w:p>
        </w:tc>
        <w:tc>
          <w:tcPr>
            <w:tcW w:type="dxa" w:w="3685"/>
          </w:tcPr>
          <w:p>
            <w:r/>
            <w:r>
              <w:rPr>
                <w:sz w:val="18"/>
              </w:rPr>
              <w:t>Levée des dernières ambiguïtés techniques, contrôle des cotes</w:t>
            </w:r>
          </w:p>
        </w:tc>
        <w:tc>
          <w:tcPr>
            <w:tcW w:type="dxa" w:w="2551"/>
          </w:tcPr>
          <w:p>
            <w:r/>
            <w:r>
              <w:rPr>
                <w:sz w:val="18"/>
              </w:rPr>
              <w:t>RC § 1.07 / CCTP III.1</w:t>
            </w:r>
          </w:p>
        </w:tc>
      </w:tr>
      <w:tr>
        <w:tc>
          <w:tcPr>
            <w:tcW w:type="dxa" w:w="2551"/>
          </w:tcPr>
          <w:p>
            <w:r/>
            <w:r>
              <w:rPr>
                <w:sz w:val="18"/>
              </w:rPr>
              <w:t>Programme d'exécution des travaux</w:t>
            </w:r>
          </w:p>
        </w:tc>
        <w:tc>
          <w:tcPr>
            <w:tcW w:type="dxa" w:w="3685"/>
          </w:tcPr>
          <w:p>
            <w:r/>
            <w:r>
              <w:rPr>
                <w:sz w:val="18"/>
              </w:rPr>
              <w:t>Planning détaillé du lot, soumis au visa du MOE</w:t>
            </w:r>
          </w:p>
        </w:tc>
        <w:tc>
          <w:tcPr>
            <w:tcW w:type="dxa" w:w="2551"/>
          </w:tcPr>
          <w:p>
            <w:r/>
            <w:r>
              <w:rPr>
                <w:sz w:val="18"/>
              </w:rPr>
              <w:t>CCAP art. XI.01 (réf. art. 28.2 CCAG)</w:t>
            </w:r>
          </w:p>
        </w:tc>
      </w:tr>
      <w:tr>
        <w:tc>
          <w:tcPr>
            <w:tcW w:type="dxa" w:w="2551"/>
          </w:tcPr>
          <w:p>
            <w:r/>
            <w:r>
              <w:rPr>
                <w:sz w:val="18"/>
              </w:rPr>
              <w:t>Plan d'Assurance Qualité (PAQ)</w:t>
            </w:r>
          </w:p>
        </w:tc>
        <w:tc>
          <w:tcPr>
            <w:tcW w:type="dxa" w:w="3685"/>
          </w:tcPr>
          <w:p>
            <w:r/>
            <w:r>
              <w:rPr>
                <w:sz w:val="18"/>
              </w:rPr>
              <w:t>Dispositions de gestion de la qualité propres au lot</w:t>
            </w:r>
          </w:p>
        </w:tc>
        <w:tc>
          <w:tcPr>
            <w:tcW w:type="dxa" w:w="2551"/>
          </w:tcPr>
          <w:p>
            <w:r/>
            <w:r>
              <w:rPr>
                <w:sz w:val="18"/>
              </w:rPr>
              <w:t>CCAP art. XI.01</w:t>
            </w:r>
          </w:p>
        </w:tc>
      </w:tr>
      <w:tr>
        <w:tc>
          <w:tcPr>
            <w:tcW w:type="dxa" w:w="2551"/>
          </w:tcPr>
          <w:p>
            <w:r/>
            <w:r>
              <w:rPr>
                <w:sz w:val="18"/>
              </w:rPr>
              <w:t>PPSPS</w:t>
            </w:r>
          </w:p>
        </w:tc>
        <w:tc>
          <w:tcPr>
            <w:tcW w:type="dxa" w:w="3685"/>
          </w:tcPr>
          <w:p>
            <w:r/>
            <w:r>
              <w:rPr>
                <w:sz w:val="18"/>
              </w:rPr>
              <w:t>Établi après inspection commune, remis sous 30 jours</w:t>
            </w:r>
          </w:p>
        </w:tc>
        <w:tc>
          <w:tcPr>
            <w:tcW w:type="dxa" w:w="2551"/>
          </w:tcPr>
          <w:p>
            <w:r/>
            <w:r>
              <w:rPr>
                <w:sz w:val="18"/>
              </w:rPr>
              <w:t>CCAP art. XI.04</w:t>
            </w:r>
          </w:p>
        </w:tc>
      </w:tr>
      <w:tr>
        <w:tc>
          <w:tcPr>
            <w:tcW w:type="dxa" w:w="2551"/>
          </w:tcPr>
          <w:p>
            <w:r/>
            <w:r>
              <w:rPr>
                <w:sz w:val="18"/>
              </w:rPr>
              <w:t>Plans d'exécution, notes de calcul</w:t>
            </w:r>
          </w:p>
        </w:tc>
        <w:tc>
          <w:tcPr>
            <w:tcW w:type="dxa" w:w="3685"/>
          </w:tcPr>
          <w:p>
            <w:r/>
            <w:r>
              <w:rPr>
                <w:sz w:val="18"/>
              </w:rPr>
              <w:t>Établis par nos soins, visés par le MOE avant travaux</w:t>
            </w:r>
          </w:p>
        </w:tc>
        <w:tc>
          <w:tcPr>
            <w:tcW w:type="dxa" w:w="2551"/>
          </w:tcPr>
          <w:p>
            <w:r/>
            <w:r>
              <w:rPr>
                <w:sz w:val="18"/>
              </w:rPr>
              <w:t>CCAP art. XI.02 / CCTP Art. XII</w:t>
            </w:r>
          </w:p>
        </w:tc>
      </w:tr>
      <w:tr>
        <w:tc>
          <w:tcPr>
            <w:tcW w:type="dxa" w:w="2551"/>
          </w:tcPr>
          <w:p>
            <w:r/>
            <w:r>
              <w:rPr>
                <w:sz w:val="18"/>
              </w:rPr>
              <w:t>Constat contradictoire du renfort structurel</w:t>
            </w:r>
          </w:p>
        </w:tc>
        <w:tc>
          <w:tcPr>
            <w:tcW w:type="dxa" w:w="3685"/>
          </w:tcPr>
          <w:p>
            <w:r/>
            <w:r>
              <w:rPr>
                <w:sz w:val="18"/>
              </w:rPr>
              <w:t>Vérification de la réception du renfort HEB220 (Lot 1) avant intervention en zone scanner</w:t>
            </w:r>
          </w:p>
        </w:tc>
        <w:tc>
          <w:tcPr>
            <w:tcW w:type="dxa" w:w="2551"/>
          </w:tcPr>
          <w:p>
            <w:r/>
            <w:r>
              <w:rPr>
                <w:sz w:val="18"/>
              </w:rPr>
              <w:t>Point d'arrêt spécifique France Décoration</w:t>
            </w:r>
          </w:p>
        </w:tc>
      </w:tr>
      <w:tr>
        <w:tc>
          <w:tcPr>
            <w:tcW w:type="dxa" w:w="2551"/>
          </w:tcPr>
          <w:p>
            <w:r/>
            <w:r>
              <w:rPr>
                <w:sz w:val="18"/>
              </w:rPr>
              <w:t>Installation de chantier</w:t>
            </w:r>
          </w:p>
        </w:tc>
        <w:tc>
          <w:tcPr>
            <w:tcW w:type="dxa" w:w="3685"/>
          </w:tcPr>
          <w:p>
            <w:r/>
            <w:r>
              <w:rPr>
                <w:sz w:val="18"/>
              </w:rPr>
              <w:t>Base vie, stockage, zones de dépôt de gravois définies avec le MOE</w:t>
            </w:r>
          </w:p>
        </w:tc>
        <w:tc>
          <w:tcPr>
            <w:tcW w:type="dxa" w:w="2551"/>
          </w:tcPr>
          <w:p>
            <w:r/>
            <w:r>
              <w:rPr>
                <w:sz w:val="18"/>
              </w:rPr>
              <w:t>CCAP Art. XIII</w:t>
            </w:r>
          </w:p>
        </w:tc>
      </w:tr>
    </w:tbl>
    <w:p/>
    <w:p>
      <w:pPr>
        <w:spacing w:before="240" w:after="80"/>
      </w:pPr>
      <w:r>
        <w:rPr>
          <w:b/>
          <w:color w:val="1F3A5F"/>
          <w:sz w:val="24"/>
        </w:rPr>
        <w:t>2.4. Gestion des accès, approvisionnements, stockage et manutention</w:t>
      </w:r>
    </w:p>
    <w:p>
      <w:r>
        <w:rPr>
          <w:b w:val="0"/>
          <w:i w:val="0"/>
          <w:sz w:val="21"/>
        </w:rPr>
        <w:t>Les accès chantier (personnel, matériel, livraisons) sont définis en amont avec la loge de sécurité de l'hôpital afin de ne pas interférer avec les flux patients et visiteurs. Les livraisons volumineuses (dalles de faux plafonds, rouleaux de sols souples, fûts de peinture) sont planifiées en dehors des heures de forte affluence et déchargées directement en zone de stockage dédiée, sans transit prolongé dans les circulations communes.</w:t>
      </w:r>
    </w:p>
    <w:p>
      <w:pPr>
        <w:pStyle w:val="ListBullet"/>
      </w:pPr>
      <w:r>
        <w:t>Approvisionnements séquencés par local, au plus près du besoin, afin de limiter le stockage sur site (produits inflammables/COV en particulier).</w:t>
      </w:r>
    </w:p>
    <w:p>
      <w:pPr>
        <w:pStyle w:val="ListBullet"/>
      </w:pPr>
      <w:r>
        <w:t>Manutention des dalles de faux plafonds et rouleaux de sols par diable/chariot adapté, avec protection des sols déjà en place lors des déplacements.</w:t>
      </w:r>
    </w:p>
    <w:p>
      <w:pPr>
        <w:pStyle w:val="ListBullet"/>
      </w:pPr>
      <w:r>
        <w:t>Zone de stockage fermée et sécurisée pour les produits sensibles (peintures, colles), à l'écart des locaux occupés.</w:t>
      </w:r>
    </w:p>
    <w:p>
      <w:pPr>
        <w:spacing w:before="240" w:after="80"/>
      </w:pPr>
      <w:r>
        <w:rPr>
          <w:b/>
          <w:color w:val="1F3A5F"/>
          <w:sz w:val="24"/>
        </w:rPr>
        <w:t>2.5. Protection des locaux, des circulations et des ouvrages existants</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2E74B5"/>
          </w:tcPr>
          <w:p>
            <w:r/>
            <w:r>
              <w:rPr>
                <w:b/>
                <w:color w:val="FFFFFF"/>
                <w:sz w:val="18"/>
              </w:rPr>
              <w:t>Élément à protéger</w:t>
            </w:r>
          </w:p>
        </w:tc>
        <w:tc>
          <w:tcPr>
            <w:tcW w:type="dxa" w:w="5102"/>
            <w:shd w:val="clear" w:color="auto" w:fill="2E74B5"/>
          </w:tcPr>
          <w:p>
            <w:r/>
            <w:r>
              <w:rPr>
                <w:b/>
                <w:color w:val="FFFFFF"/>
                <w:sz w:val="18"/>
              </w:rPr>
              <w:t>Dispositif de protection mis en œuvre</w:t>
            </w:r>
          </w:p>
        </w:tc>
      </w:tr>
      <w:tr>
        <w:tc>
          <w:tcPr>
            <w:tcW w:type="dxa" w:w="3685"/>
          </w:tcPr>
          <w:p>
            <w:r/>
            <w:r>
              <w:rPr>
                <w:sz w:val="18"/>
              </w:rPr>
              <w:t>Sols existants dans les circulations empruntées</w:t>
            </w:r>
          </w:p>
        </w:tc>
        <w:tc>
          <w:tcPr>
            <w:tcW w:type="dxa" w:w="5102"/>
          </w:tcPr>
          <w:p>
            <w:r/>
            <w:r>
              <w:rPr>
                <w:sz w:val="18"/>
              </w:rPr>
              <w:t>Films de protection type polyane renforcé + panneaux rigides sur les axes de passage fréquent</w:t>
            </w:r>
          </w:p>
        </w:tc>
      </w:tr>
      <w:tr>
        <w:tc>
          <w:tcPr>
            <w:tcW w:type="dxa" w:w="3685"/>
          </w:tcPr>
          <w:p>
            <w:r/>
            <w:r>
              <w:rPr>
                <w:sz w:val="18"/>
              </w:rPr>
              <w:t>Ouvrages finis livrés par d'autres lots (menuiseries, réseaux apparents)</w:t>
            </w:r>
          </w:p>
        </w:tc>
        <w:tc>
          <w:tcPr>
            <w:tcW w:type="dxa" w:w="5102"/>
          </w:tcPr>
          <w:p>
            <w:r/>
            <w:r>
              <w:rPr>
                <w:sz w:val="18"/>
              </w:rPr>
              <w:t>Bâchage systématique avant intervention peinture/sols à proximité</w:t>
            </w:r>
          </w:p>
        </w:tc>
      </w:tr>
      <w:tr>
        <w:tc>
          <w:tcPr>
            <w:tcW w:type="dxa" w:w="3685"/>
          </w:tcPr>
          <w:p>
            <w:r/>
            <w:r>
              <w:rPr>
                <w:sz w:val="18"/>
              </w:rPr>
              <w:t>Faux plafonds et sols posés par notre lot, dans l'attente de la réception</w:t>
            </w:r>
          </w:p>
        </w:tc>
        <w:tc>
          <w:tcPr>
            <w:tcW w:type="dxa" w:w="5102"/>
          </w:tcPr>
          <w:p>
            <w:r/>
            <w:r>
              <w:rPr>
                <w:sz w:val="18"/>
              </w:rPr>
              <w:t>Interdiction de stockage/appui sur les ouvrages fraîchement posés, signalétique de zone fraîche</w:t>
            </w:r>
          </w:p>
        </w:tc>
      </w:tr>
      <w:tr>
        <w:tc>
          <w:tcPr>
            <w:tcW w:type="dxa" w:w="3685"/>
          </w:tcPr>
          <w:p>
            <w:r/>
            <w:r>
              <w:rPr>
                <w:sz w:val="18"/>
              </w:rPr>
              <w:t>Locaux occupés adjacents à la zone de travaux</w:t>
            </w:r>
          </w:p>
        </w:tc>
        <w:tc>
          <w:tcPr>
            <w:tcW w:type="dxa" w:w="5102"/>
          </w:tcPr>
          <w:p>
            <w:r/>
            <w:r>
              <w:rPr>
                <w:sz w:val="18"/>
              </w:rPr>
              <w:t>Cloisonnement de chantier étanche, joints d'étanchéité aux poussières</w:t>
            </w:r>
          </w:p>
        </w:tc>
      </w:tr>
      <w:tr>
        <w:tc>
          <w:tcPr>
            <w:tcW w:type="dxa" w:w="3685"/>
          </w:tcPr>
          <w:p>
            <w:r/>
            <w:r>
              <w:rPr>
                <w:sz w:val="18"/>
              </w:rPr>
              <w:t>Réseaux et équipements techniques existants conservés</w:t>
            </w:r>
          </w:p>
        </w:tc>
        <w:tc>
          <w:tcPr>
            <w:tcW w:type="dxa" w:w="5102"/>
          </w:tcPr>
          <w:p>
            <w:r/>
            <w:r>
              <w:rPr>
                <w:sz w:val="18"/>
              </w:rPr>
              <w:t>Repérage contradictoire avant travaux, protection ponctuelle (gaines, coffrets)</w:t>
            </w:r>
          </w:p>
        </w:tc>
      </w:tr>
    </w:tbl>
    <w:p/>
    <w:p>
      <w:pPr>
        <w:spacing w:before="240" w:after="80"/>
      </w:pPr>
      <w:r>
        <w:rPr>
          <w:b/>
          <w:color w:val="1F3A5F"/>
          <w:sz w:val="24"/>
        </w:rPr>
        <w:t>2.6. Maintien de la propreté et maîtrise des poussières et nuisances</w:t>
      </w:r>
    </w:p>
    <w:p>
      <w:r>
        <w:rPr>
          <w:b w:val="0"/>
          <w:i w:val="0"/>
          <w:sz w:val="21"/>
        </w:rPr>
        <w:t>Le maintien en permanence d'un état de propreté compatible avec un environnement de soins est une exigence centrale de notre organisation, au-delà même des obligations de nettoyage final prévues au CCTP (cf. § 2.12).</w:t>
      </w:r>
    </w:p>
    <w:p>
      <w:pPr>
        <w:pStyle w:val="ListBullet"/>
      </w:pPr>
      <w:r>
        <w:t>Aspiration à la source lors de toute opération de ponçage (rebouchage, enduit, préparation de supports).</w:t>
      </w:r>
    </w:p>
    <w:p>
      <w:pPr>
        <w:pStyle w:val="ListBullet"/>
      </w:pPr>
      <w:r>
        <w:t>Usage exclusif de produits d'impression et de peinture à très faible émission de C.O.V. (Indeko Bio Fix / Indeko Satin — Caparol pour les murs, Muroprim / Garnysatin S2P — Seigneurie pour plafonds, bois, métaux et PVC), limitant les nuisances olfactives pour les zones occupées voisines.</w:t>
      </w:r>
    </w:p>
    <w:p>
      <w:pPr>
        <w:pStyle w:val="ListBullet"/>
      </w:pPr>
      <w:r>
        <w:t>Balayage et évacuation quotidienne des poussières et déchets de chantier en fin de journée, avant réouverture éventuelle des circulations.</w:t>
      </w:r>
    </w:p>
    <w:p>
      <w:pPr>
        <w:pStyle w:val="ListBullet"/>
      </w:pPr>
      <w:r>
        <w:t>Confinement de la zone de travaux (bâches, sas d'accès) pour limiter la propagation des poussières hors de l'emprise du chantier.</w:t>
      </w:r>
    </w:p>
    <w:p>
      <w:pPr>
        <w:spacing w:before="240" w:after="80"/>
      </w:pPr>
      <w:r>
        <w:rPr>
          <w:b/>
          <w:color w:val="1F3A5F"/>
          <w:sz w:val="24"/>
        </w:rPr>
        <w:t>2.7. Coordination avec l'AP-HP, la MOE et les autres corps d'état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2E74B5"/>
          </w:tcPr>
          <w:p>
            <w:r/>
            <w:r>
              <w:rPr>
                <w:b/>
                <w:color w:val="FFFFFF"/>
                <w:sz w:val="18"/>
              </w:rPr>
              <w:t>Instance de coordination</w:t>
            </w:r>
          </w:p>
        </w:tc>
        <w:tc>
          <w:tcPr>
            <w:tcW w:type="dxa" w:w="2268"/>
            <w:shd w:val="clear" w:color="auto" w:fill="2E74B5"/>
          </w:tcPr>
          <w:p>
            <w:r/>
            <w:r>
              <w:rPr>
                <w:b/>
                <w:color w:val="FFFFFF"/>
                <w:sz w:val="18"/>
              </w:rPr>
              <w:t>Participants</w:t>
            </w:r>
          </w:p>
        </w:tc>
        <w:tc>
          <w:tcPr>
            <w:tcW w:type="dxa" w:w="1984"/>
            <w:shd w:val="clear" w:color="auto" w:fill="2E74B5"/>
          </w:tcPr>
          <w:p>
            <w:r/>
            <w:r>
              <w:rPr>
                <w:b/>
                <w:color w:val="FFFFFF"/>
                <w:sz w:val="18"/>
              </w:rPr>
              <w:t>Fréquence</w:t>
            </w:r>
          </w:p>
        </w:tc>
        <w:tc>
          <w:tcPr>
            <w:tcW w:type="dxa" w:w="2268"/>
            <w:shd w:val="clear" w:color="auto" w:fill="2E74B5"/>
          </w:tcPr>
          <w:p>
            <w:r/>
            <w:r>
              <w:rPr>
                <w:b/>
                <w:color w:val="FFFFFF"/>
                <w:sz w:val="18"/>
              </w:rPr>
              <w:t>Objet</w:t>
            </w:r>
          </w:p>
        </w:tc>
      </w:tr>
      <w:tr>
        <w:tc>
          <w:tcPr>
            <w:tcW w:type="dxa" w:w="2268"/>
          </w:tcPr>
          <w:p>
            <w:r/>
            <w:r>
              <w:rPr>
                <w:sz w:val="18"/>
              </w:rPr>
              <w:t>Réunion de chantier générale</w:t>
            </w:r>
          </w:p>
        </w:tc>
        <w:tc>
          <w:tcPr>
            <w:tcW w:type="dxa" w:w="2268"/>
          </w:tcPr>
          <w:p>
            <w:r/>
            <w:r>
              <w:rPr>
                <w:sz w:val="18"/>
              </w:rPr>
              <w:t>MOE, AP-HP, tous les lots</w:t>
            </w:r>
          </w:p>
        </w:tc>
        <w:tc>
          <w:tcPr>
            <w:tcW w:type="dxa" w:w="1984"/>
          </w:tcPr>
          <w:p>
            <w:r/>
            <w:r>
              <w:rPr>
                <w:sz w:val="18"/>
              </w:rPr>
              <w:t>Hebdomadaire</w:t>
            </w:r>
          </w:p>
        </w:tc>
        <w:tc>
          <w:tcPr>
            <w:tcW w:type="dxa" w:w="2268"/>
          </w:tcPr>
          <w:p>
            <w:r/>
            <w:r>
              <w:rPr>
                <w:sz w:val="18"/>
              </w:rPr>
              <w:t>Avancement global, arbitrages, points bloquants</w:t>
            </w:r>
          </w:p>
        </w:tc>
      </w:tr>
      <w:tr>
        <w:tc>
          <w:tcPr>
            <w:tcW w:type="dxa" w:w="2268"/>
          </w:tcPr>
          <w:p>
            <w:r/>
            <w:r>
              <w:rPr>
                <w:sz w:val="18"/>
              </w:rPr>
              <w:t>Réunion de coordination technique inter-lots</w:t>
            </w:r>
          </w:p>
        </w:tc>
        <w:tc>
          <w:tcPr>
            <w:tcW w:type="dxa" w:w="2268"/>
          </w:tcPr>
          <w:p>
            <w:r/>
            <w:r>
              <w:rPr>
                <w:sz w:val="18"/>
              </w:rPr>
              <w:t>Lot 3 + lots 1/2/4/5/6 concernés</w:t>
            </w:r>
          </w:p>
        </w:tc>
        <w:tc>
          <w:tcPr>
            <w:tcW w:type="dxa" w:w="1984"/>
          </w:tcPr>
          <w:p>
            <w:r/>
            <w:r>
              <w:rPr>
                <w:sz w:val="18"/>
              </w:rPr>
              <w:t>Selon phasage (avant chaque intervention en interface)</w:t>
            </w:r>
          </w:p>
        </w:tc>
        <w:tc>
          <w:tcPr>
            <w:tcW w:type="dxa" w:w="2268"/>
          </w:tcPr>
          <w:p>
            <w:r/>
            <w:r>
              <w:rPr>
                <w:sz w:val="18"/>
              </w:rPr>
              <w:t>Réservations en plénum, plinthes après sols, raccords menuiseries</w:t>
            </w:r>
          </w:p>
        </w:tc>
      </w:tr>
      <w:tr>
        <w:tc>
          <w:tcPr>
            <w:tcW w:type="dxa" w:w="2268"/>
          </w:tcPr>
          <w:p>
            <w:r/>
            <w:r>
              <w:rPr>
                <w:sz w:val="18"/>
              </w:rPr>
              <w:t>Point de coordination SSI</w:t>
            </w:r>
          </w:p>
        </w:tc>
        <w:tc>
          <w:tcPr>
            <w:tcW w:type="dxa" w:w="2268"/>
          </w:tcPr>
          <w:p>
            <w:r/>
            <w:r>
              <w:rPr>
                <w:sz w:val="18"/>
              </w:rPr>
              <w:t>Coordonnateur SSI (CS Ingénierie), Lot 3</w:t>
            </w:r>
          </w:p>
        </w:tc>
        <w:tc>
          <w:tcPr>
            <w:tcW w:type="dxa" w:w="1984"/>
          </w:tcPr>
          <w:p>
            <w:r/>
            <w:r>
              <w:rPr>
                <w:sz w:val="18"/>
              </w:rPr>
              <w:t>À chaque intervention sur cloisons/plénums sensibles</w:t>
            </w:r>
          </w:p>
        </w:tc>
        <w:tc>
          <w:tcPr>
            <w:tcW w:type="dxa" w:w="2268"/>
          </w:tcPr>
          <w:p>
            <w:r/>
            <w:r>
              <w:rPr>
                <w:sz w:val="18"/>
              </w:rPr>
              <w:t>Validation des interventions proches des DAS et cloisons coupe-feu</w:t>
            </w:r>
          </w:p>
        </w:tc>
      </w:tr>
      <w:tr>
        <w:tc>
          <w:tcPr>
            <w:tcW w:type="dxa" w:w="2268"/>
          </w:tcPr>
          <w:p>
            <w:r/>
            <w:r>
              <w:rPr>
                <w:sz w:val="18"/>
              </w:rPr>
              <w:t>Point de coordination SPS</w:t>
            </w:r>
          </w:p>
        </w:tc>
        <w:tc>
          <w:tcPr>
            <w:tcW w:type="dxa" w:w="2268"/>
          </w:tcPr>
          <w:p>
            <w:r/>
            <w:r>
              <w:rPr>
                <w:sz w:val="18"/>
              </w:rPr>
              <w:t>Coordonnateur SPS (SOCOTEC), Lot 3</w:t>
            </w:r>
          </w:p>
        </w:tc>
        <w:tc>
          <w:tcPr>
            <w:tcW w:type="dxa" w:w="1984"/>
          </w:tcPr>
          <w:p>
            <w:r/>
            <w:r>
              <w:rPr>
                <w:sz w:val="18"/>
              </w:rPr>
              <w:t>Selon PGC / inspection commune</w:t>
            </w:r>
          </w:p>
        </w:tc>
        <w:tc>
          <w:tcPr>
            <w:tcW w:type="dxa" w:w="2268"/>
          </w:tcPr>
          <w:p>
            <w:r/>
            <w:r>
              <w:rPr>
                <w:sz w:val="18"/>
              </w:rPr>
              <w:t>Sécurité, PPSPS, situations à risque</w:t>
            </w:r>
          </w:p>
        </w:tc>
      </w:tr>
      <w:tr>
        <w:tc>
          <w:tcPr>
            <w:tcW w:type="dxa" w:w="2268"/>
          </w:tcPr>
          <w:p>
            <w:r/>
            <w:r>
              <w:rPr>
                <w:sz w:val="18"/>
              </w:rPr>
              <w:t>Point d'arrêt structurel</w:t>
            </w:r>
          </w:p>
        </w:tc>
        <w:tc>
          <w:tcPr>
            <w:tcW w:type="dxa" w:w="2268"/>
          </w:tcPr>
          <w:p>
            <w:r/>
            <w:r>
              <w:rPr>
                <w:sz w:val="18"/>
              </w:rPr>
              <w:t>MOE, Lot 1, Lot 3</w:t>
            </w:r>
          </w:p>
        </w:tc>
        <w:tc>
          <w:tcPr>
            <w:tcW w:type="dxa" w:w="1984"/>
          </w:tcPr>
          <w:p>
            <w:r/>
            <w:r>
              <w:rPr>
                <w:sz w:val="18"/>
              </w:rPr>
              <w:t>Avant intervention en zone scanner</w:t>
            </w:r>
          </w:p>
        </w:tc>
        <w:tc>
          <w:tcPr>
            <w:tcW w:type="dxa" w:w="2268"/>
          </w:tcPr>
          <w:p>
            <w:r/>
            <w:r>
              <w:rPr>
                <w:sz w:val="18"/>
              </w:rPr>
              <w:t>Réception contradictoire du renfort HEB220</w:t>
            </w:r>
          </w:p>
        </w:tc>
      </w:tr>
    </w:tbl>
    <w:p/>
    <w:p>
      <w:r>
        <w:br w:type="page"/>
      </w:r>
    </w:p>
    <w:p>
      <w:pPr>
        <w:spacing w:before="240" w:after="80"/>
      </w:pPr>
      <w:r>
        <w:rPr>
          <w:b/>
          <w:color w:val="1F3A5F"/>
          <w:sz w:val="24"/>
        </w:rPr>
        <w:t>2.8. Méthodologie d'exécution des faux plafonds</w:t>
      </w:r>
    </w:p>
    <w:p>
      <w:r>
        <w:rPr>
          <w:b w:val="0"/>
          <w:i w:val="0"/>
          <w:sz w:val="21"/>
        </w:rPr>
        <w:t>La mise en œuvre des faux plafonds respecte les DTU 25.221 à 25.51 et 58.1 ainsi que les prescriptions particulières du CCTP (Art. III.2), notamment en matière de tenue au feu, de planéité et de coordination avec les autres corps d'état pour les réservations.</w:t>
      </w:r>
    </w:p>
    <w:p>
      <w:pPr>
        <w:spacing w:before="160" w:after="60"/>
      </w:pPr>
      <w:r>
        <w:rPr>
          <w:b/>
          <w:i/>
          <w:color w:val="2E74B5"/>
          <w:sz w:val="21"/>
        </w:rPr>
        <w:t>2.8.1. Faux plafonds Hygiène Performance A</w:t>
      </w:r>
    </w:p>
    <w:p>
      <w:r>
        <w:rPr>
          <w:b w:val="0"/>
          <w:i w:val="0"/>
          <w:sz w:val="21"/>
        </w:rPr>
        <w:t>Ouvrage prescrit à l'article IV.1 du CCTP, mis en œuvre dans les locaux courants (sanitaires, LT électrique, secrétariat, salle de détente…).</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2E74B5"/>
          </w:tcPr>
          <w:p>
            <w:r/>
            <w:r>
              <w:rPr>
                <w:b/>
                <w:color w:val="FFFFFF"/>
                <w:sz w:val="18"/>
              </w:rPr>
              <w:t>Étape</w:t>
            </w:r>
          </w:p>
        </w:tc>
        <w:tc>
          <w:tcPr>
            <w:tcW w:type="dxa" w:w="5953"/>
            <w:shd w:val="clear" w:color="auto" w:fill="2E74B5"/>
          </w:tcPr>
          <w:p>
            <w:r/>
            <w:r>
              <w:rPr>
                <w:b/>
                <w:color w:val="FFFFFF"/>
                <w:sz w:val="18"/>
              </w:rPr>
              <w:t>Description</w:t>
            </w:r>
          </w:p>
        </w:tc>
      </w:tr>
      <w:tr>
        <w:tc>
          <w:tcPr>
            <w:tcW w:type="dxa" w:w="2551"/>
          </w:tcPr>
          <w:p>
            <w:r/>
            <w:r>
              <w:rPr>
                <w:sz w:val="18"/>
              </w:rPr>
              <w:t>1. Traçage et implantation</w:t>
            </w:r>
          </w:p>
        </w:tc>
        <w:tc>
          <w:tcPr>
            <w:tcW w:type="dxa" w:w="5953"/>
          </w:tcPr>
          <w:p>
            <w:r/>
            <w:r>
              <w:rPr>
                <w:sz w:val="18"/>
              </w:rPr>
              <w:t>Report du calepinage validé par le MOE, niveaux à laser</w:t>
            </w:r>
          </w:p>
        </w:tc>
      </w:tr>
      <w:tr>
        <w:tc>
          <w:tcPr>
            <w:tcW w:type="dxa" w:w="2551"/>
          </w:tcPr>
          <w:p>
            <w:r/>
            <w:r>
              <w:rPr>
                <w:sz w:val="18"/>
              </w:rPr>
              <w:t>2. Pose des suspentes</w:t>
            </w:r>
          </w:p>
        </w:tc>
        <w:tc>
          <w:tcPr>
            <w:tcW w:type="dxa" w:w="5953"/>
          </w:tcPr>
          <w:p>
            <w:r/>
            <w:r>
              <w:rPr>
                <w:sz w:val="18"/>
              </w:rPr>
              <w:t>Suspente réglable Connect C3 tous les 1200mm (distance max. mur 600mm)</w:t>
            </w:r>
          </w:p>
        </w:tc>
      </w:tr>
      <w:tr>
        <w:tc>
          <w:tcPr>
            <w:tcW w:type="dxa" w:w="2551"/>
          </w:tcPr>
          <w:p>
            <w:r/>
            <w:r>
              <w:rPr>
                <w:sz w:val="18"/>
              </w:rPr>
              <w:t>3. Pose de l'ossature</w:t>
            </w:r>
          </w:p>
        </w:tc>
        <w:tc>
          <w:tcPr>
            <w:tcW w:type="dxa" w:w="5953"/>
          </w:tcPr>
          <w:p>
            <w:r/>
            <w:r>
              <w:rPr>
                <w:sz w:val="18"/>
              </w:rPr>
              <w:t>Profil porteur T24 Connect C3 tous les 1200mm + entretoises tous les 600mm ; coulisse de rive vissée tous les 300mm</w:t>
            </w:r>
          </w:p>
        </w:tc>
      </w:tr>
      <w:tr>
        <w:tc>
          <w:tcPr>
            <w:tcW w:type="dxa" w:w="2551"/>
          </w:tcPr>
          <w:p>
            <w:r/>
            <w:r>
              <w:rPr>
                <w:sz w:val="18"/>
              </w:rPr>
              <w:t>4. Réservations</w:t>
            </w:r>
          </w:p>
        </w:tc>
        <w:tc>
          <w:tcPr>
            <w:tcW w:type="dxa" w:w="5953"/>
          </w:tcPr>
          <w:p>
            <w:r/>
            <w:r>
              <w:rPr>
                <w:sz w:val="18"/>
              </w:rPr>
              <w:t>Découpes coordonnées avec les lots techniques (luminaires, bouches, détecteurs, trappes)</w:t>
            </w:r>
          </w:p>
        </w:tc>
      </w:tr>
      <w:tr>
        <w:tc>
          <w:tcPr>
            <w:tcW w:type="dxa" w:w="2551"/>
          </w:tcPr>
          <w:p>
            <w:r/>
            <w:r>
              <w:rPr>
                <w:sz w:val="18"/>
              </w:rPr>
              <w:t>5. Pose des dalles Akutex HS</w:t>
            </w:r>
          </w:p>
        </w:tc>
        <w:tc>
          <w:tcPr>
            <w:tcW w:type="dxa" w:w="5953"/>
          </w:tcPr>
          <w:p>
            <w:r/>
            <w:r>
              <w:rPr>
                <w:sz w:val="18"/>
              </w:rPr>
              <w:t>600x600, ép. 20mm, bords arrondis, coupes d'onglets aux changements de direction</w:t>
            </w:r>
          </w:p>
        </w:tc>
      </w:tr>
      <w:tr>
        <w:tc>
          <w:tcPr>
            <w:tcW w:type="dxa" w:w="2551"/>
          </w:tcPr>
          <w:p>
            <w:r/>
            <w:r>
              <w:rPr>
                <w:sz w:val="18"/>
              </w:rPr>
              <w:t>6. Contrôle planéité</w:t>
            </w:r>
          </w:p>
        </w:tc>
        <w:tc>
          <w:tcPr>
            <w:tcW w:type="dxa" w:w="5953"/>
          </w:tcPr>
          <w:p>
            <w:r/>
            <w:r>
              <w:rPr>
                <w:sz w:val="18"/>
              </w:rPr>
              <w:t>Vérification à la règle de 2m — tolérance 3mm (Art. III.2.02.5)</w:t>
            </w:r>
          </w:p>
        </w:tc>
      </w:tr>
    </w:tbl>
    <w:p/>
    <w:p>
      <w:pPr>
        <w:spacing w:before="160" w:after="60"/>
      </w:pPr>
      <w:r>
        <w:rPr>
          <w:b/>
          <w:i/>
          <w:color w:val="2E74B5"/>
          <w:sz w:val="21"/>
        </w:rPr>
        <w:t>2.8.2. Faux plafonds Hygiène Protect Air A</w:t>
      </w:r>
    </w:p>
    <w:p>
      <w:r>
        <w:rPr>
          <w:b w:val="0"/>
          <w:i w:val="0"/>
          <w:sz w:val="21"/>
        </w:rPr>
        <w:t>Mis en œuvre selon la même méthodologie que le § 2.8.1 (Art. IV.2 du CCTP), dans les locaux à plus haute exigence hygiénique (scanner, salle claire, accès accueil radio, déshabilloirs) : dalles Akutex HP à bords peints, classement d'absorption B, résistance au feu A2-s1,d0. Une attention particulière est portée à la coordination avec les fluides médicaux susceptibles de transiter en plénum dans ces locaux.</w:t>
      </w:r>
    </w:p>
    <w:p>
      <w:pPr>
        <w:spacing w:before="160" w:after="60"/>
      </w:pPr>
      <w:r>
        <w:rPr>
          <w:b/>
          <w:i/>
          <w:color w:val="2E74B5"/>
          <w:sz w:val="21"/>
        </w:rPr>
        <w:t>2.8.3. Jouées et grilles de ventilation</w:t>
      </w:r>
    </w:p>
    <w:p>
      <w:r>
        <w:rPr>
          <w:b w:val="0"/>
          <w:i w:val="0"/>
          <w:sz w:val="21"/>
        </w:rPr>
        <w:t>Les jouées en plaque de plâtre BA13 Placostil (Art. IV.3, provision 20 ml x 0,60m) assurent la liaison entre plafonds de niveaux différents et la fermeture des plénums : pose sur ossature dédiée, traitement des joints et finitions avant réception. Les grilles de ventilation en aluminium laqué (Art. IV.4, provision 5 unités) sont posées aux emplacements et selon le modèle validés par le MOE, en fonction de la présence de réseaux de fluides médicaux dans les plénums.</w:t>
      </w:r>
    </w:p>
    <w:p>
      <w:pPr>
        <w:spacing w:before="160" w:after="60"/>
      </w:pPr>
      <w:r>
        <w:rPr>
          <w:b/>
          <w:i/>
          <w:color w:val="2E74B5"/>
          <w:sz w:val="21"/>
        </w:rPr>
        <w:t>2.8.4. Dépose et repose ponctuelle des faux plafonds existants</w:t>
      </w:r>
    </w:p>
    <w:p>
      <w:r>
        <w:rPr>
          <w:b w:val="0"/>
          <w:i w:val="0"/>
          <w:sz w:val="21"/>
        </w:rPr>
        <w:t>Conformément à l'article IV.5 du CCTP (provision 67 m²), un constat contradictoire est réalisé avant toute dépose des faux plafonds existants conservés. La dépose s'accompagne du remplacement des dalles et éléments d'ossature en mauvais état ; les réservations nécessaires aux équipements des lots techniques sont réalisées à cette occasion.</w:t>
      </w:r>
    </w:p>
    <w:p>
      <w:r>
        <w:br w:type="page"/>
      </w:r>
    </w:p>
    <w:p>
      <w:pPr>
        <w:spacing w:before="240" w:after="80"/>
      </w:pPr>
      <w:r>
        <w:rPr>
          <w:b/>
          <w:color w:val="1F3A5F"/>
          <w:sz w:val="24"/>
        </w:rPr>
        <w:t>2.9. Méthodologie d'exécution des travaux de peinture</w:t>
      </w:r>
    </w:p>
    <w:p>
      <w:r>
        <w:rPr>
          <w:b w:val="0"/>
          <w:i w:val="0"/>
          <w:sz w:val="21"/>
        </w:rPr>
        <w:t>Les travaux de peinture sont exécutés conformément aux DTU 59.1 et 59.4 et aux spécifications techniques U.N.P., avec des systèmes à très faible émission de C.O.V. certifiés Ecolabel : Indeko Bio Fix / Indeko Satin (Caparol) pour les murs, Muroprim / Garnysatin S2P (Seigneurie) pour plafonds, boiseries, métaux et PVC (Art. III.3.02 et IV.6 du CCTP).</w:t>
      </w:r>
    </w:p>
    <w:p>
      <w:pPr>
        <w:spacing w:before="160" w:after="60"/>
      </w:pPr>
      <w:r>
        <w:rPr>
          <w:b/>
          <w:i/>
          <w:color w:val="2E74B5"/>
          <w:sz w:val="21"/>
        </w:rPr>
        <w:t>2.9.1. Reconnaissance et préparation des supports</w:t>
      </w:r>
    </w:p>
    <w:p>
      <w:r>
        <w:rPr>
          <w:b w:val="0"/>
          <w:i w:val="0"/>
          <w:sz w:val="21"/>
        </w:rPr>
        <w:t>Une reconnaissance contradictoire des subjectiles est réalisée avec le MOE avant tout commencement d'exécution (Art. III.3.02) : identification des défauts (fissures, faux-aplomb, plâtres morts) à rectifier avant peinture, formulation de réserves écrites le cas échéant. Les opérations préparatoires (égrenage, brossage, ponçage, rebouchage, masticage, époussetage, dégraissage) sont systématiquement réalisées avant application.</w:t>
      </w:r>
    </w:p>
    <w:p>
      <w:pPr>
        <w:spacing w:before="160" w:after="60"/>
      </w:pPr>
      <w:r>
        <w:rPr>
          <w:b/>
          <w:i/>
          <w:color w:val="2E74B5"/>
          <w:sz w:val="21"/>
        </w:rPr>
        <w:t>2.9.2. Travaux sur plafonds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2E74B5"/>
          </w:tcPr>
          <w:p>
            <w:r/>
            <w:r>
              <w:rPr>
                <w:b/>
                <w:color w:val="FFFFFF"/>
                <w:sz w:val="18"/>
              </w:rPr>
              <w:t>Étape (Art. IV.6.01)</w:t>
            </w:r>
          </w:p>
        </w:tc>
        <w:tc>
          <w:tcPr>
            <w:tcW w:type="dxa" w:w="5386"/>
            <w:shd w:val="clear" w:color="auto" w:fill="2E74B5"/>
          </w:tcPr>
          <w:p>
            <w:r/>
            <w:r>
              <w:rPr>
                <w:b/>
                <w:color w:val="FFFFFF"/>
                <w:sz w:val="18"/>
              </w:rPr>
              <w:t>Description / produit mis en œuvre</w:t>
            </w:r>
          </w:p>
        </w:tc>
      </w:tr>
      <w:tr>
        <w:tc>
          <w:tcPr>
            <w:tcW w:type="dxa" w:w="3118"/>
          </w:tcPr>
          <w:p>
            <w:r/>
            <w:r>
              <w:rPr>
                <w:sz w:val="18"/>
              </w:rPr>
              <w:t>Époussetage</w:t>
            </w:r>
          </w:p>
        </w:tc>
        <w:tc>
          <w:tcPr>
            <w:tcW w:type="dxa" w:w="5386"/>
          </w:tcPr>
          <w:p>
            <w:r/>
            <w:r>
              <w:rPr>
                <w:sz w:val="18"/>
              </w:rPr>
              <w:t>Élimination des poussières avant impression</w:t>
            </w:r>
          </w:p>
        </w:tc>
      </w:tr>
      <w:tr>
        <w:tc>
          <w:tcPr>
            <w:tcW w:type="dxa" w:w="3118"/>
          </w:tcPr>
          <w:p>
            <w:r/>
            <w:r>
              <w:rPr>
                <w:sz w:val="18"/>
              </w:rPr>
              <w:t>Enduit d'ébouchage / dégrossissage et ratissage</w:t>
            </w:r>
          </w:p>
        </w:tc>
        <w:tc>
          <w:tcPr>
            <w:tcW w:type="dxa" w:w="5386"/>
          </w:tcPr>
          <w:p>
            <w:r/>
            <w:r>
              <w:rPr>
                <w:sz w:val="18"/>
              </w:rPr>
              <w:t>Bagar Airliss G — Beissier</w:t>
            </w:r>
          </w:p>
        </w:tc>
      </w:tr>
      <w:tr>
        <w:tc>
          <w:tcPr>
            <w:tcW w:type="dxa" w:w="3118"/>
          </w:tcPr>
          <w:p>
            <w:r/>
            <w:r>
              <w:rPr>
                <w:sz w:val="18"/>
              </w:rPr>
              <w:t>Impression</w:t>
            </w:r>
          </w:p>
        </w:tc>
        <w:tc>
          <w:tcPr>
            <w:tcW w:type="dxa" w:w="5386"/>
          </w:tcPr>
          <w:p>
            <w:r/>
            <w:r>
              <w:rPr>
                <w:sz w:val="18"/>
              </w:rPr>
              <w:t>Muroprim (impression plafonds et parements cartonnés) — Seigneurie</w:t>
            </w:r>
          </w:p>
        </w:tc>
      </w:tr>
      <w:tr>
        <w:tc>
          <w:tcPr>
            <w:tcW w:type="dxa" w:w="3118"/>
          </w:tcPr>
          <w:p>
            <w:r/>
            <w:r>
              <w:rPr>
                <w:sz w:val="18"/>
              </w:rPr>
              <w:t>Rebouchage / enduit repassé</w:t>
            </w:r>
          </w:p>
        </w:tc>
        <w:tc>
          <w:tcPr>
            <w:tcW w:type="dxa" w:w="5386"/>
          </w:tcPr>
          <w:p>
            <w:r/>
            <w:r>
              <w:rPr>
                <w:sz w:val="18"/>
              </w:rPr>
              <w:t>Bagar Airliss F (enduit de finition) — Beissier, puis ponçage et époussetage</w:t>
            </w:r>
          </w:p>
        </w:tc>
      </w:tr>
      <w:tr>
        <w:tc>
          <w:tcPr>
            <w:tcW w:type="dxa" w:w="3118"/>
          </w:tcPr>
          <w:p>
            <w:r/>
            <w:r>
              <w:rPr>
                <w:sz w:val="18"/>
              </w:rPr>
              <w:t>Finition</w:t>
            </w:r>
          </w:p>
        </w:tc>
        <w:tc>
          <w:tcPr>
            <w:tcW w:type="dxa" w:w="5386"/>
          </w:tcPr>
          <w:p>
            <w:r/>
            <w:r>
              <w:rPr>
                <w:sz w:val="18"/>
              </w:rPr>
              <w:t>2 couches Garnysatin S2P — Seigneurie — Finition A, teinte au choix du MOE</w:t>
            </w:r>
          </w:p>
        </w:tc>
      </w:tr>
    </w:tbl>
    <w:p/>
    <w:p>
      <w:r>
        <w:rPr>
          <w:b w:val="0"/>
          <w:i/>
          <w:sz w:val="21"/>
        </w:rPr>
        <w:t>Application sur les jouées et plafonds en Placostil livrés par le présent lot.</w:t>
      </w:r>
    </w:p>
    <w:p>
      <w:pPr>
        <w:spacing w:before="160" w:after="60"/>
      </w:pPr>
      <w:r>
        <w:rPr>
          <w:b/>
          <w:i/>
          <w:color w:val="2E74B5"/>
          <w:sz w:val="21"/>
        </w:rPr>
        <w:t>2.9.3. Travaux sur murs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2E74B5"/>
          </w:tcPr>
          <w:p>
            <w:r/>
            <w:r>
              <w:rPr>
                <w:b/>
                <w:color w:val="FFFFFF"/>
                <w:sz w:val="18"/>
              </w:rPr>
              <w:t>Type de support (Art. IV.6.02)</w:t>
            </w:r>
          </w:p>
        </w:tc>
        <w:tc>
          <w:tcPr>
            <w:tcW w:type="dxa" w:w="5386"/>
            <w:shd w:val="clear" w:color="auto" w:fill="2E74B5"/>
          </w:tcPr>
          <w:p>
            <w:r/>
            <w:r>
              <w:rPr>
                <w:b/>
                <w:color w:val="FFFFFF"/>
                <w:sz w:val="18"/>
              </w:rPr>
              <w:t>Séquence d'exécution / produits mis en œuvre</w:t>
            </w:r>
          </w:p>
        </w:tc>
      </w:tr>
      <w:tr>
        <w:tc>
          <w:tcPr>
            <w:tcW w:type="dxa" w:w="3118"/>
          </w:tcPr>
          <w:p>
            <w:r/>
            <w:r>
              <w:rPr>
                <w:sz w:val="18"/>
              </w:rPr>
              <w:t>Vieux fonds conservés</w:t>
            </w:r>
          </w:p>
        </w:tc>
        <w:tc>
          <w:tcPr>
            <w:tcW w:type="dxa" w:w="5386"/>
          </w:tcPr>
          <w:p>
            <w:r/>
            <w:r>
              <w:rPr>
                <w:sz w:val="18"/>
              </w:rPr>
              <w:t>Lessivage/arrachage des revêtements existants (évacuation gravats) → égrenage → rebouchage/ponçage (Bagar Airliss G/F — Beissier) → impression Indeko Bio Fix (Caparol) → finition 2 couches Indeko Satin (Caparol) — Finition A</w:t>
            </w:r>
          </w:p>
        </w:tc>
      </w:tr>
      <w:tr>
        <w:tc>
          <w:tcPr>
            <w:tcW w:type="dxa" w:w="3118"/>
          </w:tcPr>
          <w:p>
            <w:r/>
            <w:r>
              <w:rPr>
                <w:sz w:val="18"/>
              </w:rPr>
              <w:t>Parements plâtre / cartonné</w:t>
            </w:r>
          </w:p>
        </w:tc>
        <w:tc>
          <w:tcPr>
            <w:tcW w:type="dxa" w:w="5386"/>
          </w:tcPr>
          <w:p>
            <w:r/>
            <w:r>
              <w:rPr>
                <w:sz w:val="18"/>
              </w:rPr>
              <w:t>Époussetage → impression Indeko Bio Fix (Caparol) → rebouchage/enduit repassé (Bagar Airliss — Beissier) → finition 2 couches Indeko Satin (Caparol) — Finition A</w:t>
            </w:r>
          </w:p>
        </w:tc>
      </w:tr>
    </w:tbl>
    <w:p/>
    <w:p>
      <w:r>
        <w:rPr>
          <w:b w:val="0"/>
          <w:i/>
          <w:sz w:val="21"/>
        </w:rPr>
        <w:t>Locaux traités : ensemble des locaux du projet identifiés au CCTP, plus une provision de 70 m² en reprise de peinture pour la circulation N°5.</w:t>
      </w:r>
    </w:p>
    <w:p>
      <w:pPr>
        <w:spacing w:before="160" w:after="60"/>
      </w:pPr>
      <w:r>
        <w:rPr>
          <w:b/>
          <w:i/>
          <w:color w:val="2E74B5"/>
          <w:sz w:val="21"/>
        </w:rPr>
        <w:t>2.9.4. Travaux sur boiseries, métaux et PVC</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2E74B5"/>
          </w:tcPr>
          <w:p>
            <w:r/>
            <w:r>
              <w:rPr>
                <w:b/>
                <w:color w:val="FFFFFF"/>
                <w:sz w:val="18"/>
              </w:rPr>
              <w:t>Support (Art. IV.6.03 à IV.6.05)</w:t>
            </w:r>
          </w:p>
        </w:tc>
        <w:tc>
          <w:tcPr>
            <w:tcW w:type="dxa" w:w="5386"/>
            <w:shd w:val="clear" w:color="auto" w:fill="2E74B5"/>
          </w:tcPr>
          <w:p>
            <w:r/>
            <w:r>
              <w:rPr>
                <w:b/>
                <w:color w:val="FFFFFF"/>
                <w:sz w:val="18"/>
              </w:rPr>
              <w:t>Séquence d'exécution / produits mis en œuvre</w:t>
            </w:r>
          </w:p>
        </w:tc>
      </w:tr>
      <w:tr>
        <w:tc>
          <w:tcPr>
            <w:tcW w:type="dxa" w:w="3118"/>
          </w:tcPr>
          <w:p>
            <w:r/>
            <w:r>
              <w:rPr>
                <w:sz w:val="18"/>
              </w:rPr>
              <w:t>Boiseries brutes</w:t>
            </w:r>
          </w:p>
        </w:tc>
        <w:tc>
          <w:tcPr>
            <w:tcW w:type="dxa" w:w="5386"/>
          </w:tcPr>
          <w:p>
            <w:r/>
            <w:r>
              <w:rPr>
                <w:sz w:val="18"/>
              </w:rPr>
              <w:t>Brossage → rebouchage bois Sintobois Standard (Sinto) → impression Primwood Aqua Robust (Seigneurie) → ponçage à sec → finition 2 couches Garnysatin S2P (Seigneurie) — Finition A</w:t>
            </w:r>
          </w:p>
        </w:tc>
      </w:tr>
      <w:tr>
        <w:tc>
          <w:tcPr>
            <w:tcW w:type="dxa" w:w="3118"/>
          </w:tcPr>
          <w:p>
            <w:r/>
            <w:r>
              <w:rPr>
                <w:sz w:val="18"/>
              </w:rPr>
              <w:t>Boiseries prépeintes</w:t>
            </w:r>
          </w:p>
        </w:tc>
        <w:tc>
          <w:tcPr>
            <w:tcW w:type="dxa" w:w="5386"/>
          </w:tcPr>
          <w:p>
            <w:r/>
            <w:r>
              <w:rPr>
                <w:sz w:val="18"/>
              </w:rPr>
              <w:t>Brossage → enduit non repassé (rives des portes) → impression Primwood Aqua Robust (Seigneurie) → finition 2 couches Garnysatin S2P — Finition A</w:t>
            </w:r>
          </w:p>
        </w:tc>
      </w:tr>
      <w:tr>
        <w:tc>
          <w:tcPr>
            <w:tcW w:type="dxa" w:w="3118"/>
          </w:tcPr>
          <w:p>
            <w:r/>
            <w:r>
              <w:rPr>
                <w:sz w:val="18"/>
              </w:rPr>
              <w:t>Boiseries conservées</w:t>
            </w:r>
          </w:p>
        </w:tc>
        <w:tc>
          <w:tcPr>
            <w:tcW w:type="dxa" w:w="5386"/>
          </w:tcPr>
          <w:p>
            <w:r/>
            <w:r>
              <w:rPr>
                <w:sz w:val="18"/>
              </w:rPr>
              <w:t>Lessivage → égrenage → rebouchage/ponçage → impression Primwood Aqua Robust → enduit repassé/ponçage → finition 2 couches Garnysatin S2P — Finition A</w:t>
            </w:r>
          </w:p>
        </w:tc>
      </w:tr>
      <w:tr>
        <w:tc>
          <w:tcPr>
            <w:tcW w:type="dxa" w:w="3118"/>
          </w:tcPr>
          <w:p>
            <w:r/>
            <w:r>
              <w:rPr>
                <w:sz w:val="18"/>
              </w:rPr>
              <w:t>Métaux ferreux</w:t>
            </w:r>
          </w:p>
        </w:tc>
        <w:tc>
          <w:tcPr>
            <w:tcW w:type="dxa" w:w="5386"/>
          </w:tcPr>
          <w:p>
            <w:r/>
            <w:r>
              <w:rPr>
                <w:sz w:val="18"/>
              </w:rPr>
              <w:t>Brossage → dégraissage → 1 couche antirouille Freitamétal Expert (Seigneurie) → finition 2 couches Garnysatin S2P — Finition B</w:t>
            </w:r>
          </w:p>
        </w:tc>
      </w:tr>
      <w:tr>
        <w:tc>
          <w:tcPr>
            <w:tcW w:type="dxa" w:w="3118"/>
          </w:tcPr>
          <w:p>
            <w:r/>
            <w:r>
              <w:rPr>
                <w:sz w:val="18"/>
              </w:rPr>
              <w:t>Métaux non ferreux</w:t>
            </w:r>
          </w:p>
        </w:tc>
        <w:tc>
          <w:tcPr>
            <w:tcW w:type="dxa" w:w="5386"/>
          </w:tcPr>
          <w:p>
            <w:r/>
            <w:r>
              <w:rPr>
                <w:sz w:val="18"/>
              </w:rPr>
              <w:t>Dégraissage → 1 couche primaire d'accrochage Print ADR (Seigneurie) → finition 2 couches Garnysatin S2P — Finition B</w:t>
            </w:r>
          </w:p>
        </w:tc>
      </w:tr>
      <w:tr>
        <w:tc>
          <w:tcPr>
            <w:tcW w:type="dxa" w:w="3118"/>
          </w:tcPr>
          <w:p>
            <w:r/>
            <w:r>
              <w:rPr>
                <w:sz w:val="18"/>
              </w:rPr>
              <w:t>PVC</w:t>
            </w:r>
          </w:p>
        </w:tc>
        <w:tc>
          <w:tcPr>
            <w:tcW w:type="dxa" w:w="5386"/>
          </w:tcPr>
          <w:p>
            <w:r/>
            <w:r>
              <w:rPr>
                <w:sz w:val="18"/>
              </w:rPr>
              <w:t>Dégraissage → ponçage d'adhérence → primaire d'accrochage Print ADR (Seigneurie) → 1 couche Garnysatin S2P — Finition B</w:t>
            </w:r>
          </w:p>
        </w:tc>
      </w:tr>
    </w:tbl>
    <w:p/>
    <w:p>
      <w:r>
        <w:br w:type="page"/>
      </w:r>
    </w:p>
    <w:p>
      <w:pPr>
        <w:spacing w:before="240" w:after="80"/>
      </w:pPr>
      <w:r>
        <w:rPr>
          <w:b/>
          <w:color w:val="1F3A5F"/>
          <w:sz w:val="24"/>
        </w:rPr>
        <w:t>2.10. Méthodologie d'exécution des sols souples</w:t>
      </w:r>
    </w:p>
    <w:p>
      <w:r>
        <w:rPr>
          <w:b w:val="0"/>
          <w:i w:val="0"/>
          <w:sz w:val="21"/>
        </w:rPr>
        <w:t>Les revêtements de sols souples sont posés conformément au DTU 53.2 et aux prescriptions particulières du CCTP (Art. III.4 et IV.8), sur chapes béton surfacé livrées par le lot Maçonnerie ou sur plancher/dalles existantes.</w:t>
      </w:r>
    </w:p>
    <w:p>
      <w:pPr>
        <w:spacing w:before="160" w:after="60"/>
      </w:pPr>
      <w:r>
        <w:rPr>
          <w:b/>
          <w:i/>
          <w:color w:val="2E74B5"/>
          <w:sz w:val="21"/>
        </w:rPr>
        <w:t>2.10.1. Contrôle et préparation des supports</w:t>
      </w:r>
    </w:p>
    <w:p>
      <w:r>
        <w:rPr>
          <w:b w:val="0"/>
          <w:i w:val="0"/>
          <w:sz w:val="21"/>
        </w:rPr>
        <w:t>Avant tout commencement de pose, nous procédons à un contrôle contradictoire de la bonne exécution des supports (planéité, propreté) et signalons sans délai au MOE toute imperfection constatée. Le taux d'humidité des supports est systématiquement vérifié avant pose (Art. IV.8.03 et IV.8.04) ; en zone scanner, ce contrôle est réalisé après réception du renfort structurel du Lot 1 (cf. § 1.5.1).</w:t>
      </w:r>
    </w:p>
    <w:p>
      <w:pPr>
        <w:spacing w:before="160" w:after="60"/>
      </w:pPr>
      <w:r>
        <w:rPr>
          <w:b/>
          <w:i/>
          <w:color w:val="2E74B5"/>
          <w:sz w:val="21"/>
        </w:rPr>
        <w:t>2.10.2. Ragréage des supports</w:t>
      </w:r>
    </w:p>
    <w:p>
      <w:r>
        <w:rPr>
          <w:b w:val="0"/>
          <w:i w:val="0"/>
          <w:sz w:val="21"/>
        </w:rPr>
        <w:t>Après nettoyage complémentaire de la chape, un primaire d'accrochage Weberprim RP (Weber) est appliqué, suivi d'un enduit de lissage Weberniv Dur+ (Nivdur S, Weber), classement P.3, épaisseur minimale 3mm (Art. IV.8.01). Le rattrapage des différences de niveau importantes est réalisé au Cegecol PE avec primaire d'accrochage associé Emulcim (Cegecol). L'enduit fait l'objet d'un avis technique CSTB soumis à validation du MOE et du Bureau de Contrôle.</w:t>
      </w:r>
    </w:p>
    <w:p>
      <w:pPr>
        <w:spacing w:before="160" w:after="60"/>
      </w:pPr>
      <w:r>
        <w:rPr>
          <w:b/>
          <w:i/>
          <w:color w:val="2E74B5"/>
          <w:sz w:val="21"/>
        </w:rPr>
        <w:t>2.10.3. Encollage et mise en œuvre des revêtements</w:t>
      </w:r>
    </w:p>
    <w:p>
      <w:r>
        <w:rPr>
          <w:b w:val="0"/>
          <w:i w:val="0"/>
          <w:sz w:val="21"/>
        </w:rPr>
        <w:t>L'encollage est réalisé avec la colle PVC Uzin KE 2000S (Uzin), compatible avec les revêtements Taralay Impression Compact 43 et Mipolam Planet ainsi qu'avec le support ragréé, conformément aux recommandations du fabricant (Art. IV.8.02). La pose est réalisée lé par lé, lés/dalles parfaitement jointifs et de niveau, calepinage conforme au plan validé par le MOE ; l'emploi de chutes est proscrit.</w:t>
      </w:r>
    </w:p>
    <w:p>
      <w:pPr>
        <w:spacing w:before="160" w:after="60"/>
      </w:pPr>
      <w:r>
        <w:rPr>
          <w:b/>
          <w:i/>
          <w:color w:val="2E74B5"/>
          <w:sz w:val="21"/>
        </w:rPr>
        <w:t>2.10.4. Revêtement LES IMPRESSION</w:t>
      </w:r>
    </w:p>
    <w:p>
      <w:r>
        <w:rPr>
          <w:b w:val="0"/>
          <w:i w:val="0"/>
          <w:sz w:val="21"/>
        </w:rPr>
        <w:t>Sol PVC isophonique multicouche Taralay Impression Compact — Art. IV.8.03.</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2E74B5"/>
          </w:tcPr>
          <w:p>
            <w:r/>
            <w:r>
              <w:rPr>
                <w:b/>
                <w:color w:val="FFFFFF"/>
                <w:sz w:val="18"/>
              </w:rPr>
              <w:t>Caractéristique</w:t>
            </w:r>
          </w:p>
        </w:tc>
        <w:tc>
          <w:tcPr>
            <w:tcW w:type="dxa" w:w="5669"/>
            <w:shd w:val="clear" w:color="auto" w:fill="2E74B5"/>
          </w:tcPr>
          <w:p>
            <w:r/>
            <w:r>
              <w:rPr>
                <w:b/>
                <w:color w:val="FFFFFF"/>
                <w:sz w:val="18"/>
              </w:rPr>
              <w:t>Valeur</w:t>
            </w:r>
          </w:p>
        </w:tc>
      </w:tr>
      <w:tr>
        <w:tc>
          <w:tcPr>
            <w:tcW w:type="dxa" w:w="2835"/>
          </w:tcPr>
          <w:p>
            <w:r/>
            <w:r>
              <w:rPr>
                <w:sz w:val="18"/>
              </w:rPr>
              <w:t>Épaisseur totale / couche d'usure</w:t>
            </w:r>
          </w:p>
        </w:tc>
        <w:tc>
          <w:tcPr>
            <w:tcW w:type="dxa" w:w="5669"/>
          </w:tcPr>
          <w:p>
            <w:r/>
            <w:r>
              <w:rPr>
                <w:sz w:val="18"/>
              </w:rPr>
              <w:t>2,00 mm / 0,70 mm</w:t>
            </w:r>
          </w:p>
        </w:tc>
      </w:tr>
      <w:tr>
        <w:tc>
          <w:tcPr>
            <w:tcW w:type="dxa" w:w="2835"/>
          </w:tcPr>
          <w:p>
            <w:r/>
            <w:r>
              <w:rPr>
                <w:sz w:val="18"/>
              </w:rPr>
              <w:t>Classement européen</w:t>
            </w:r>
          </w:p>
        </w:tc>
        <w:tc>
          <w:tcPr>
            <w:tcW w:type="dxa" w:w="5669"/>
          </w:tcPr>
          <w:p>
            <w:r/>
            <w:r>
              <w:rPr>
                <w:sz w:val="18"/>
              </w:rPr>
              <w:t>33-42 (NF EN ISO 10874)</w:t>
            </w:r>
          </w:p>
        </w:tc>
      </w:tr>
      <w:tr>
        <w:tc>
          <w:tcPr>
            <w:tcW w:type="dxa" w:w="2835"/>
          </w:tcPr>
          <w:p>
            <w:r/>
            <w:r>
              <w:rPr>
                <w:sz w:val="18"/>
              </w:rPr>
              <w:t>Classement UPEC</w:t>
            </w:r>
          </w:p>
        </w:tc>
        <w:tc>
          <w:tcPr>
            <w:tcW w:type="dxa" w:w="5669"/>
          </w:tcPr>
          <w:p>
            <w:r/>
            <w:r>
              <w:rPr>
                <w:sz w:val="18"/>
              </w:rPr>
              <w:t>U3P3E2/3C2</w:t>
            </w:r>
          </w:p>
        </w:tc>
      </w:tr>
      <w:tr>
        <w:tc>
          <w:tcPr>
            <w:tcW w:type="dxa" w:w="2835"/>
          </w:tcPr>
          <w:p>
            <w:r/>
            <w:r>
              <w:rPr>
                <w:sz w:val="18"/>
              </w:rPr>
              <w:t>Réaction au feu</w:t>
            </w:r>
          </w:p>
        </w:tc>
        <w:tc>
          <w:tcPr>
            <w:tcW w:type="dxa" w:w="5669"/>
          </w:tcPr>
          <w:p>
            <w:r/>
            <w:r>
              <w:rPr>
                <w:sz w:val="18"/>
              </w:rPr>
              <w:t>Bfl-s1</w:t>
            </w:r>
          </w:p>
        </w:tc>
      </w:tr>
      <w:tr>
        <w:tc>
          <w:tcPr>
            <w:tcW w:type="dxa" w:w="2835"/>
          </w:tcPr>
          <w:p>
            <w:r/>
            <w:r>
              <w:rPr>
                <w:sz w:val="18"/>
              </w:rPr>
              <w:t>Glissance</w:t>
            </w:r>
          </w:p>
        </w:tc>
        <w:tc>
          <w:tcPr>
            <w:tcW w:type="dxa" w:w="5669"/>
          </w:tcPr>
          <w:p>
            <w:r/>
            <w:r>
              <w:rPr>
                <w:sz w:val="18"/>
              </w:rPr>
              <w:t>R10</w:t>
            </w:r>
          </w:p>
        </w:tc>
      </w:tr>
      <w:tr>
        <w:tc>
          <w:tcPr>
            <w:tcW w:type="dxa" w:w="2835"/>
          </w:tcPr>
          <w:p>
            <w:r/>
            <w:r>
              <w:rPr>
                <w:sz w:val="18"/>
              </w:rPr>
              <w:t>Localisation</w:t>
            </w:r>
          </w:p>
        </w:tc>
        <w:tc>
          <w:tcPr>
            <w:tcW w:type="dxa" w:w="5669"/>
          </w:tcPr>
          <w:p>
            <w:r/>
            <w:r>
              <w:rPr>
                <w:sz w:val="18"/>
              </w:rPr>
              <w:t>LT électrique, attente radio, sas bureau, salle de détente, secrétariat, sanitaires, WC</w:t>
            </w:r>
          </w:p>
        </w:tc>
      </w:tr>
    </w:tbl>
    <w:p/>
    <w:p>
      <w:pPr>
        <w:spacing w:before="160" w:after="60"/>
      </w:pPr>
      <w:r>
        <w:rPr>
          <w:b/>
          <w:i/>
          <w:color w:val="2E74B5"/>
          <w:sz w:val="21"/>
        </w:rPr>
        <w:t>2.10.5. Revêtement MIPOLAM PLANET</w:t>
      </w:r>
    </w:p>
    <w:p>
      <w:r>
        <w:rPr>
          <w:b w:val="0"/>
          <w:i w:val="0"/>
          <w:sz w:val="21"/>
        </w:rPr>
        <w:t>Sol homogène compact Taralay Mipolam Planet — Art. IV.8.04, pour les locaux à plus forte exigence hygiénique.</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2E74B5"/>
          </w:tcPr>
          <w:p>
            <w:r/>
            <w:r>
              <w:rPr>
                <w:b/>
                <w:color w:val="FFFFFF"/>
                <w:sz w:val="18"/>
              </w:rPr>
              <w:t>Caractéristique</w:t>
            </w:r>
          </w:p>
        </w:tc>
        <w:tc>
          <w:tcPr>
            <w:tcW w:type="dxa" w:w="5669"/>
            <w:shd w:val="clear" w:color="auto" w:fill="2E74B5"/>
          </w:tcPr>
          <w:p>
            <w:r/>
            <w:r>
              <w:rPr>
                <w:b/>
                <w:color w:val="FFFFFF"/>
                <w:sz w:val="18"/>
              </w:rPr>
              <w:t>Valeur</w:t>
            </w:r>
          </w:p>
        </w:tc>
      </w:tr>
      <w:tr>
        <w:tc>
          <w:tcPr>
            <w:tcW w:type="dxa" w:w="2835"/>
          </w:tcPr>
          <w:p>
            <w:r/>
            <w:r>
              <w:rPr>
                <w:sz w:val="18"/>
              </w:rPr>
              <w:t>Épaisseur totale</w:t>
            </w:r>
          </w:p>
        </w:tc>
        <w:tc>
          <w:tcPr>
            <w:tcW w:type="dxa" w:w="5669"/>
          </w:tcPr>
          <w:p>
            <w:r/>
            <w:r>
              <w:rPr>
                <w:sz w:val="18"/>
              </w:rPr>
              <w:t>2,00 mm</w:t>
            </w:r>
          </w:p>
        </w:tc>
      </w:tr>
      <w:tr>
        <w:tc>
          <w:tcPr>
            <w:tcW w:type="dxa" w:w="2835"/>
          </w:tcPr>
          <w:p>
            <w:r/>
            <w:r>
              <w:rPr>
                <w:sz w:val="18"/>
              </w:rPr>
              <w:t>Classement européen</w:t>
            </w:r>
          </w:p>
        </w:tc>
        <w:tc>
          <w:tcPr>
            <w:tcW w:type="dxa" w:w="5669"/>
          </w:tcPr>
          <w:p>
            <w:r/>
            <w:r>
              <w:rPr>
                <w:sz w:val="18"/>
              </w:rPr>
              <w:t>34-43 (NF EN ISO 10874)</w:t>
            </w:r>
          </w:p>
        </w:tc>
      </w:tr>
      <w:tr>
        <w:tc>
          <w:tcPr>
            <w:tcW w:type="dxa" w:w="2835"/>
          </w:tcPr>
          <w:p>
            <w:r/>
            <w:r>
              <w:rPr>
                <w:sz w:val="18"/>
              </w:rPr>
              <w:t>Classement UPEC</w:t>
            </w:r>
          </w:p>
        </w:tc>
        <w:tc>
          <w:tcPr>
            <w:tcW w:type="dxa" w:w="5669"/>
          </w:tcPr>
          <w:p>
            <w:r/>
            <w:r>
              <w:rPr>
                <w:sz w:val="18"/>
              </w:rPr>
              <w:t>U3P3E2/3C2</w:t>
            </w:r>
          </w:p>
        </w:tc>
      </w:tr>
      <w:tr>
        <w:tc>
          <w:tcPr>
            <w:tcW w:type="dxa" w:w="2835"/>
          </w:tcPr>
          <w:p>
            <w:r/>
            <w:r>
              <w:rPr>
                <w:sz w:val="18"/>
              </w:rPr>
              <w:t>Réaction au feu</w:t>
            </w:r>
          </w:p>
        </w:tc>
        <w:tc>
          <w:tcPr>
            <w:tcW w:type="dxa" w:w="5669"/>
          </w:tcPr>
          <w:p>
            <w:r/>
            <w:r>
              <w:rPr>
                <w:sz w:val="18"/>
              </w:rPr>
              <w:t>Bfl-s1</w:t>
            </w:r>
          </w:p>
        </w:tc>
      </w:tr>
      <w:tr>
        <w:tc>
          <w:tcPr>
            <w:tcW w:type="dxa" w:w="2835"/>
          </w:tcPr>
          <w:p>
            <w:r/>
            <w:r>
              <w:rPr>
                <w:sz w:val="18"/>
              </w:rPr>
              <w:t>Glissance</w:t>
            </w:r>
          </w:p>
        </w:tc>
        <w:tc>
          <w:tcPr>
            <w:tcW w:type="dxa" w:w="5669"/>
          </w:tcPr>
          <w:p>
            <w:r/>
            <w:r>
              <w:rPr>
                <w:sz w:val="18"/>
              </w:rPr>
              <w:t>R9</w:t>
            </w:r>
          </w:p>
        </w:tc>
      </w:tr>
      <w:tr>
        <w:tc>
          <w:tcPr>
            <w:tcW w:type="dxa" w:w="2835"/>
          </w:tcPr>
          <w:p>
            <w:r/>
            <w:r>
              <w:rPr>
                <w:sz w:val="18"/>
              </w:rPr>
              <w:t>Localisation</w:t>
            </w:r>
          </w:p>
        </w:tc>
        <w:tc>
          <w:tcPr>
            <w:tcW w:type="dxa" w:w="5669"/>
          </w:tcPr>
          <w:p>
            <w:r/>
            <w:r>
              <w:rPr>
                <w:sz w:val="18"/>
              </w:rPr>
              <w:t>Scanner, salle claire, accès accueil radio, déshabilloirs</w:t>
            </w:r>
          </w:p>
        </w:tc>
      </w:tr>
    </w:tbl>
    <w:p/>
    <w:p>
      <w:pPr>
        <w:spacing w:before="160" w:after="60"/>
      </w:pPr>
      <w:r>
        <w:rPr>
          <w:b/>
          <w:i/>
          <w:color w:val="2E74B5"/>
          <w:sz w:val="21"/>
        </w:rPr>
        <w:t>2.10.6. Barres de seuil et reprises ponctuelles</w:t>
      </w:r>
    </w:p>
    <w:p>
      <w:r>
        <w:rPr>
          <w:b w:val="0"/>
          <w:i w:val="0"/>
          <w:sz w:val="21"/>
        </w:rPr>
        <w:t>Des barres de seuil laiton semi-bombées de 35mm (Art. IV.8.05) sont posées sur trous tamponnés entre revêtements de nature différente, avec ajustement en fond de feuillure des huisseries. Les reprises ponctuelles (Art. IV.8.06) — au droit des bouchements de baies et des nouvelles cloisons — sont réalisées avec des sols et plinthes de même nature que l'existant, en limite des locaux touchés par l'opération.</w:t>
      </w:r>
    </w:p>
    <w:p>
      <w:r>
        <w:br w:type="page"/>
      </w:r>
    </w:p>
    <w:p>
      <w:pPr>
        <w:spacing w:before="240" w:after="80"/>
      </w:pPr>
      <w:r>
        <w:rPr>
          <w:b/>
          <w:color w:val="1F3A5F"/>
          <w:sz w:val="24"/>
        </w:rPr>
        <w:t>2.11. Autocontrôles et contrôle qualité</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2E74B5"/>
          </w:tcPr>
          <w:p>
            <w:r/>
            <w:r>
              <w:rPr>
                <w:b/>
                <w:color w:val="FFFFFF"/>
                <w:sz w:val="18"/>
              </w:rPr>
              <w:t>Ouvrage</w:t>
            </w:r>
          </w:p>
        </w:tc>
        <w:tc>
          <w:tcPr>
            <w:tcW w:type="dxa" w:w="3118"/>
            <w:shd w:val="clear" w:color="auto" w:fill="2E74B5"/>
          </w:tcPr>
          <w:p>
            <w:r/>
            <w:r>
              <w:rPr>
                <w:b/>
                <w:color w:val="FFFFFF"/>
                <w:sz w:val="18"/>
              </w:rPr>
              <w:t>Point de contrôle</w:t>
            </w:r>
          </w:p>
        </w:tc>
        <w:tc>
          <w:tcPr>
            <w:tcW w:type="dxa" w:w="3685"/>
            <w:shd w:val="clear" w:color="auto" w:fill="2E74B5"/>
          </w:tcPr>
          <w:p>
            <w:r/>
            <w:r>
              <w:rPr>
                <w:b/>
                <w:color w:val="FFFFFF"/>
                <w:sz w:val="18"/>
              </w:rPr>
              <w:t>Méthode / référence</w:t>
            </w:r>
          </w:p>
        </w:tc>
      </w:tr>
      <w:tr>
        <w:tc>
          <w:tcPr>
            <w:tcW w:type="dxa" w:w="1701"/>
          </w:tcPr>
          <w:p>
            <w:r/>
            <w:r>
              <w:rPr>
                <w:sz w:val="18"/>
              </w:rPr>
              <w:t>Faux plafonds</w:t>
            </w:r>
          </w:p>
        </w:tc>
        <w:tc>
          <w:tcPr>
            <w:tcW w:type="dxa" w:w="3118"/>
          </w:tcPr>
          <w:p>
            <w:r/>
            <w:r>
              <w:rPr>
                <w:sz w:val="18"/>
              </w:rPr>
              <w:t>Planéité de la sous-face</w:t>
            </w:r>
          </w:p>
        </w:tc>
        <w:tc>
          <w:tcPr>
            <w:tcW w:type="dxa" w:w="3685"/>
          </w:tcPr>
          <w:p>
            <w:r/>
            <w:r>
              <w:rPr>
                <w:sz w:val="18"/>
              </w:rPr>
              <w:t>Règle de 2m, tolérance 3mm (Art. III.2.02.5)</w:t>
            </w:r>
          </w:p>
        </w:tc>
      </w:tr>
      <w:tr>
        <w:tc>
          <w:tcPr>
            <w:tcW w:type="dxa" w:w="1701"/>
          </w:tcPr>
          <w:p>
            <w:r/>
            <w:r>
              <w:rPr>
                <w:sz w:val="18"/>
              </w:rPr>
              <w:t>Faux plafonds</w:t>
            </w:r>
          </w:p>
        </w:tc>
        <w:tc>
          <w:tcPr>
            <w:tcW w:type="dxa" w:w="3118"/>
          </w:tcPr>
          <w:p>
            <w:r/>
            <w:r>
              <w:rPr>
                <w:sz w:val="18"/>
              </w:rPr>
              <w:t>Classement au feu des dalles posées</w:t>
            </w:r>
          </w:p>
        </w:tc>
        <w:tc>
          <w:tcPr>
            <w:tcW w:type="dxa" w:w="3685"/>
          </w:tcPr>
          <w:p>
            <w:r/>
            <w:r>
              <w:rPr>
                <w:sz w:val="18"/>
              </w:rPr>
              <w:t>Vérification marquage / fiche technique produit vs. Art. III.2.02.1</w:t>
            </w:r>
          </w:p>
        </w:tc>
      </w:tr>
      <w:tr>
        <w:tc>
          <w:tcPr>
            <w:tcW w:type="dxa" w:w="1701"/>
          </w:tcPr>
          <w:p>
            <w:r/>
            <w:r>
              <w:rPr>
                <w:sz w:val="18"/>
              </w:rPr>
              <w:t>Peinture</w:t>
            </w:r>
          </w:p>
        </w:tc>
        <w:tc>
          <w:tcPr>
            <w:tcW w:type="dxa" w:w="3118"/>
          </w:tcPr>
          <w:p>
            <w:r/>
            <w:r>
              <w:rPr>
                <w:sz w:val="18"/>
              </w:rPr>
              <w:t>Conformité des supports avant application</w:t>
            </w:r>
          </w:p>
        </w:tc>
        <w:tc>
          <w:tcPr>
            <w:tcW w:type="dxa" w:w="3685"/>
          </w:tcPr>
          <w:p>
            <w:r/>
            <w:r>
              <w:rPr>
                <w:sz w:val="18"/>
              </w:rPr>
              <w:t>Reconnaissance contradictoire des subjectiles (Art. III.3.02)</w:t>
            </w:r>
          </w:p>
        </w:tc>
      </w:tr>
      <w:tr>
        <w:tc>
          <w:tcPr>
            <w:tcW w:type="dxa" w:w="1701"/>
          </w:tcPr>
          <w:p>
            <w:r/>
            <w:r>
              <w:rPr>
                <w:sz w:val="18"/>
              </w:rPr>
              <w:t>Peinture</w:t>
            </w:r>
          </w:p>
        </w:tc>
        <w:tc>
          <w:tcPr>
            <w:tcW w:type="dxa" w:w="3118"/>
          </w:tcPr>
          <w:p>
            <w:r/>
            <w:r>
              <w:rPr>
                <w:sz w:val="18"/>
              </w:rPr>
              <w:t>Aspect et teinte</w:t>
            </w:r>
          </w:p>
        </w:tc>
        <w:tc>
          <w:tcPr>
            <w:tcW w:type="dxa" w:w="3685"/>
          </w:tcPr>
          <w:p>
            <w:r/>
            <w:r>
              <w:rPr>
                <w:sz w:val="18"/>
              </w:rPr>
              <w:t>Validation d'échantillons et locaux témoins par le MOE</w:t>
            </w:r>
          </w:p>
        </w:tc>
      </w:tr>
      <w:tr>
        <w:tc>
          <w:tcPr>
            <w:tcW w:type="dxa" w:w="1701"/>
          </w:tcPr>
          <w:p>
            <w:r/>
            <w:r>
              <w:rPr>
                <w:sz w:val="18"/>
              </w:rPr>
              <w:t>Sols souples</w:t>
            </w:r>
          </w:p>
        </w:tc>
        <w:tc>
          <w:tcPr>
            <w:tcW w:type="dxa" w:w="3118"/>
          </w:tcPr>
          <w:p>
            <w:r/>
            <w:r>
              <w:rPr>
                <w:sz w:val="18"/>
              </w:rPr>
              <w:t>Taux d'humidité du support</w:t>
            </w:r>
          </w:p>
        </w:tc>
        <w:tc>
          <w:tcPr>
            <w:tcW w:type="dxa" w:w="3685"/>
          </w:tcPr>
          <w:p>
            <w:r/>
            <w:r>
              <w:rPr>
                <w:sz w:val="18"/>
              </w:rPr>
              <w:t>Contrôle avant pose (préconisation fabricant)</w:t>
            </w:r>
          </w:p>
        </w:tc>
      </w:tr>
      <w:tr>
        <w:tc>
          <w:tcPr>
            <w:tcW w:type="dxa" w:w="1701"/>
          </w:tcPr>
          <w:p>
            <w:r/>
            <w:r>
              <w:rPr>
                <w:sz w:val="18"/>
              </w:rPr>
              <w:t>Sols souples</w:t>
            </w:r>
          </w:p>
        </w:tc>
        <w:tc>
          <w:tcPr>
            <w:tcW w:type="dxa" w:w="3118"/>
          </w:tcPr>
          <w:p>
            <w:r/>
            <w:r>
              <w:rPr>
                <w:sz w:val="18"/>
              </w:rPr>
              <w:t>Planéité après ragréage</w:t>
            </w:r>
          </w:p>
        </w:tc>
        <w:tc>
          <w:tcPr>
            <w:tcW w:type="dxa" w:w="3685"/>
          </w:tcPr>
          <w:p>
            <w:r/>
            <w:r>
              <w:rPr>
                <w:sz w:val="18"/>
              </w:rPr>
              <w:t>Contrôle visuel et à la règle avant encollage</w:t>
            </w:r>
          </w:p>
        </w:tc>
      </w:tr>
      <w:tr>
        <w:tc>
          <w:tcPr>
            <w:tcW w:type="dxa" w:w="1701"/>
          </w:tcPr>
          <w:p>
            <w:r/>
            <w:r>
              <w:rPr>
                <w:sz w:val="18"/>
              </w:rPr>
              <w:t>Tous ouvrages</w:t>
            </w:r>
          </w:p>
        </w:tc>
        <w:tc>
          <w:tcPr>
            <w:tcW w:type="dxa" w:w="3118"/>
          </w:tcPr>
          <w:p>
            <w:r/>
            <w:r>
              <w:rPr>
                <w:sz w:val="18"/>
              </w:rPr>
              <w:t>Traçabilité des matériaux</w:t>
            </w:r>
          </w:p>
        </w:tc>
        <w:tc>
          <w:tcPr>
            <w:tcW w:type="dxa" w:w="3685"/>
          </w:tcPr>
          <w:p>
            <w:r/>
            <w:r>
              <w:rPr>
                <w:sz w:val="18"/>
              </w:rPr>
              <w:t>Bons de livraison et fiches techniques conservés au dossier</w:t>
            </w:r>
          </w:p>
        </w:tc>
      </w:tr>
    </w:tbl>
    <w:p/>
    <w:p>
      <w:pPr>
        <w:spacing w:before="240" w:after="80"/>
      </w:pPr>
      <w:r>
        <w:rPr>
          <w:b/>
          <w:color w:val="1F3A5F"/>
          <w:sz w:val="24"/>
        </w:rPr>
        <w:t>2.12. Nettoyage, OPR, levée des réserves et réception</w:t>
      </w:r>
    </w:p>
    <w:p>
      <w:r>
        <w:rPr>
          <w:b w:val="0"/>
          <w:i w:val="0"/>
          <w:sz w:val="21"/>
        </w:rPr>
        <w:t>En fin d'opération, un nettoyage complet des locaux visés au projet est réalisé (Art. IV.7 et III.3.03 du CCTP), portant notamment sur les sols, revêtements verticaux, quincaillerie, appareils sanitaires et électriques, vitres et menuiseries — ce nettoyage est inclus au prix global forfaitaire du lot.</w:t>
      </w:r>
    </w:p>
    <w:tbl>
      <w:tblPr>
        <w:tblStyle w:val="TableGrid"/>
        <w:tblW w:type="auto" w:w="0"/>
        <w:jc w:val="center"/>
        <w:tblLook w:firstColumn="1" w:firstRow="1" w:lastColumn="0" w:lastRow="0" w:noHBand="0" w:noVBand="1" w:val="04A0"/>
      </w:tblPr>
      <w:tblGrid>
        <w:gridCol w:w="3324"/>
        <w:gridCol w:w="3324"/>
        <w:gridCol w:w="3324"/>
      </w:tblGrid>
      <w:tr>
        <w:tc>
          <w:tcPr>
            <w:tcW w:type="dxa" w:w="2438"/>
            <w:shd w:val="clear" w:color="auto" w:fill="2E74B5"/>
          </w:tcPr>
          <w:p>
            <w:r/>
            <w:r>
              <w:rPr>
                <w:b/>
                <w:color w:val="FFFFFF"/>
                <w:sz w:val="18"/>
              </w:rPr>
              <w:t>Étape</w:t>
            </w:r>
          </w:p>
        </w:tc>
        <w:tc>
          <w:tcPr>
            <w:tcW w:type="dxa" w:w="3798"/>
            <w:shd w:val="clear" w:color="auto" w:fill="2E74B5"/>
          </w:tcPr>
          <w:p>
            <w:r/>
            <w:r>
              <w:rPr>
                <w:b/>
                <w:color w:val="FFFFFF"/>
                <w:sz w:val="18"/>
              </w:rPr>
              <w:t>Contenu</w:t>
            </w:r>
          </w:p>
        </w:tc>
        <w:tc>
          <w:tcPr>
            <w:tcW w:type="dxa" w:w="2268"/>
            <w:shd w:val="clear" w:color="auto" w:fill="2E74B5"/>
          </w:tcPr>
          <w:p>
            <w:r/>
            <w:r>
              <w:rPr>
                <w:b/>
                <w:color w:val="FFFFFF"/>
                <w:sz w:val="18"/>
              </w:rPr>
              <w:t>Référence</w:t>
            </w:r>
          </w:p>
        </w:tc>
      </w:tr>
      <w:tr>
        <w:tc>
          <w:tcPr>
            <w:tcW w:type="dxa" w:w="2438"/>
          </w:tcPr>
          <w:p>
            <w:r/>
            <w:r>
              <w:rPr>
                <w:sz w:val="18"/>
              </w:rPr>
              <w:t>Nettoyage courant en cours de chantier</w:t>
            </w:r>
          </w:p>
        </w:tc>
        <w:tc>
          <w:tcPr>
            <w:tcW w:type="dxa" w:w="3798"/>
          </w:tcPr>
          <w:p>
            <w:r/>
            <w:r>
              <w:rPr>
                <w:sz w:val="18"/>
              </w:rPr>
              <w:t>Balayage et évacuation quotidienne des déchets/sciure des zones d'intervention</w:t>
            </w:r>
          </w:p>
        </w:tc>
        <w:tc>
          <w:tcPr>
            <w:tcW w:type="dxa" w:w="2268"/>
          </w:tcPr>
          <w:p>
            <w:r/>
            <w:r>
              <w:rPr>
                <w:sz w:val="18"/>
              </w:rPr>
              <w:t>CCTP III.3.03</w:t>
            </w:r>
          </w:p>
        </w:tc>
      </w:tr>
      <w:tr>
        <w:tc>
          <w:tcPr>
            <w:tcW w:type="dxa" w:w="2438"/>
          </w:tcPr>
          <w:p>
            <w:r/>
            <w:r>
              <w:rPr>
                <w:sz w:val="18"/>
              </w:rPr>
              <w:t>Nettoyage général de fin de chantier</w:t>
            </w:r>
          </w:p>
        </w:tc>
        <w:tc>
          <w:tcPr>
            <w:tcW w:type="dxa" w:w="3798"/>
          </w:tcPr>
          <w:p>
            <w:r/>
            <w:r>
              <w:rPr>
                <w:sz w:val="18"/>
              </w:rPr>
              <w:t>Sols, murs, quincaillerie, sanitaires, menuiseries, vitres — hors ponçage sur surfaces émaillées/stratifiées</w:t>
            </w:r>
          </w:p>
        </w:tc>
        <w:tc>
          <w:tcPr>
            <w:tcW w:type="dxa" w:w="2268"/>
          </w:tcPr>
          <w:p>
            <w:r/>
            <w:r>
              <w:rPr>
                <w:sz w:val="18"/>
              </w:rPr>
              <w:t>CCTP IV.7</w:t>
            </w:r>
          </w:p>
        </w:tc>
      </w:tr>
      <w:tr>
        <w:tc>
          <w:tcPr>
            <w:tcW w:type="dxa" w:w="2438"/>
          </w:tcPr>
          <w:p>
            <w:r/>
            <w:r>
              <w:rPr>
                <w:sz w:val="18"/>
              </w:rPr>
              <w:t>Opérations Préalables à la Réception (OPR)</w:t>
            </w:r>
          </w:p>
        </w:tc>
        <w:tc>
          <w:tcPr>
            <w:tcW w:type="dxa" w:w="3798"/>
          </w:tcPr>
          <w:p>
            <w:r/>
            <w:r>
              <w:rPr>
                <w:sz w:val="18"/>
              </w:rPr>
              <w:t>Auto-contrôles formalisés, présentation des ouvrages, essais/vérifications par local</w:t>
            </w:r>
          </w:p>
        </w:tc>
        <w:tc>
          <w:tcPr>
            <w:tcW w:type="dxa" w:w="2268"/>
          </w:tcPr>
          <w:p>
            <w:r/>
            <w:r>
              <w:rPr>
                <w:sz w:val="18"/>
              </w:rPr>
              <w:t>CCAP Art. XIV.03</w:t>
            </w:r>
          </w:p>
        </w:tc>
      </w:tr>
      <w:tr>
        <w:tc>
          <w:tcPr>
            <w:tcW w:type="dxa" w:w="2438"/>
          </w:tcPr>
          <w:p>
            <w:r/>
            <w:r>
              <w:rPr>
                <w:sz w:val="18"/>
              </w:rPr>
              <w:t>Réception globale « tous corps d'état »</w:t>
            </w:r>
          </w:p>
        </w:tc>
        <w:tc>
          <w:tcPr>
            <w:tcW w:type="dxa" w:w="3798"/>
          </w:tcPr>
          <w:p>
            <w:r/>
            <w:r>
              <w:rPr>
                <w:sz w:val="18"/>
              </w:rPr>
              <w:t>Prononcée après achèvement de l'ensemble des lots, avis favorable de la commission de sécurité et fonctionnement GTB/GTE</w:t>
            </w:r>
          </w:p>
        </w:tc>
        <w:tc>
          <w:tcPr>
            <w:tcW w:type="dxa" w:w="2268"/>
          </w:tcPr>
          <w:p>
            <w:r/>
            <w:r>
              <w:rPr>
                <w:sz w:val="18"/>
              </w:rPr>
              <w:t>CCAP Art. XV.01</w:t>
            </w:r>
          </w:p>
        </w:tc>
      </w:tr>
      <w:tr>
        <w:tc>
          <w:tcPr>
            <w:tcW w:type="dxa" w:w="2438"/>
          </w:tcPr>
          <w:p>
            <w:r/>
            <w:r>
              <w:rPr>
                <w:sz w:val="18"/>
              </w:rPr>
              <w:t>Levée des réserves</w:t>
            </w:r>
          </w:p>
        </w:tc>
        <w:tc>
          <w:tcPr>
            <w:tcW w:type="dxa" w:w="3798"/>
          </w:tcPr>
          <w:p>
            <w:r/>
            <w:r>
              <w:rPr>
                <w:sz w:val="18"/>
              </w:rPr>
              <w:t>Traitement sous délai court après notification, avant ouverture au public / passage commission de sécurité</w:t>
            </w:r>
          </w:p>
        </w:tc>
        <w:tc>
          <w:tcPr>
            <w:tcW w:type="dxa" w:w="2268"/>
          </w:tcPr>
          <w:p>
            <w:r/>
            <w:r>
              <w:rPr>
                <w:sz w:val="18"/>
              </w:rPr>
              <w:t>CCAP Art. XIV.03(d)</w:t>
            </w:r>
          </w:p>
        </w:tc>
      </w:tr>
      <w:tr>
        <w:tc>
          <w:tcPr>
            <w:tcW w:type="dxa" w:w="2438"/>
          </w:tcPr>
          <w:p>
            <w:r/>
            <w:r>
              <w:rPr>
                <w:sz w:val="18"/>
              </w:rPr>
              <w:t>Garantie de parfait achèvement</w:t>
            </w:r>
          </w:p>
        </w:tc>
        <w:tc>
          <w:tcPr>
            <w:tcW w:type="dxa" w:w="3798"/>
          </w:tcPr>
          <w:p>
            <w:r/>
            <w:r>
              <w:rPr>
                <w:sz w:val="18"/>
              </w:rPr>
              <w:t>Entretien à notre charge pendant 1 an à compter de la réception</w:t>
            </w:r>
          </w:p>
        </w:tc>
        <w:tc>
          <w:tcPr>
            <w:tcW w:type="dxa" w:w="2268"/>
          </w:tcPr>
          <w:p>
            <w:r/>
            <w:r>
              <w:rPr>
                <w:sz w:val="18"/>
              </w:rPr>
              <w:t>CCAP Art. XVI.01</w:t>
            </w:r>
          </w:p>
        </w:tc>
      </w:tr>
    </w:tbl>
    <w:p/>
    <w:p>
      <w:pPr>
        <w:spacing w:before="240" w:after="80"/>
      </w:pPr>
      <w:r>
        <w:rPr>
          <w:b/>
          <w:color w:val="1F3A5F"/>
          <w:sz w:val="24"/>
        </w:rPr>
        <w:t>2.13. Constitution et remise du DOE</w:t>
      </w:r>
    </w:p>
    <w:p>
      <w:r>
        <w:rPr>
          <w:b w:val="0"/>
          <w:i w:val="0"/>
          <w:sz w:val="21"/>
        </w:rPr>
        <w:t>Conformément à l'article XV.03 du CCAP, le Dossier des Ouvrages Exécutés (DOE) est constitué et remis en trois exemplaires, dont un sur support informatique (formats PDF/DWG pour les plans).</w:t>
      </w:r>
    </w:p>
    <w:tbl>
      <w:tblPr>
        <w:tblStyle w:val="TableGrid"/>
        <w:tblW w:type="auto" w:w="0"/>
        <w:jc w:val="center"/>
        <w:tblLook w:firstColumn="1" w:firstRow="1" w:lastColumn="0" w:lastRow="0" w:noHBand="0" w:noVBand="1" w:val="04A0"/>
      </w:tblPr>
      <w:tblGrid>
        <w:gridCol w:w="4986"/>
        <w:gridCol w:w="4986"/>
      </w:tblGrid>
      <w:tr>
        <w:tc>
          <w:tcPr>
            <w:tcW w:type="dxa" w:w="5953"/>
            <w:shd w:val="clear" w:color="auto" w:fill="2E74B5"/>
          </w:tcPr>
          <w:p>
            <w:r/>
            <w:r>
              <w:rPr>
                <w:b/>
                <w:color w:val="FFFFFF"/>
                <w:sz w:val="18"/>
              </w:rPr>
              <w:t>Document</w:t>
            </w:r>
          </w:p>
        </w:tc>
        <w:tc>
          <w:tcPr>
            <w:tcW w:type="dxa" w:w="2551"/>
            <w:shd w:val="clear" w:color="auto" w:fill="2E74B5"/>
          </w:tcPr>
          <w:p>
            <w:r/>
            <w:r>
              <w:rPr>
                <w:b/>
                <w:color w:val="FFFFFF"/>
                <w:sz w:val="18"/>
              </w:rPr>
              <w:t>Délai de remise</w:t>
            </w:r>
          </w:p>
        </w:tc>
      </w:tr>
      <w:tr>
        <w:tc>
          <w:tcPr>
            <w:tcW w:type="dxa" w:w="5953"/>
          </w:tcPr>
          <w:p>
            <w:r/>
            <w:r>
              <w:rPr>
                <w:sz w:val="18"/>
              </w:rPr>
              <w:t>Spécifications de pose, notices de fonctionnement, prescriptions de maintenance, conditions de garantie fabricants, constats d'évacuation des déchets</w:t>
            </w:r>
          </w:p>
        </w:tc>
        <w:tc>
          <w:tcPr>
            <w:tcW w:type="dxa" w:w="2551"/>
          </w:tcPr>
          <w:p>
            <w:r/>
            <w:r>
              <w:rPr>
                <w:sz w:val="18"/>
              </w:rPr>
              <w:t>Au plus tard à la demande de réception</w:t>
            </w:r>
          </w:p>
        </w:tc>
      </w:tr>
      <w:tr>
        <w:tc>
          <w:tcPr>
            <w:tcW w:type="dxa" w:w="5953"/>
          </w:tcPr>
          <w:p>
            <w:r/>
            <w:r>
              <w:rPr>
                <w:sz w:val="18"/>
              </w:rPr>
              <w:t>Plans de récolement des ouvrages exécutés (faux plafonds, calepinage sols)</w:t>
            </w:r>
          </w:p>
        </w:tc>
        <w:tc>
          <w:tcPr>
            <w:tcW w:type="dxa" w:w="2551"/>
          </w:tcPr>
          <w:p>
            <w:r/>
            <w:r>
              <w:rPr>
                <w:sz w:val="18"/>
              </w:rPr>
              <w:t>Avec le courrier de demande de réception</w:t>
            </w:r>
          </w:p>
        </w:tc>
      </w:tr>
      <w:tr>
        <w:tc>
          <w:tcPr>
            <w:tcW w:type="dxa" w:w="5953"/>
          </w:tcPr>
          <w:p>
            <w:r/>
            <w:r>
              <w:rPr>
                <w:sz w:val="18"/>
              </w:rPr>
              <w:t>Autres éléments du DOE et documents nécessaires au DIUO</w:t>
            </w:r>
          </w:p>
        </w:tc>
        <w:tc>
          <w:tcPr>
            <w:tcW w:type="dxa" w:w="2551"/>
          </w:tcPr>
          <w:p>
            <w:r/>
            <w:r>
              <w:rPr>
                <w:sz w:val="18"/>
              </w:rPr>
              <w:t>Dans le mois suivant la notification de la décision de réception</w:t>
            </w:r>
          </w:p>
        </w:tc>
      </w:tr>
      <w:tr>
        <w:tc>
          <w:tcPr>
            <w:tcW w:type="dxa" w:w="5953"/>
          </w:tcPr>
          <w:p>
            <w:r/>
            <w:r>
              <w:rPr>
                <w:sz w:val="18"/>
              </w:rPr>
              <w:t>Fiches d'autocontrôle, résultats d'essais et de contrôles qualité</w:t>
            </w:r>
          </w:p>
        </w:tc>
        <w:tc>
          <w:tcPr>
            <w:tcW w:type="dxa" w:w="2551"/>
          </w:tcPr>
          <w:p>
            <w:r/>
            <w:r>
              <w:rPr>
                <w:sz w:val="18"/>
              </w:rPr>
              <w:t>Constitués au fil du chantier, joints au dossier de réception</w:t>
            </w:r>
          </w:p>
        </w:tc>
      </w:tr>
      <w:tr>
        <w:tc>
          <w:tcPr>
            <w:tcW w:type="dxa" w:w="5953"/>
          </w:tcPr>
          <w:p>
            <w:r/>
            <w:r>
              <w:rPr>
                <w:sz w:val="18"/>
              </w:rPr>
              <w:t>Attestations de garantie particulières (peinture 10 ans, sols souples décennale)</w:t>
            </w:r>
          </w:p>
        </w:tc>
        <w:tc>
          <w:tcPr>
            <w:tcW w:type="dxa" w:w="2551"/>
          </w:tcPr>
          <w:p>
            <w:r/>
            <w:r>
              <w:rPr>
                <w:sz w:val="18"/>
              </w:rPr>
              <w:t>Jointes au DOE</w:t>
            </w:r>
          </w:p>
        </w:tc>
      </w:tr>
    </w:tbl>
    <w:p/>
    <w:p>
      <w:r>
        <w:rPr>
          <w:b w:val="0"/>
          <w:i/>
          <w:sz w:val="21"/>
        </w:rPr>
        <w:t>Un exemplaire des documents nécessaires au DIUO est également transmis au coordonnateur SPS, conformément au CCAP.</w:t>
      </w:r>
    </w:p>
    <w:p/>
    <w:p>
      <w:r>
        <w:rPr>
          <w:i/>
          <w:color w:val="595959"/>
          <w:sz w:val="17"/>
        </w:rPr>
        <w:t>Chapitre établi à partir des pièces du DCE fournies : CCAP, CCTP Lot 3 (articles III et IV), et des éléments d'organisation de France Décoration.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