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Analyse d'Appel d'Offres</w:t>
      </w:r>
    </w:p>
    <w:p>
      <w:r>
        <w:rPr>
          <w:i/>
          <w:color w:val="595959"/>
          <w:sz w:val="24"/>
        </w:rPr>
        <w:t>Marché 26 RMB 41 TVX — Création d'un nouveau scanner à l'hôpital René Muret (AP-HP)</w:t>
      </w:r>
    </w:p>
    <w:p>
      <w:r>
        <w:rPr>
          <w:b/>
          <w:i w:val="0"/>
          <w:color w:val="2E74B5"/>
          <w:sz w:val="26"/>
        </w:rPr>
        <w:t>Lot 3 — Faux Plafonds • Peinture • Sols Souples</w:t>
      </w:r>
    </w:p>
    <w:p>
      <w:r>
        <w:rPr>
          <w:b w:val="0"/>
          <w:i/>
          <w:color w:val="595959"/>
          <w:sz w:val="21"/>
        </w:rPr>
        <w:t>Note de synthèse à destination de France Décoration — Date d'analyse : 24 août 2026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2E74B5"/>
          </w:tcPr>
          <w:p>
            <w:r/>
            <w:r>
              <w:rPr>
                <w:b/>
                <w:color w:val="FFFFFF"/>
                <w:sz w:val="19"/>
              </w:rPr>
              <w:t>Élément</w:t>
            </w:r>
          </w:p>
        </w:tc>
        <w:tc>
          <w:tcPr>
            <w:tcW w:type="dxa" w:w="6803"/>
            <w:shd w:val="clear" w:color="auto" w:fill="2E74B5"/>
          </w:tcPr>
          <w:p>
            <w:r/>
            <w:r>
              <w:rPr>
                <w:b/>
                <w:color w:val="FFFFFF"/>
                <w:sz w:val="19"/>
              </w:rPr>
              <w:t>Détail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Maître d'ouvrage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AP-HP — Hôpitaux Universitaires Paris Seine-Saint-Denis (HUPSSD)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Site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Hôpital René Muret, avenue du Dr Schaeffner, 93270 Sevran (bâtiment Madeleine Brès)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Objet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Travaux de création d'un nouveau scanner (réaménagement d'une ancienne zone de radiologie, RDC)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N° de consultation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26 RMB 41 TVX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Procédure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MAPA ouvert (art. R2123-4 à R2123-7 CCP) — allotissement en 6 lots séparés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Lot concerné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Lot 3 — Faux Plafonds - Peinture - Sols Souples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Maîtrise d'œuvre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Groupement EXAEQUO INGENIERIE (mandataire/BET) / URUK V (architecte) / EVTB (économiste)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Date limite de remise des offres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08 septembre 2026 à 12h00 (plateforme marches-publics.gouv.fr uniquement)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Visite de site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OBLIGATOIRE — attestation à joindre à l'offre (contacts : M. Vannex / Mme Tamazirt)</w:t>
            </w:r>
          </w:p>
        </w:tc>
      </w:tr>
    </w:tbl>
    <w:p>
      <w:r>
        <w:br w:type="page"/>
      </w:r>
    </w:p>
    <w:p>
      <w:pPr>
        <w:spacing w:before="360" w:after="120"/>
        <w:pBdr>
          <w:bottom w:val="single" w:sz="8" w:space="4" w:color="2E74B5"/>
        </w:pBdr>
      </w:pPr>
      <w:r>
        <w:rPr>
          <w:b/>
          <w:color w:val="2E74B5"/>
          <w:sz w:val="28"/>
        </w:rPr>
        <w:t>1. Synthèse — points clés pour la décision de candidater</w:t>
      </w:r>
    </w:p>
    <w:p>
      <w:pPr>
        <w:pStyle w:val="ListBullet"/>
      </w:pPr>
      <w:r>
        <w:t>Marché alloti en 6 lots séparés ; possibilité de candidater sur le Lot 3 seul, sans groupement obligatoire.</w:t>
      </w:r>
    </w:p>
    <w:p>
      <w:pPr>
        <w:pStyle w:val="ListBullet"/>
      </w:pPr>
      <w:r>
        <w:t>Le dossier de réponse est déjà partiellement engagé : l'acte d'engagement (Lot_3_AE_v0) est pré-rempli au nom de France Décoration (SIRET 823 616 461 00021), signataire M. Waseem Akram, Président — la société semble déjà en cours de constitution de son offre.</w:t>
      </w:r>
    </w:p>
    <w:p>
      <w:pPr>
        <w:pStyle w:val="ListBullet"/>
      </w:pPr>
      <w:r>
        <w:t>Critères de jugement très orientés « valeur technique » : 60% technique / 40% prix — le mémoire technique sera déterminant, notamment la partie environnementale (15%) et la qualité des matériaux (15%).</w:t>
      </w:r>
    </w:p>
    <w:p>
      <w:pPr>
        <w:pStyle w:val="ListBullet"/>
      </w:pPr>
      <w:r>
        <w:t>Qualifications professionnelles exigées pour le Lot 3 : QUALIBAT 6111 - 6222 - 6611 (à vérifier/justifier dans le dossier de candidature).</w:t>
      </w:r>
    </w:p>
    <w:p>
      <w:pPr>
        <w:pStyle w:val="ListBullet"/>
      </w:pPr>
      <w:r>
        <w:t>Chantier en site hospitalier en activité (ERP type U, 3ᵉ catégorie) : contraintes fortes de sécurité incendie (SSI catégorie A), de propreté et de phasage — le lot dépend de l'avancement des lots 1, 2, 4 et 5 qui l'engagent (calendrier en chaîne).</w:t>
      </w:r>
    </w:p>
    <w:p>
      <w:pPr>
        <w:pStyle w:val="ListBullet"/>
      </w:pPr>
      <w:r>
        <w:t>Point de vigilance structurel majeur : un diagnostic GEOTEC a mis en évidence un déficit de portance du plancher/poutre au droit de la future salle scanner ; un renfort métallique (profilés HEB 220, à la charge du Lot 1 - PSE4) est nécessaire avant la pose des ouvrages du Lot 3 (faux plafonds/sols). Le planning du Lot 3 est donc conditionné à la bonne exécution de ce renfort.</w:t>
      </w:r>
    </w:p>
    <w:p>
      <w:pPr>
        <w:pStyle w:val="ListBullet"/>
      </w:pPr>
      <w:r>
        <w:t>Régime de pénalités très strict et sans mise en demeure préalable (nombreuses pénalités journalières cumulables : retard global 500€/j, documents 500€/j, sécurité/hygiène 200€/j, bruit 500€/j, etc.) — à intégrer dans le chiffrage du risque.</w:t>
      </w:r>
    </w:p>
    <w:p>
      <w:pPr>
        <w:pStyle w:val="ListBullet"/>
      </w:pPr>
      <w:r>
        <w:t>Garanties particulières longues sur les ouvrages du lot : 10 ans sur les peintures (maçonnerie/enduits/serrurerie) et sur les systèmes de protection sur bois, en sus de la garantie décennale/parfait achèvement classique.</w:t>
      </w:r>
    </w:p>
    <w:p>
      <w:r>
        <w:br w:type="page"/>
      </w:r>
    </w:p>
    <w:p>
      <w:pPr>
        <w:spacing w:before="360" w:after="120"/>
        <w:pBdr>
          <w:bottom w:val="single" w:sz="8" w:space="4" w:color="2E74B5"/>
        </w:pBdr>
      </w:pPr>
      <w:r>
        <w:rPr>
          <w:b/>
          <w:color w:val="2E74B5"/>
          <w:sz w:val="28"/>
        </w:rPr>
        <w:t>2. Calendrier de la consultation et de l'exécution</w:t>
      </w:r>
    </w:p>
    <w:p>
      <w:pPr>
        <w:spacing w:before="200" w:after="80"/>
      </w:pPr>
      <w:r>
        <w:rPr>
          <w:b/>
          <w:color w:val="1F3A5F"/>
          <w:sz w:val="23"/>
        </w:rPr>
        <w:t>2.1 Dates de la consultation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535"/>
            <w:shd w:val="clear" w:color="auto" w:fill="2E74B5"/>
          </w:tcPr>
          <w:p>
            <w:r/>
            <w:r>
              <w:rPr>
                <w:b/>
                <w:color w:val="FFFFFF"/>
                <w:sz w:val="19"/>
              </w:rPr>
              <w:t>Étape</w:t>
            </w:r>
          </w:p>
        </w:tc>
        <w:tc>
          <w:tcPr>
            <w:tcW w:type="dxa" w:w="4819"/>
            <w:shd w:val="clear" w:color="auto" w:fill="2E74B5"/>
          </w:tcPr>
          <w:p>
            <w:r/>
            <w:r>
              <w:rPr>
                <w:b/>
                <w:color w:val="FFFFFF"/>
                <w:sz w:val="19"/>
              </w:rPr>
              <w:t>Date / Délai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9"/>
              </w:rPr>
              <w:t>Visite de site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Obligatoire avant remise d'offre (attestation signée à joindre)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9"/>
              </w:rPr>
              <w:t>Demande de renseignements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Au plus tard 10 jours avant la remise des offres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9"/>
              </w:rPr>
              <w:t>Réponse du pouvoir adjudicateur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Au plus tard 6 jours avant la remise des offres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9"/>
              </w:rPr>
              <w:t>Remise des offres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08/09/2026 à 12h00 — dématérialisée uniquement (marches-publics.gouv.fr)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9"/>
              </w:rPr>
              <w:t>Validité des offres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180 jours à compter de la date limite de remise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9"/>
              </w:rPr>
              <w:t>Délai de production des certificats (si retenu)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15 jours maximum après classement provisoire</w:t>
            </w:r>
          </w:p>
        </w:tc>
      </w:tr>
    </w:tbl>
    <w:p>
      <w:pPr>
        <w:spacing w:before="200" w:after="80"/>
      </w:pPr>
      <w:r>
        <w:rPr>
          <w:b/>
          <w:color w:val="1F3A5F"/>
          <w:sz w:val="23"/>
        </w:rPr>
        <w:t>2.2 Phasage prévisionnel des travaux (calendrier des travaux V2)</w:t>
      </w:r>
    </w:p>
    <w:p>
      <w:r>
        <w:rPr>
          <w:b w:val="0"/>
          <w:i w:val="0"/>
          <w:sz w:val="21"/>
        </w:rPr>
        <w:t>Démarrage prévu : second semestre 2026. Durée globale : 5 mois dont 1 mois de préparation de chantier (congés payés inclus).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680"/>
            <w:shd w:val="clear" w:color="auto" w:fill="2E74B5"/>
          </w:tcPr>
          <w:p>
            <w:r/>
            <w:r>
              <w:rPr>
                <w:b/>
                <w:color w:val="FFFFFF"/>
                <w:sz w:val="19"/>
              </w:rPr>
              <w:t>Lot</w:t>
            </w:r>
          </w:p>
        </w:tc>
        <w:tc>
          <w:tcPr>
            <w:tcW w:type="dxa" w:w="4535"/>
            <w:shd w:val="clear" w:color="auto" w:fill="2E74B5"/>
          </w:tcPr>
          <w:p>
            <w:r/>
            <w:r>
              <w:rPr>
                <w:b/>
                <w:color w:val="FFFFFF"/>
                <w:sz w:val="19"/>
              </w:rPr>
              <w:t>Désignation</w:t>
            </w:r>
          </w:p>
        </w:tc>
        <w:tc>
          <w:tcPr>
            <w:tcW w:type="dxa" w:w="1304"/>
            <w:shd w:val="clear" w:color="auto" w:fill="2E74B5"/>
          </w:tcPr>
          <w:p>
            <w:r/>
            <w:r>
              <w:rPr>
                <w:b/>
                <w:color w:val="FFFFFF"/>
                <w:sz w:val="19"/>
              </w:rPr>
              <w:t>Durée (j)</w:t>
            </w:r>
          </w:p>
        </w:tc>
        <w:tc>
          <w:tcPr>
            <w:tcW w:type="dxa" w:w="2835"/>
            <w:shd w:val="clear" w:color="auto" w:fill="2E74B5"/>
          </w:tcPr>
          <w:p>
            <w:r/>
            <w:r>
              <w:rPr>
                <w:b/>
                <w:color w:val="FFFFFF"/>
                <w:sz w:val="19"/>
              </w:rPr>
              <w:t>Positionnement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Démolitions - Maçonnerie - Cloisonnement - Plâtrerie</w:t>
            </w:r>
          </w:p>
        </w:tc>
        <w:tc>
          <w:tcPr>
            <w:tcW w:type="dxa" w:w="1304"/>
          </w:tcPr>
          <w:p>
            <w:r/>
            <w:r>
              <w:rPr>
                <w:sz w:val="19"/>
              </w:rPr>
              <w:t>60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Mois 2-3 (démarre après la préparation)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Menuiseries intérieures - Meubles spéciaux</w:t>
            </w:r>
          </w:p>
        </w:tc>
        <w:tc>
          <w:tcPr>
            <w:tcW w:type="dxa" w:w="1304"/>
          </w:tcPr>
          <w:p>
            <w:r/>
            <w:r>
              <w:rPr>
                <w:sz w:val="19"/>
              </w:rPr>
              <w:t>35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Mois 3-5, par phases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Faux Plafonds - Peinture - Sols Souples</w:t>
            </w:r>
          </w:p>
        </w:tc>
        <w:tc>
          <w:tcPr>
            <w:tcW w:type="dxa" w:w="1304"/>
          </w:tcPr>
          <w:p>
            <w:r/>
            <w:r>
              <w:rPr>
                <w:sz w:val="19"/>
              </w:rPr>
              <w:t>45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Mois 4-5 (après gros œuvre / cloisonnement)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Électricité CFO-CFA</w:t>
            </w:r>
          </w:p>
        </w:tc>
        <w:tc>
          <w:tcPr>
            <w:tcW w:type="dxa" w:w="1304"/>
          </w:tcPr>
          <w:p>
            <w:r/>
            <w:r>
              <w:rPr>
                <w:sz w:val="19"/>
              </w:rPr>
              <w:t>105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Mois 2 à 5 (fil rouge du chantier)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Chauffage - Plomberie - Climatisation</w:t>
            </w:r>
          </w:p>
        </w:tc>
        <w:tc>
          <w:tcPr>
            <w:tcW w:type="dxa" w:w="1304"/>
          </w:tcPr>
          <w:p>
            <w:r/>
            <w:r>
              <w:rPr>
                <w:sz w:val="19"/>
              </w:rPr>
              <w:t>105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Mois 2 à 5 (fil rouge du chantier)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Fluides médicaux</w:t>
            </w:r>
          </w:p>
        </w:tc>
        <w:tc>
          <w:tcPr>
            <w:tcW w:type="dxa" w:w="1304"/>
          </w:tcPr>
          <w:p>
            <w:r/>
            <w:r>
              <w:rPr>
                <w:sz w:val="19"/>
              </w:rPr>
              <w:t>20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Mois 2 et mois 4-5</w:t>
            </w:r>
          </w:p>
        </w:tc>
      </w:tr>
    </w:tbl>
    <w:p>
      <w:r>
        <w:rPr>
          <w:b w:val="0"/>
          <w:i/>
          <w:color w:val="B03A2E"/>
          <w:sz w:val="21"/>
        </w:rPr>
        <w:t>⚠ Le Lot 3 intervient en fin de chaîne : tout retard des lots 1 (gros œuvre / renfort structurel), 4 et 5 (réseaux à intégrer aux plénums de faux plafonds) se répercute directement sur sa fenêtre d'intervention (45 jours seulement).</w:t>
      </w:r>
    </w:p>
    <w:p>
      <w:r>
        <w:br w:type="page"/>
      </w:r>
    </w:p>
    <w:p>
      <w:pPr>
        <w:spacing w:before="360" w:after="120"/>
        <w:pBdr>
          <w:bottom w:val="single" w:sz="8" w:space="4" w:color="2E74B5"/>
        </w:pBdr>
      </w:pPr>
      <w:r>
        <w:rPr>
          <w:b/>
          <w:color w:val="2E74B5"/>
          <w:sz w:val="28"/>
        </w:rPr>
        <w:t>3. Procédure, pièces à fournir et critères de jugement</w:t>
      </w:r>
    </w:p>
    <w:p>
      <w:pPr>
        <w:spacing w:before="200" w:after="80"/>
      </w:pPr>
      <w:r>
        <w:rPr>
          <w:b/>
          <w:color w:val="1F3A5F"/>
          <w:sz w:val="23"/>
        </w:rPr>
        <w:t>3.1 Critères de jugement des offres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268"/>
            <w:shd w:val="clear" w:color="auto" w:fill="2E74B5"/>
          </w:tcPr>
          <w:p>
            <w:r/>
            <w:r>
              <w:rPr>
                <w:b/>
                <w:color w:val="FFFFFF"/>
                <w:sz w:val="19"/>
              </w:rPr>
              <w:t>Critère</w:t>
            </w:r>
          </w:p>
        </w:tc>
        <w:tc>
          <w:tcPr>
            <w:tcW w:type="dxa" w:w="5386"/>
            <w:shd w:val="clear" w:color="auto" w:fill="2E74B5"/>
          </w:tcPr>
          <w:p>
            <w:r/>
            <w:r>
              <w:rPr>
                <w:b/>
                <w:color w:val="FFFFFF"/>
                <w:sz w:val="19"/>
              </w:rPr>
              <w:t>Sous-critère</w:t>
            </w:r>
          </w:p>
        </w:tc>
        <w:tc>
          <w:tcPr>
            <w:tcW w:type="dxa" w:w="1701"/>
            <w:shd w:val="clear" w:color="auto" w:fill="2E74B5"/>
          </w:tcPr>
          <w:p>
            <w:r/>
            <w:r>
              <w:rPr>
                <w:b/>
                <w:color w:val="FFFFFF"/>
                <w:sz w:val="19"/>
              </w:rPr>
              <w:t>Pondération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Valeur technique (60%)</w:t>
            </w:r>
          </w:p>
        </w:tc>
        <w:tc>
          <w:tcPr>
            <w:tcW w:type="dxa" w:w="5386"/>
          </w:tcPr>
          <w:p>
            <w:r/>
            <w:r>
              <w:rPr>
                <w:sz w:val="19"/>
              </w:rPr>
              <w:t>Organisation / méthodologie en site hospitalier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15%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5386"/>
          </w:tcPr>
          <w:p>
            <w:r/>
            <w:r>
              <w:rPr>
                <w:sz w:val="19"/>
              </w:rPr>
              <w:t>Moyens matériels &amp; effectifs (organigramme, CV)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5%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5386"/>
          </w:tcPr>
          <w:p>
            <w:r/>
            <w:r>
              <w:rPr>
                <w:sz w:val="19"/>
              </w:rPr>
              <w:t>Qualité des matériaux et matériels employés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15%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5386"/>
          </w:tcPr>
          <w:p>
            <w:r/>
            <w:r>
              <w:rPr>
                <w:sz w:val="19"/>
              </w:rPr>
              <w:t>Optimisation du planning d'exécution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10%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5386"/>
          </w:tcPr>
          <w:p>
            <w:r/>
            <w:r>
              <w:rPr>
                <w:sz w:val="19"/>
              </w:rPr>
              <w:t>Démarche environnementale (méthodo, économie circulaire/déchets, indicateurs)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15%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Prix (40%)</w:t>
            </w:r>
          </w:p>
        </w:tc>
        <w:tc>
          <w:tcPr>
            <w:tcW w:type="dxa" w:w="5386"/>
          </w:tcPr>
          <w:p>
            <w:r/>
            <w:r>
              <w:rPr>
                <w:sz w:val="19"/>
              </w:rPr>
              <w:t>Offre financière (DPGF)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40%</w:t>
            </w:r>
          </w:p>
        </w:tc>
      </w:tr>
    </w:tbl>
    <w:p>
      <w:r>
        <w:rPr>
          <w:b w:val="0"/>
          <w:i/>
          <w:sz w:val="21"/>
        </w:rPr>
        <w:t>Le pouvoir adjudicateur se réserve le droit de négocier avec le(s) mieux classé(s), mais peut aussi attribuer sans négociation.</w:t>
      </w:r>
    </w:p>
    <w:p>
      <w:pPr>
        <w:spacing w:before="200" w:after="80"/>
      </w:pPr>
      <w:r>
        <w:rPr>
          <w:b/>
          <w:color w:val="1F3A5F"/>
          <w:sz w:val="23"/>
        </w:rPr>
        <w:t>3.2 Pièces de candidature (checklist)</w:t>
      </w:r>
    </w:p>
    <w:p>
      <w:pPr>
        <w:pStyle w:val="ListBullet"/>
      </w:pPr>
      <w:r>
        <w:t>DC1 (ou déclaration sur l'honneur) + DC2, ou DUME</w:t>
      </w:r>
    </w:p>
    <w:p>
      <w:pPr>
        <w:pStyle w:val="ListBullet"/>
      </w:pPr>
      <w:r>
        <w:t>Chiffre d'affaires (3 derniers exercices) + attestations bancaires/assurance</w:t>
      </w:r>
    </w:p>
    <w:p>
      <w:pPr>
        <w:pStyle w:val="ListBullet"/>
      </w:pPr>
      <w:r>
        <w:t>Effectifs moyens annuels et encadrement (3 dernières années)</w:t>
      </w:r>
    </w:p>
    <w:p>
      <w:pPr>
        <w:pStyle w:val="ListBullet"/>
      </w:pPr>
      <w:r>
        <w:t>Références de travaux similaires (5 dernières années) avec attestations de bonne exécution, dont en ERP/milieu hospitalier</w:t>
      </w:r>
    </w:p>
    <w:p>
      <w:pPr>
        <w:pStyle w:val="ListBullet"/>
      </w:pPr>
      <w:r>
        <w:t>Certificats/qualifications QUALIBAT 6111 - 6222 - 6611 (ou équivalence démontrée)</w:t>
      </w:r>
    </w:p>
    <w:p>
      <w:pPr>
        <w:pStyle w:val="ListBullet"/>
      </w:pPr>
      <w:r>
        <w:t>Attestations fiscales et sociales à jour, Kbis (&lt; 3 mois), RIB</w:t>
      </w:r>
    </w:p>
    <w:p>
      <w:pPr>
        <w:pStyle w:val="ListBullet"/>
      </w:pPr>
      <w:r>
        <w:t>Attestation de visite de site signée</w:t>
      </w:r>
    </w:p>
    <w:p>
      <w:pPr>
        <w:spacing w:before="200" w:after="80"/>
      </w:pPr>
      <w:r>
        <w:rPr>
          <w:b/>
          <w:color w:val="1F3A5F"/>
          <w:sz w:val="23"/>
        </w:rPr>
        <w:t>3.3 Pièces de l'offre</w:t>
      </w:r>
    </w:p>
    <w:p>
      <w:pPr>
        <w:pStyle w:val="ListBullet"/>
      </w:pPr>
      <w:r>
        <w:t>Acte d'engagement (AE) complété et signé pour le Lot 3</w:t>
      </w:r>
    </w:p>
    <w:p>
      <w:pPr>
        <w:pStyle w:val="ListBullet"/>
      </w:pPr>
      <w:r>
        <w:t>DPGF complétée — 1 version PDF + 1 version Excel obligatoires</w:t>
      </w:r>
    </w:p>
    <w:p>
      <w:pPr>
        <w:pStyle w:val="ListBullet"/>
      </w:pPr>
      <w:r>
        <w:t>Attestation d'acceptation du CCAP et du CCTP (annexe 1 du CCAP)</w:t>
      </w:r>
    </w:p>
    <w:p>
      <w:pPr>
        <w:pStyle w:val="ListBullet"/>
      </w:pPr>
      <w:r>
        <w:t>Mémoire technique détaillé (cf. critères ci-dessus — c'est la pièce qui pèse le plus lourd, 60% de la note)</w:t>
      </w:r>
    </w:p>
    <w:p>
      <w:pPr>
        <w:pStyle w:val="ListBullet"/>
      </w:pPr>
      <w:r>
        <w:t>Engagement écrit : travaux non interrompus et effectifs constants en période estivale (juin-août)</w:t>
      </w:r>
    </w:p>
    <w:p>
      <w:pPr>
        <w:pStyle w:val="ListBullet"/>
      </w:pPr>
      <w:r>
        <w:t>Attestations d'assurance (Dommages + Responsabilité, incluant décennale)</w:t>
      </w:r>
    </w:p>
    <w:p>
      <w:pPr>
        <w:pStyle w:val="ListBullet"/>
      </w:pPr>
      <w:r>
        <w:t>Fiche de contact fournisseur (adresse mail utilisée pour tous les échanges post-remise, y compris négociation)</w:t>
      </w:r>
    </w:p>
    <w:p>
      <w:r>
        <w:rPr>
          <w:b w:val="0"/>
          <w:i/>
          <w:color w:val="595959"/>
          <w:sz w:val="21"/>
        </w:rPr>
        <w:t>Nommage des fichiers imposé : préfixer d'un tiret bas « _ » les pièces prioritaires (AE, tableau de prix, pouvoir, DC1/DC2, attestation de visite, Kbis, attestations fiscales/sociales, RIB).</w:t>
      </w:r>
    </w:p>
    <w:p>
      <w:r>
        <w:br w:type="page"/>
      </w:r>
    </w:p>
    <w:p>
      <w:pPr>
        <w:spacing w:before="360" w:after="120"/>
        <w:pBdr>
          <w:bottom w:val="single" w:sz="8" w:space="4" w:color="2E74B5"/>
        </w:pBdr>
      </w:pPr>
      <w:r>
        <w:rPr>
          <w:b/>
          <w:color w:val="2E74B5"/>
          <w:sz w:val="28"/>
        </w:rPr>
        <w:t>4. Contenu technique du Lot 3 (CCTP)</w:t>
      </w:r>
    </w:p>
    <w:p>
      <w:pPr>
        <w:spacing w:before="200" w:after="80"/>
      </w:pPr>
      <w:r>
        <w:rPr>
          <w:b/>
          <w:color w:val="1F3A5F"/>
          <w:sz w:val="23"/>
        </w:rPr>
        <w:t>4.1 Faux plafonds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928"/>
            <w:shd w:val="clear" w:color="auto" w:fill="2E74B5"/>
          </w:tcPr>
          <w:p>
            <w:r/>
            <w:r>
              <w:rPr>
                <w:b/>
                <w:color w:val="FFFFFF"/>
                <w:sz w:val="19"/>
              </w:rPr>
              <w:t>Ouvrage</w:t>
            </w:r>
          </w:p>
        </w:tc>
        <w:tc>
          <w:tcPr>
            <w:tcW w:type="dxa" w:w="2438"/>
            <w:shd w:val="clear" w:color="auto" w:fill="2E74B5"/>
          </w:tcPr>
          <w:p>
            <w:r/>
            <w:r>
              <w:rPr>
                <w:b/>
                <w:color w:val="FFFFFF"/>
                <w:sz w:val="19"/>
              </w:rPr>
              <w:t>Produit prescrit</w:t>
            </w:r>
          </w:p>
        </w:tc>
        <w:tc>
          <w:tcPr>
            <w:tcW w:type="dxa" w:w="2381"/>
            <w:shd w:val="clear" w:color="auto" w:fill="2E74B5"/>
          </w:tcPr>
          <w:p>
            <w:r/>
            <w:r>
              <w:rPr>
                <w:b/>
                <w:color w:val="FFFFFF"/>
                <w:sz w:val="19"/>
              </w:rPr>
              <w:t>Caractéristiques</w:t>
            </w:r>
          </w:p>
        </w:tc>
        <w:tc>
          <w:tcPr>
            <w:tcW w:type="dxa" w:w="2608"/>
            <w:shd w:val="clear" w:color="auto" w:fill="2E74B5"/>
          </w:tcPr>
          <w:p>
            <w:r/>
            <w:r>
              <w:rPr>
                <w:b/>
                <w:color w:val="FFFFFF"/>
                <w:sz w:val="19"/>
              </w:rPr>
              <w:t>Localisation (extrait)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Faux plafond Hygiène Performance A</w:t>
            </w:r>
          </w:p>
        </w:tc>
        <w:tc>
          <w:tcPr>
            <w:tcW w:type="dxa" w:w="2438"/>
          </w:tcPr>
          <w:p>
            <w:r/>
            <w:r>
              <w:rPr>
                <w:sz w:val="19"/>
              </w:rPr>
              <w:t>Ecophon Hygiène Performance A (Akutex HS) ou équiv.</w:t>
            </w:r>
          </w:p>
        </w:tc>
        <w:tc>
          <w:tcPr>
            <w:tcW w:type="dxa" w:w="2381"/>
          </w:tcPr>
          <w:p>
            <w:r/>
            <w:r>
              <w:rPr>
                <w:sz w:val="19"/>
              </w:rPr>
              <w:t>600x600, ép. 20mm, classement A, EN13501-1 A2-s1,d0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Sanitaires, LT électrique, WC, salle de détente, secrétariat…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Faux plafond Hygiène Protect Air A</w:t>
            </w:r>
          </w:p>
        </w:tc>
        <w:tc>
          <w:tcPr>
            <w:tcW w:type="dxa" w:w="2438"/>
          </w:tcPr>
          <w:p>
            <w:r/>
            <w:r>
              <w:rPr>
                <w:sz w:val="19"/>
              </w:rPr>
              <w:t>Ecophon Hygiène Protect Air A (Akutex HP) ou équiv.</w:t>
            </w:r>
          </w:p>
        </w:tc>
        <w:tc>
          <w:tcPr>
            <w:tcW w:type="dxa" w:w="2381"/>
          </w:tcPr>
          <w:p>
            <w:r/>
            <w:r>
              <w:rPr>
                <w:sz w:val="19"/>
              </w:rPr>
              <w:t>600x600, ép. 20mm, classement B, A2-s1,d0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Scanner, salle claire, accès accueil radio, déshabilloirs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Jouées</w:t>
            </w:r>
          </w:p>
        </w:tc>
        <w:tc>
          <w:tcPr>
            <w:tcW w:type="dxa" w:w="2438"/>
          </w:tcPr>
          <w:p>
            <w:r/>
            <w:r>
              <w:rPr>
                <w:sz w:val="19"/>
              </w:rPr>
              <w:t>Placostil BA13</w:t>
            </w:r>
          </w:p>
        </w:tc>
        <w:tc>
          <w:tcPr>
            <w:tcW w:type="dxa" w:w="2381"/>
          </w:tcPr>
          <w:p>
            <w:r/>
            <w:r>
              <w:rPr>
                <w:sz w:val="19"/>
              </w:rPr>
              <w:t>Provision 20 ml x 0,60 m hauteur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Liaisons entre niveaux de plafonds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Grilles de ventilation plénum</w:t>
            </w:r>
          </w:p>
        </w:tc>
        <w:tc>
          <w:tcPr>
            <w:tcW w:type="dxa" w:w="2438"/>
          </w:tcPr>
          <w:p>
            <w:r/>
            <w:r>
              <w:rPr>
                <w:sz w:val="19"/>
              </w:rPr>
              <w:t>Aluminium laqué</w:t>
            </w:r>
          </w:p>
        </w:tc>
        <w:tc>
          <w:tcPr>
            <w:tcW w:type="dxa" w:w="2381"/>
          </w:tcPr>
          <w:p>
            <w:r/>
            <w:r>
              <w:rPr>
                <w:sz w:val="19"/>
              </w:rPr>
              <w:t>Provision 5 unités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Selon présence de fluides médicaux en plénum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Dépose/repose plafonds existants</w:t>
            </w:r>
          </w:p>
        </w:tc>
        <w:tc>
          <w:tcPr>
            <w:tcW w:type="dxa" w:w="2438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2381"/>
          </w:tcPr>
          <w:p>
            <w:r/>
            <w:r>
              <w:rPr>
                <w:sz w:val="19"/>
              </w:rPr>
              <w:t>Provision 67 m², constat contradictoire avant dépose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—</w:t>
            </w:r>
          </w:p>
        </w:tc>
      </w:tr>
    </w:tbl>
    <w:p>
      <w:pPr>
        <w:spacing w:before="200" w:after="80"/>
      </w:pPr>
      <w:r>
        <w:rPr>
          <w:b/>
          <w:color w:val="1F3A5F"/>
          <w:sz w:val="23"/>
        </w:rPr>
        <w:t>4.2 Peinture</w:t>
      </w:r>
    </w:p>
    <w:p>
      <w:r>
        <w:rPr>
          <w:b w:val="0"/>
          <w:i w:val="0"/>
          <w:sz w:val="21"/>
        </w:rPr>
        <w:t>Système CAPAROL Indeko (Fix + Satin, faible C.O.V., Ecolabel) ou équivalent, en finition A (murs/plafonds) et B (métaux/PVC). Garantie particulière de 10 ans sur les peintures appliquées sur maçonnerie/enduits/serrurerie.</w:t>
      </w:r>
    </w:p>
    <w:p>
      <w:r>
        <w:rPr>
          <w:b w:val="0"/>
          <w:i w:val="0"/>
          <w:sz w:val="21"/>
        </w:rPr>
        <w:t>Provision spécifique : reprise de peinture en circulation N°5 — 70 m².</w:t>
      </w:r>
    </w:p>
    <w:p>
      <w:r>
        <w:rPr>
          <w:b w:val="0"/>
          <w:i w:val="0"/>
          <w:sz w:val="21"/>
        </w:rPr>
        <w:t>Locaux traités : ensemble des locaux du projet (salle de détente, secrétariat/accueil, sanitaires, accès radio/écho, scanner, salle claire, déshabilloirs, box, GT, LT électrique…).</w:t>
      </w:r>
    </w:p>
    <w:p>
      <w:pPr>
        <w:spacing w:before="200" w:after="80"/>
      </w:pPr>
      <w:r>
        <w:rPr>
          <w:b/>
          <w:color w:val="1F3A5F"/>
          <w:sz w:val="23"/>
        </w:rPr>
        <w:t>4.3 Sols souples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871"/>
            <w:shd w:val="clear" w:color="auto" w:fill="2E74B5"/>
          </w:tcPr>
          <w:p>
            <w:r/>
            <w:r>
              <w:rPr>
                <w:b/>
                <w:color w:val="FFFFFF"/>
                <w:sz w:val="19"/>
              </w:rPr>
              <w:t>Ouvrage</w:t>
            </w:r>
          </w:p>
        </w:tc>
        <w:tc>
          <w:tcPr>
            <w:tcW w:type="dxa" w:w="2494"/>
            <w:shd w:val="clear" w:color="auto" w:fill="2E74B5"/>
          </w:tcPr>
          <w:p>
            <w:r/>
            <w:r>
              <w:rPr>
                <w:b/>
                <w:color w:val="FFFFFF"/>
                <w:sz w:val="19"/>
              </w:rPr>
              <w:t>Produit prescrit</w:t>
            </w:r>
          </w:p>
        </w:tc>
        <w:tc>
          <w:tcPr>
            <w:tcW w:type="dxa" w:w="2438"/>
            <w:shd w:val="clear" w:color="auto" w:fill="2E74B5"/>
          </w:tcPr>
          <w:p>
            <w:r/>
            <w:r>
              <w:rPr>
                <w:b/>
                <w:color w:val="FFFFFF"/>
                <w:sz w:val="19"/>
              </w:rPr>
              <w:t>Caractéristiques</w:t>
            </w:r>
          </w:p>
        </w:tc>
        <w:tc>
          <w:tcPr>
            <w:tcW w:type="dxa" w:w="2551"/>
            <w:shd w:val="clear" w:color="auto" w:fill="2E74B5"/>
          </w:tcPr>
          <w:p>
            <w:r/>
            <w:r>
              <w:rPr>
                <w:b/>
                <w:color w:val="FFFFFF"/>
                <w:sz w:val="19"/>
              </w:rPr>
              <w:t>Localisation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Sol PVC compact imprimé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</w:rPr>
              <w:t>Gerflor Taralay Impression Compact ou équiv.</w:t>
            </w:r>
          </w:p>
        </w:tc>
        <w:tc>
          <w:tcPr>
            <w:tcW w:type="dxa" w:w="2438"/>
          </w:tcPr>
          <w:p>
            <w:r/>
            <w:r>
              <w:rPr>
                <w:sz w:val="19"/>
              </w:rPr>
              <w:t>2,00mm (usure 0,70mm), classt 33-42, UPEC U3P3E2/3C2, Bfl-s1, R10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Locaux courants / sanitaires / secrétariat / LT élec.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Sol homogène compact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</w:rPr>
              <w:t>Gerflor Taralay Mipolam Planet ou équiv.</w:t>
            </w:r>
          </w:p>
        </w:tc>
        <w:tc>
          <w:tcPr>
            <w:tcW w:type="dxa" w:w="2438"/>
          </w:tcPr>
          <w:p>
            <w:r/>
            <w:r>
              <w:rPr>
                <w:sz w:val="19"/>
              </w:rPr>
              <w:t>2,00mm, classt 34-43, UPEC U3P3E2/3C2, Bfl-s1, R9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Scanner, salle claire, accès accueil radio, déshabilloirs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Ragréage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</w:rPr>
              <w:t>Weber &amp; Broutin Nivdur S (P3) ou équiv.</w:t>
            </w:r>
          </w:p>
        </w:tc>
        <w:tc>
          <w:tcPr>
            <w:tcW w:type="dxa" w:w="2438"/>
          </w:tcPr>
          <w:p>
            <w:r/>
            <w:r>
              <w:rPr>
                <w:sz w:val="19"/>
              </w:rPr>
              <w:t>Épaisseur mini 3mm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Sur toute la surface des aires de pose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Plinthes / barres de seuil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</w:rPr>
              <w:t>Profil Gerflor réf. 0488 / seuils laiton 35mm</w:t>
            </w:r>
          </w:p>
        </w:tc>
        <w:tc>
          <w:tcPr>
            <w:tcW w:type="dxa" w:w="2438"/>
          </w:tcPr>
          <w:p>
            <w:r/>
            <w:r>
              <w:rPr>
                <w:sz w:val="19"/>
              </w:rPr>
              <w:t>Remontée en plinthe 0,10m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Selon calepinage</w:t>
            </w:r>
          </w:p>
        </w:tc>
      </w:tr>
    </w:tbl>
    <w:p>
      <w:r>
        <w:rPr>
          <w:b w:val="0"/>
          <w:i/>
          <w:sz w:val="21"/>
        </w:rPr>
        <w:t>Garantie décennale d'indécollabilité exigée sur les revêtements de sols souples.</w:t>
      </w:r>
    </w:p>
    <w:p>
      <w:r>
        <w:br w:type="page"/>
      </w:r>
    </w:p>
    <w:p>
      <w:pPr>
        <w:spacing w:before="360" w:after="120"/>
        <w:pBdr>
          <w:bottom w:val="single" w:sz="8" w:space="4" w:color="2E74B5"/>
        </w:pBdr>
      </w:pPr>
      <w:r>
        <w:rPr>
          <w:b/>
          <w:color w:val="2E74B5"/>
          <w:sz w:val="28"/>
        </w:rPr>
        <w:t>5. Conditions financières et contractuelles (CCAP)</w:t>
      </w:r>
    </w:p>
    <w:p>
      <w:pPr>
        <w:spacing w:before="200" w:after="80"/>
      </w:pPr>
      <w:r>
        <w:rPr>
          <w:b/>
          <w:color w:val="1F3A5F"/>
          <w:sz w:val="23"/>
        </w:rPr>
        <w:t>5.1 Prix et révision</w:t>
      </w:r>
    </w:p>
    <w:p>
      <w:pPr>
        <w:pStyle w:val="ListBullet"/>
      </w:pPr>
      <w:r>
        <w:t>Prix global et forfaitaire, hors TVA, réputé intégrer tous les aléas normalement prévisibles (le quantitatif est à vérifier par le candidat avant remise d'offre — aucune réclamation possible après signature).</w:t>
      </w:r>
    </w:p>
    <w:p>
      <w:pPr>
        <w:pStyle w:val="ListBullet"/>
      </w:pPr>
      <w:r>
        <w:t>Formule de révision : P = Po x [0,125 + 0,875(Z)], avec pour le Lot 3 : BT08 (30%), BT10 (45%), BT25 (25%).</w:t>
      </w:r>
    </w:p>
    <w:p>
      <w:pPr>
        <w:pStyle w:val="ListBullet"/>
      </w:pPr>
      <w:r>
        <w:t>Dérogations CCAG notables : seuil de bouleversement porté à 15% (au lieu de 10%) de la masse initiale ; augmentation/diminution limite portée à 15%.</w:t>
      </w:r>
    </w:p>
    <w:p>
      <w:pPr>
        <w:spacing w:before="200" w:after="80"/>
      </w:pPr>
      <w:r>
        <w:rPr>
          <w:b/>
          <w:color w:val="1F3A5F"/>
          <w:sz w:val="23"/>
        </w:rPr>
        <w:t>5.2 Garanties financières et avance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color="auto" w:fill="2E74B5"/>
          </w:tcPr>
          <w:p>
            <w:r/>
            <w:r>
              <w:rPr>
                <w:b/>
                <w:color w:val="FFFFFF"/>
                <w:sz w:val="19"/>
              </w:rPr>
              <w:t>Point</w:t>
            </w:r>
          </w:p>
        </w:tc>
        <w:tc>
          <w:tcPr>
            <w:tcW w:type="dxa" w:w="6520"/>
            <w:shd w:val="clear" w:color="auto" w:fill="2E74B5"/>
          </w:tcPr>
          <w:p>
            <w:r/>
            <w:r>
              <w:rPr>
                <w:b/>
                <w:color w:val="FFFFFF"/>
                <w:sz w:val="19"/>
              </w:rPr>
              <w:t>Règle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Retenue de garantie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5% du montant du marché (3% pour les PME) — remplaçable par caution/garantie à 1ère demande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Avance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5% du montant initial TTC (10% pour les PME), sous condition de garantie à 1ère demande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Délai global de paiement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50 jours maximum (Chorus Pro obligatoire)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Délai de validité de l'offre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180 jours</w:t>
            </w:r>
          </w:p>
        </w:tc>
      </w:tr>
    </w:tbl>
    <w:p>
      <w:pPr>
        <w:spacing w:before="200" w:after="80"/>
      </w:pPr>
      <w:r>
        <w:rPr>
          <w:b/>
          <w:color w:val="1F3A5F"/>
          <w:sz w:val="23"/>
        </w:rPr>
        <w:t>5.3 Pénalités (application sans mise en demeure préalable, dérogation à l'exonération)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953"/>
            <w:shd w:val="clear" w:color="auto" w:fill="2E74B5"/>
          </w:tcPr>
          <w:p>
            <w:r/>
            <w:r>
              <w:rPr>
                <w:b/>
                <w:color w:val="FFFFFF"/>
                <w:sz w:val="19"/>
              </w:rPr>
              <w:t>Motif</w:t>
            </w:r>
          </w:p>
        </w:tc>
        <w:tc>
          <w:tcPr>
            <w:tcW w:type="dxa" w:w="3402"/>
            <w:shd w:val="clear" w:color="auto" w:fill="2E74B5"/>
          </w:tcPr>
          <w:p>
            <w:r/>
            <w:r>
              <w:rPr>
                <w:b/>
                <w:color w:val="FFFFFF"/>
                <w:sz w:val="19"/>
              </w:rPr>
              <w:t>Montant</w:t>
            </w:r>
          </w:p>
        </w:tc>
      </w:tr>
      <w:tr>
        <w:tc>
          <w:tcPr>
            <w:tcW w:type="dxa" w:w="5953"/>
          </w:tcPr>
          <w:p>
            <w:r/>
            <w:r>
              <w:rPr>
                <w:sz w:val="19"/>
              </w:rPr>
              <w:t>Retard sur délai global d'exécution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500 €/jour calendaire</w:t>
            </w:r>
          </w:p>
        </w:tc>
      </w:tr>
      <w:tr>
        <w:tc>
          <w:tcPr>
            <w:tcW w:type="dxa" w:w="5953"/>
          </w:tcPr>
          <w:p>
            <w:r/>
            <w:r>
              <w:rPr>
                <w:sz w:val="19"/>
              </w:rPr>
              <w:t>Retard remise de documents (calendrier)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500 €/jour calendaire</w:t>
            </w:r>
          </w:p>
        </w:tc>
      </w:tr>
      <w:tr>
        <w:tc>
          <w:tcPr>
            <w:tcW w:type="dxa" w:w="5953"/>
          </w:tcPr>
          <w:p>
            <w:r/>
            <w:r>
              <w:rPr>
                <w:sz w:val="19"/>
              </w:rPr>
              <w:t>Retard demande d'acceptation sous-traitant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500 €/jour calendaire</w:t>
            </w:r>
          </w:p>
        </w:tc>
      </w:tr>
      <w:tr>
        <w:tc>
          <w:tcPr>
            <w:tcW w:type="dxa" w:w="5953"/>
          </w:tcPr>
          <w:p>
            <w:r/>
            <w:r>
              <w:rPr>
                <w:sz w:val="19"/>
              </w:rPr>
              <w:t>Retard installation/repliement de chantier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500 €/jour calendaire</w:t>
            </w:r>
          </w:p>
        </w:tc>
      </w:tr>
      <w:tr>
        <w:tc>
          <w:tcPr>
            <w:tcW w:type="dxa" w:w="5953"/>
          </w:tcPr>
          <w:p>
            <w:r/>
            <w:r>
              <w:rPr>
                <w:sz w:val="19"/>
              </w:rPr>
              <w:t>Bruit de chantier hors limites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500 €/jour calendaire</w:t>
            </w:r>
          </w:p>
        </w:tc>
      </w:tr>
      <w:tr>
        <w:tc>
          <w:tcPr>
            <w:tcW w:type="dxa" w:w="5953"/>
          </w:tcPr>
          <w:p>
            <w:r/>
            <w:r>
              <w:rPr>
                <w:sz w:val="19"/>
              </w:rPr>
              <w:t>Sécurité / gardiennage / hygiène / signalisation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200 €/jour calendaire</w:t>
            </w:r>
          </w:p>
        </w:tc>
      </w:tr>
      <w:tr>
        <w:tc>
          <w:tcPr>
            <w:tcW w:type="dxa" w:w="5953"/>
          </w:tcPr>
          <w:p>
            <w:r/>
            <w:r>
              <w:rPr>
                <w:sz w:val="19"/>
              </w:rPr>
              <w:t>Dépôt de gravois hors zones prescrites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200 € par infraction</w:t>
            </w:r>
          </w:p>
        </w:tc>
      </w:tr>
      <w:tr>
        <w:tc>
          <w:tcPr>
            <w:tcW w:type="dxa" w:w="5953"/>
          </w:tcPr>
          <w:p>
            <w:r/>
            <w:r>
              <w:rPr>
                <w:sz w:val="19"/>
              </w:rPr>
              <w:t>Retard nettoyage / évacuation gravois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200 €/jour calendaire</w:t>
            </w:r>
          </w:p>
        </w:tc>
      </w:tr>
      <w:tr>
        <w:tc>
          <w:tcPr>
            <w:tcW w:type="dxa" w:w="5953"/>
          </w:tcPr>
          <w:p>
            <w:r/>
            <w:r>
              <w:rPr>
                <w:sz w:val="19"/>
              </w:rPr>
              <w:t>Retard / absence rendez-vous de chantier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200 € par occurrence</w:t>
            </w:r>
          </w:p>
        </w:tc>
      </w:tr>
      <w:tr>
        <w:tc>
          <w:tcPr>
            <w:tcW w:type="dxa" w:w="5953"/>
          </w:tcPr>
          <w:p>
            <w:r/>
            <w:r>
              <w:rPr>
                <w:sz w:val="19"/>
              </w:rPr>
              <w:t>Retard présentation échantillons / locaux témoins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150 €/jour calendaire</w:t>
            </w:r>
          </w:p>
        </w:tc>
      </w:tr>
      <w:tr>
        <w:tc>
          <w:tcPr>
            <w:tcW w:type="dxa" w:w="5953"/>
          </w:tcPr>
          <w:p>
            <w:r/>
            <w:r>
              <w:rPr>
                <w:sz w:val="19"/>
              </w:rPr>
              <w:t>Retard documents après exécution (DOE)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500 €/jour calendaire</w:t>
            </w:r>
          </w:p>
        </w:tc>
      </w:tr>
      <w:tr>
        <w:tc>
          <w:tcPr>
            <w:tcW w:type="dxa" w:w="5953"/>
          </w:tcPr>
          <w:p>
            <w:r/>
            <w:r>
              <w:rPr>
                <w:sz w:val="19"/>
              </w:rPr>
              <w:t>Travail dissimulé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10% du montant TTC du marché</w:t>
            </w:r>
          </w:p>
        </w:tc>
      </w:tr>
    </w:tbl>
    <w:p>
      <w:r>
        <w:rPr>
          <w:b w:val="0"/>
          <w:i/>
          <w:color w:val="B03A2E"/>
          <w:sz w:val="21"/>
        </w:rPr>
        <w:t>Ces pénalités sont cumulables entre elles et retenues sur les décomptes mensuels : un chiffrage prudent des aléas de planning (dépendance aux lots amont) est recommandé.</w:t>
      </w:r>
    </w:p>
    <w:p>
      <w:r>
        <w:br w:type="page"/>
      </w:r>
    </w:p>
    <w:p>
      <w:pPr>
        <w:spacing w:before="360" w:after="120"/>
        <w:pBdr>
          <w:bottom w:val="single" w:sz="8" w:space="4" w:color="2E74B5"/>
        </w:pBdr>
      </w:pPr>
      <w:r>
        <w:rPr>
          <w:b/>
          <w:color w:val="2E74B5"/>
          <w:sz w:val="28"/>
        </w:rPr>
        <w:t>6. Contraintes du chantier et organisation prévue par France Décoration</w:t>
      </w:r>
    </w:p>
    <w:p>
      <w:r>
        <w:rPr>
          <w:b w:val="0"/>
          <w:i w:val="0"/>
          <w:sz w:val="21"/>
        </w:rPr>
        <w:t>Cette section met en regard, contrainte par contrainte (compréhension du projet, enjeux techniques et organisationnels, sécurité, risques, nettoyage), l'exigence identifiée dans le DCE et l'organisation proposée par France Décoration pour y répondre. Cette matrice constitue la base du futur mémoire technique (critère « Valeur technique », 60% de la note) — les réponses ci-dessous sont des propositions à valider, chiffrer et personnaliser avec les moyens réels de l'entreprise avant dépôt.</w:t>
      </w:r>
    </w:p>
    <w:p>
      <w:pPr>
        <w:spacing w:before="200" w:after="80"/>
      </w:pPr>
      <w:r>
        <w:rPr>
          <w:b/>
          <w:color w:val="1F3A5F"/>
          <w:sz w:val="23"/>
        </w:rPr>
        <w:t>6.1 Compréhension du projet et enjeux techniques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365"/>
            <w:shd w:val="clear" w:color="auto" w:fill="2E74B5"/>
          </w:tcPr>
          <w:p>
            <w:r/>
            <w:r>
              <w:rPr>
                <w:b/>
                <w:color w:val="FFFFFF"/>
                <w:sz w:val="19"/>
              </w:rPr>
              <w:t>Contrainte identifiée dans le DCE</w:t>
            </w:r>
          </w:p>
        </w:tc>
        <w:tc>
          <w:tcPr>
            <w:tcW w:type="dxa" w:w="4422"/>
            <w:shd w:val="clear" w:color="auto" w:fill="2E74B5"/>
          </w:tcPr>
          <w:p>
            <w:r/>
            <w:r>
              <w:rPr>
                <w:b/>
                <w:color w:val="FFFFFF"/>
                <w:sz w:val="19"/>
              </w:rPr>
              <w:t>Organisation prévue par France Décoration</w:t>
            </w:r>
          </w:p>
        </w:tc>
      </w:tr>
      <w:tr>
        <w:tc>
          <w:tcPr>
            <w:tcW w:type="dxa" w:w="4365"/>
          </w:tcPr>
          <w:p>
            <w:r/>
            <w:r>
              <w:rPr>
                <w:sz w:val="19"/>
              </w:rPr>
              <w:t>Réaménagement d'une ancienne zone de radiologie en salle de scanner (RDC, bâtiment Madeleine Brès), en établissement hospitalier en activité.</w:t>
            </w:r>
          </w:p>
        </w:tc>
        <w:tc>
          <w:tcPr>
            <w:tcW w:type="dxa" w:w="4422"/>
          </w:tcPr>
          <w:p>
            <w:r/>
            <w:r>
              <w:rPr>
                <w:sz w:val="19"/>
              </w:rPr>
              <w:t>Désignation d'un conducteur de travaux référent unique pour le lot, présent régulièrement sur site ; visite préalable approfondie pour lever toute ambiguïté avant chiffrage ; participation active aux réunions de la période de préparation.</w:t>
            </w:r>
          </w:p>
        </w:tc>
      </w:tr>
      <w:tr>
        <w:tc>
          <w:tcPr>
            <w:tcW w:type="dxa" w:w="4365"/>
          </w:tcPr>
          <w:p>
            <w:r/>
            <w:r>
              <w:rPr>
                <w:sz w:val="19"/>
              </w:rPr>
              <w:t>Ouvrages à forte exigence hygiène/technique : faux plafonds « Hygiène » (classement A2-s1,d0), sols UPEC U3P3E2/3C2, peintures faible C.O.V. certifiées Ecolabel.</w:t>
            </w:r>
          </w:p>
        </w:tc>
        <w:tc>
          <w:tcPr>
            <w:tcW w:type="dxa" w:w="4422"/>
          </w:tcPr>
          <w:p>
            <w:r/>
            <w:r>
              <w:rPr>
                <w:sz w:val="19"/>
              </w:rPr>
              <w:t>Mise en œuvre strictement conforme aux DTU et fiches techniques fabricants (Ecophon, Caparol, Gerflor) ; contrôle qualité interne à chaque étape ; validation d'échantillons et de locaux témoins avec le Maître d'Œuvre avant généralisation.</w:t>
            </w:r>
          </w:p>
        </w:tc>
      </w:tr>
      <w:tr>
        <w:tc>
          <w:tcPr>
            <w:tcW w:type="dxa" w:w="4365"/>
          </w:tcPr>
          <w:p>
            <w:r/>
            <w:r>
              <w:rPr>
                <w:sz w:val="19"/>
              </w:rPr>
              <w:t>Équipements lourds à supporter (statif scanner ≈2 676 daN, table patiente, armoires) nécessitant un plancher renforcé.</w:t>
            </w:r>
          </w:p>
        </w:tc>
        <w:tc>
          <w:tcPr>
            <w:tcW w:type="dxa" w:w="4422"/>
          </w:tcPr>
          <w:p>
            <w:r/>
            <w:r>
              <w:rPr>
                <w:sz w:val="19"/>
              </w:rPr>
              <w:t>Point d'arrêt formalisé avant intervention : constat contradictoire de réception du renfort structurel (poutrelles HEB220, Lot 1) avant toute pose de sol ou de faux plafond dans la zone concernée.</w:t>
            </w:r>
          </w:p>
        </w:tc>
      </w:tr>
      <w:tr>
        <w:tc>
          <w:tcPr>
            <w:tcW w:type="dxa" w:w="4365"/>
          </w:tcPr>
          <w:p>
            <w:r/>
            <w:r>
              <w:rPr>
                <w:sz w:val="19"/>
              </w:rPr>
              <w:t>Lot en toute fin de chaîne technique du chantier (après gros œuvre, cloisonnement, réseaux) — bonne compréhension des interfaces avec les lots 1, 2, 4, 5, 6 indispensable.</w:t>
            </w:r>
          </w:p>
        </w:tc>
        <w:tc>
          <w:tcPr>
            <w:tcW w:type="dxa" w:w="4422"/>
          </w:tcPr>
          <w:p>
            <w:r/>
            <w:r>
              <w:rPr>
                <w:sz w:val="19"/>
              </w:rPr>
              <w:t>Analyse des interfaces en phase de préparation (plans d'exécution visés, réservations, coordination réseaux/plénum) ; réunion de calage technique avec chaque corps d'état concerné avant démarrage.</w:t>
            </w:r>
          </w:p>
        </w:tc>
      </w:tr>
    </w:tbl>
    <w:p/>
    <w:p>
      <w:pPr>
        <w:spacing w:before="200" w:after="80"/>
      </w:pPr>
      <w:r>
        <w:rPr>
          <w:b/>
          <w:color w:val="1F3A5F"/>
          <w:sz w:val="23"/>
        </w:rPr>
        <w:t>6.2 Enjeux organisationnels et planning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365"/>
            <w:shd w:val="clear" w:color="auto" w:fill="2E74B5"/>
          </w:tcPr>
          <w:p>
            <w:r/>
            <w:r>
              <w:rPr>
                <w:b/>
                <w:color w:val="FFFFFF"/>
                <w:sz w:val="19"/>
              </w:rPr>
              <w:t>Contrainte identifiée dans le DCE</w:t>
            </w:r>
          </w:p>
        </w:tc>
        <w:tc>
          <w:tcPr>
            <w:tcW w:type="dxa" w:w="4422"/>
            <w:shd w:val="clear" w:color="auto" w:fill="2E74B5"/>
          </w:tcPr>
          <w:p>
            <w:r/>
            <w:r>
              <w:rPr>
                <w:b/>
                <w:color w:val="FFFFFF"/>
                <w:sz w:val="19"/>
              </w:rPr>
              <w:t>Organisation prévue par France Décoration</w:t>
            </w:r>
          </w:p>
        </w:tc>
      </w:tr>
      <w:tr>
        <w:tc>
          <w:tcPr>
            <w:tcW w:type="dxa" w:w="4365"/>
          </w:tcPr>
          <w:p>
            <w:r/>
            <w:r>
              <w:rPr>
                <w:sz w:val="19"/>
              </w:rPr>
              <w:t>Fenêtre d'intervention courte (45 jours) et dépendante de l'avancement des lots amont (1, 2, 4, 5) — risque de glissement de planning.</w:t>
            </w:r>
          </w:p>
        </w:tc>
        <w:tc>
          <w:tcPr>
            <w:tcW w:type="dxa" w:w="4422"/>
          </w:tcPr>
          <w:p>
            <w:r/>
            <w:r>
              <w:rPr>
                <w:sz w:val="19"/>
              </w:rPr>
              <w:t>Planning d'exécution détaillé en sous-tâches par local, avec jalons de réception intermédiaires des supports ; anticipation des délais de fabrication/livraison (faux plafonds, sols, peintures) dès la notification ; réserve de capacité (équipes mobilisables en renfort) en cas de rattrapage nécessaire.</w:t>
            </w:r>
          </w:p>
        </w:tc>
      </w:tr>
      <w:tr>
        <w:tc>
          <w:tcPr>
            <w:tcW w:type="dxa" w:w="4365"/>
          </w:tcPr>
          <w:p>
            <w:r/>
            <w:r>
              <w:rPr>
                <w:sz w:val="19"/>
              </w:rPr>
              <w:t>Délai global contraint (5 mois dont 1 mois de préparation) et régime de pénalités sans mise en demeure préalable (retard, documents, RDV chantier, sous-traitants...).</w:t>
            </w:r>
          </w:p>
        </w:tc>
        <w:tc>
          <w:tcPr>
            <w:tcW w:type="dxa" w:w="4422"/>
          </w:tcPr>
          <w:p>
            <w:r/>
            <w:r>
              <w:rPr>
                <w:sz w:val="19"/>
              </w:rPr>
              <w:t>Cadencement hebdomadaire du chantier avec compte-rendu formalisé ; alerte anticipée écrite au Maître d'Œuvre dès qu'un retard d'un lot amont est identifié comme menaçant la fenêtre du Lot 3, pour purger la responsabilité de France Décoration.</w:t>
            </w:r>
          </w:p>
        </w:tc>
      </w:tr>
      <w:tr>
        <w:tc>
          <w:tcPr>
            <w:tcW w:type="dxa" w:w="4365"/>
          </w:tcPr>
          <w:p>
            <w:r/>
            <w:r>
              <w:rPr>
                <w:sz w:val="19"/>
              </w:rPr>
              <w:t>Engagement contractuel à souscrire : continuité des travaux et effectifs constants en période estivale (juin à août).</w:t>
            </w:r>
          </w:p>
        </w:tc>
        <w:tc>
          <w:tcPr>
            <w:tcW w:type="dxa" w:w="4422"/>
          </w:tcPr>
          <w:p>
            <w:r/>
            <w:r>
              <w:rPr>
                <w:sz w:val="19"/>
              </w:rPr>
              <w:t>Planification des congés des équipes affectées au chantier en dehors de la période juin-août ; identification d'un binôme/équipe de suppléance pour garantir la continuité.</w:t>
            </w:r>
          </w:p>
        </w:tc>
      </w:tr>
      <w:tr>
        <w:tc>
          <w:tcPr>
            <w:tcW w:type="dxa" w:w="4365"/>
          </w:tcPr>
          <w:p>
            <w:r/>
            <w:r>
              <w:rPr>
                <w:sz w:val="19"/>
              </w:rPr>
              <w:t>Coordination technique avec les autres corps d'état : réservations/découpes en faux plafond (électricité, CVC, fluides médicaux), pose de plinthes après sols, raccords après jeux des menuiseries.</w:t>
            </w:r>
          </w:p>
        </w:tc>
        <w:tc>
          <w:tcPr>
            <w:tcW w:type="dxa" w:w="4422"/>
          </w:tcPr>
          <w:p>
            <w:r/>
            <w:r>
              <w:rPr>
                <w:sz w:val="19"/>
              </w:rPr>
              <w:t>Participation systématique aux réunions de coordination technique hebdomadaires ; visa croisé des plans d'exécution avant pose ; désignation d'un référent coordination interfaces au sein de l'équipe chantier.</w:t>
            </w:r>
          </w:p>
        </w:tc>
      </w:tr>
      <w:tr>
        <w:tc>
          <w:tcPr>
            <w:tcW w:type="dxa" w:w="4365"/>
          </w:tcPr>
          <w:p>
            <w:r/>
            <w:r>
              <w:rPr>
                <w:sz w:val="19"/>
              </w:rPr>
              <w:t>Sous-traitance éventuelle à déclarer et faire agréer (délais compatibles avec le PPSPS du sous-traitant).</w:t>
            </w:r>
          </w:p>
        </w:tc>
        <w:tc>
          <w:tcPr>
            <w:tcW w:type="dxa" w:w="4422"/>
          </w:tcPr>
          <w:p>
            <w:r/>
            <w:r>
              <w:rPr>
                <w:sz w:val="19"/>
              </w:rPr>
              <w:t>Anticipation des demandes d'agrément sous-traitant dès la notification du marché, avec constitution des pièces (déclarations, attestations) en parallèle du démarrage de chantier.</w:t>
            </w:r>
          </w:p>
        </w:tc>
      </w:tr>
    </w:tbl>
    <w:p/>
    <w:p>
      <w:pPr>
        <w:spacing w:before="200" w:after="80"/>
      </w:pPr>
      <w:r>
        <w:rPr>
          <w:b/>
          <w:color w:val="1F3A5F"/>
          <w:sz w:val="23"/>
        </w:rPr>
        <w:t>6.3 Sécurité du chantier et coordination SSI/SPS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365"/>
            <w:shd w:val="clear" w:color="auto" w:fill="2E74B5"/>
          </w:tcPr>
          <w:p>
            <w:r/>
            <w:r>
              <w:rPr>
                <w:b/>
                <w:color w:val="FFFFFF"/>
                <w:sz w:val="19"/>
              </w:rPr>
              <w:t>Contrainte identifiée dans le DCE</w:t>
            </w:r>
          </w:p>
        </w:tc>
        <w:tc>
          <w:tcPr>
            <w:tcW w:type="dxa" w:w="4422"/>
            <w:shd w:val="clear" w:color="auto" w:fill="2E74B5"/>
          </w:tcPr>
          <w:p>
            <w:r/>
            <w:r>
              <w:rPr>
                <w:b/>
                <w:color w:val="FFFFFF"/>
                <w:sz w:val="19"/>
              </w:rPr>
              <w:t>Organisation prévue par France Décoration</w:t>
            </w:r>
          </w:p>
        </w:tc>
      </w:tr>
      <w:tr>
        <w:tc>
          <w:tcPr>
            <w:tcW w:type="dxa" w:w="4365"/>
          </w:tcPr>
          <w:p>
            <w:r/>
            <w:r>
              <w:rPr>
                <w:sz w:val="19"/>
              </w:rPr>
              <w:t>Coordination SPS assurée par SOCOTEC Construction ; PPSPS à établir et remettre sous 30 jours à compter du début de la période de préparation.</w:t>
            </w:r>
          </w:p>
        </w:tc>
        <w:tc>
          <w:tcPr>
            <w:tcW w:type="dxa" w:w="4422"/>
          </w:tcPr>
          <w:p>
            <w:r/>
            <w:r>
              <w:rPr>
                <w:sz w:val="19"/>
              </w:rPr>
              <w:t>Élaboration et transmission du PPSPS dans les délais impartis, après inspection commune ; mise à jour immédiate en cas de modification des conditions d'intervention ou de sous-traitance.</w:t>
            </w:r>
          </w:p>
        </w:tc>
      </w:tr>
      <w:tr>
        <w:tc>
          <w:tcPr>
            <w:tcW w:type="dxa" w:w="4365"/>
          </w:tcPr>
          <w:p>
            <w:r/>
            <w:r>
              <w:rPr>
                <w:sz w:val="19"/>
              </w:rPr>
              <w:t>Obligations générales de sécurité chantier : port permanent d'un badge d'identification (personne + employeur), tenue d'un registre exhaustif du personnel présent, respect des consignes du coordonnateur SPS.</w:t>
            </w:r>
          </w:p>
        </w:tc>
        <w:tc>
          <w:tcPr>
            <w:tcW w:type="dxa" w:w="4422"/>
          </w:tcPr>
          <w:p>
            <w:r/>
            <w:r>
              <w:rPr>
                <w:sz w:val="19"/>
              </w:rPr>
              <w:t>Fourniture et contrôle du port du badge pour toute personne intervenant (y compris sous-traitants) ; tenue à jour du registre du personnel, transmis sur demande sans délai.</w:t>
            </w:r>
          </w:p>
        </w:tc>
      </w:tr>
      <w:tr>
        <w:tc>
          <w:tcPr>
            <w:tcW w:type="dxa" w:w="4365"/>
          </w:tcPr>
          <w:p>
            <w:r/>
            <w:r>
              <w:rPr>
                <w:sz w:val="19"/>
              </w:rPr>
              <w:t>Établissement classé ERP type U (soins) / L, 3ᵉ catégorie, avec locaux à sommeil — SSI de catégorie A ; le Lot 3 n'est pas prescripteur SSI mais doit maintenir le niveau de sécurité incendie pendant toute la durée des travaux.</w:t>
            </w:r>
          </w:p>
        </w:tc>
        <w:tc>
          <w:tcPr>
            <w:tcW w:type="dxa" w:w="4422"/>
          </w:tcPr>
          <w:p>
            <w:r/>
            <w:r>
              <w:rPr>
                <w:sz w:val="19"/>
              </w:rPr>
              <w:t>Coordination avec le lot SSI dédié (CS Ingénierie) pour toute intervention à proximité de cloisons coupe-feu ou de plénums de faux plafonds ; respect du classement au feu M0/A2-s1,d0 imposé en circulations et locaux à sommeil ; aucune intervention sur DAS sans validation du coordonnateur SSI.</w:t>
            </w:r>
          </w:p>
        </w:tc>
      </w:tr>
      <w:tr>
        <w:tc>
          <w:tcPr>
            <w:tcW w:type="dxa" w:w="4365"/>
          </w:tcPr>
          <w:p>
            <w:r/>
            <w:r>
              <w:rPr>
                <w:sz w:val="19"/>
              </w:rPr>
              <w:t>Intervention en établissement de soins en activité : circulation de patients/personnel, contraintes d'accès et de nuisances (bruit, poussières, odeurs).</w:t>
            </w:r>
          </w:p>
        </w:tc>
        <w:tc>
          <w:tcPr>
            <w:tcW w:type="dxa" w:w="4422"/>
          </w:tcPr>
          <w:p>
            <w:r/>
            <w:r>
              <w:rPr>
                <w:sz w:val="19"/>
              </w:rPr>
              <w:t>Cloisonnement de chantier étanche et signalétique dédiée ; plages d'intervention bruyantes convenues à l'avance avec l'exploitant ; procédure d'accès chantier formalisée avec la loge/sécurité de l'hôpital.</w:t>
            </w:r>
          </w:p>
        </w:tc>
      </w:tr>
    </w:tbl>
    <w:p/>
    <w:p>
      <w:pPr>
        <w:spacing w:before="200" w:after="80"/>
      </w:pPr>
      <w:r>
        <w:rPr>
          <w:b/>
          <w:color w:val="1F3A5F"/>
          <w:sz w:val="23"/>
        </w:rPr>
        <w:t>6.4 Risques identifiés et mesures associées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365"/>
            <w:shd w:val="clear" w:color="auto" w:fill="2E74B5"/>
          </w:tcPr>
          <w:p>
            <w:r/>
            <w:r>
              <w:rPr>
                <w:b/>
                <w:color w:val="FFFFFF"/>
                <w:sz w:val="19"/>
              </w:rPr>
              <w:t>Contrainte identifiée dans le DCE</w:t>
            </w:r>
          </w:p>
        </w:tc>
        <w:tc>
          <w:tcPr>
            <w:tcW w:type="dxa" w:w="4422"/>
            <w:shd w:val="clear" w:color="auto" w:fill="2E74B5"/>
          </w:tcPr>
          <w:p>
            <w:r/>
            <w:r>
              <w:rPr>
                <w:b/>
                <w:color w:val="FFFFFF"/>
                <w:sz w:val="19"/>
              </w:rPr>
              <w:t>Organisation prévue par France Décoration</w:t>
            </w:r>
          </w:p>
        </w:tc>
      </w:tr>
      <w:tr>
        <w:tc>
          <w:tcPr>
            <w:tcW w:type="dxa" w:w="4365"/>
          </w:tcPr>
          <w:p>
            <w:r/>
            <w:r>
              <w:rPr>
                <w:sz w:val="19"/>
              </w:rPr>
              <w:t>Risque structurel : déficit de portance du plancher/poutre en zone scanner mis en évidence par le diagnostic GEOTEC (renfort HEB220 à réaliser par le Lot 1 avant intervention du Lot 3).</w:t>
            </w:r>
          </w:p>
        </w:tc>
        <w:tc>
          <w:tcPr>
            <w:tcW w:type="dxa" w:w="4422"/>
          </w:tcPr>
          <w:p>
            <w:r/>
            <w:r>
              <w:rPr>
                <w:sz w:val="19"/>
              </w:rPr>
              <w:t>Point d'arrêt contractuel : aucune pose de sol ou de faux plafond dans la zone concernée avant réception écrite (PV contradictoire) du renfort structurel ; clause de report d'activité sans pénalité en cas de non-disponibilité du support à la date prévue.</w:t>
            </w:r>
          </w:p>
        </w:tc>
      </w:tr>
      <w:tr>
        <w:tc>
          <w:tcPr>
            <w:tcW w:type="dxa" w:w="4365"/>
          </w:tcPr>
          <w:p>
            <w:r/>
            <w:r>
              <w:rPr>
                <w:sz w:val="19"/>
              </w:rPr>
              <w:t>Risque de coactivité avec les lots 1/2/4/5/6 intervenant en parallèle ou juste avant (salissures, dégradation d'ouvrages finis).</w:t>
            </w:r>
          </w:p>
        </w:tc>
        <w:tc>
          <w:tcPr>
            <w:tcW w:type="dxa" w:w="4422"/>
          </w:tcPr>
          <w:p>
            <w:r/>
            <w:r>
              <w:rPr>
                <w:sz w:val="19"/>
              </w:rPr>
              <w:t>Phasage des interventions du lot (peinture puis sols en toute fin de séquence par local) ; protection systématique des ouvrages finis (bâches, films, plaques de protection de sol) ; constat contradictoire d'état des lieux à chaque prise et remise de zone.</w:t>
            </w:r>
          </w:p>
        </w:tc>
      </w:tr>
      <w:tr>
        <w:tc>
          <w:tcPr>
            <w:tcW w:type="dxa" w:w="4365"/>
          </w:tcPr>
          <w:p>
            <w:r/>
            <w:r>
              <w:rPr>
                <w:sz w:val="19"/>
              </w:rPr>
              <w:t>Risque sanitaire/environnemental : poussières et émissions de COV liées à la peinture et au ponçage, à proximité de zones de soins en activité.</w:t>
            </w:r>
          </w:p>
        </w:tc>
        <w:tc>
          <w:tcPr>
            <w:tcW w:type="dxa" w:w="4422"/>
          </w:tcPr>
          <w:p>
            <w:r/>
            <w:r>
              <w:rPr>
                <w:sz w:val="19"/>
              </w:rPr>
              <w:t>Emploi systématique des peintures à très faible émission de C.O.V. certifiées Ecolabel prescrites (Caparol Indeko) ; confinement de la zone de travaux (bâches, sas) ; aspiration à la source lors des opérations de ponçage.</w:t>
            </w:r>
          </w:p>
        </w:tc>
      </w:tr>
      <w:tr>
        <w:tc>
          <w:tcPr>
            <w:tcW w:type="dxa" w:w="4365"/>
          </w:tcPr>
          <w:p>
            <w:r/>
            <w:r>
              <w:rPr>
                <w:sz w:val="19"/>
              </w:rPr>
              <w:t>Risque lié aux ouvrages existants à déposer (faux plafonds ~67 m², revêtements muraux) dans un bâtiment ancien : présence possible de matériaux amiantés/plombés non purgée par le CCTP.</w:t>
            </w:r>
          </w:p>
        </w:tc>
        <w:tc>
          <w:tcPr>
            <w:tcW w:type="dxa" w:w="4422"/>
          </w:tcPr>
          <w:p>
            <w:r/>
            <w:r>
              <w:rPr>
                <w:sz w:val="19"/>
              </w:rPr>
              <w:t>Demande formelle au Maître d'Ouvrage/MOE du diagnostic amiante-avant-travaux (DAAT) et du repérage plomb applicables à la zone, avant tout commencement de dépose ; procédure de retrait adaptée par une entreprise habilitée si nécessaire, avec suspension du chantier dans l'attente.</w:t>
            </w:r>
          </w:p>
        </w:tc>
      </w:tr>
      <w:tr>
        <w:tc>
          <w:tcPr>
            <w:tcW w:type="dxa" w:w="4365"/>
          </w:tcPr>
          <w:p>
            <w:r/>
            <w:r>
              <w:rPr>
                <w:sz w:val="19"/>
              </w:rPr>
              <w:t>Risque financier : pénalités cumulables et sans mise en demeure préalable (bruit 500€/j, hygiène/sécurité 200€/j, gravois 200€/infraction, RDV manqué 200€...).</w:t>
            </w:r>
          </w:p>
        </w:tc>
        <w:tc>
          <w:tcPr>
            <w:tcW w:type="dxa" w:w="4422"/>
          </w:tcPr>
          <w:p>
            <w:r/>
            <w:r>
              <w:rPr>
                <w:sz w:val="19"/>
              </w:rPr>
              <w:t>Auto-contrôle hebdomadaire des points sensibles (propreté, sécurité, stockage gravois) formalisé par une check-list interne ; anticipation systématique des rendez-vous de coordination pour éviter les absences.</w:t>
            </w:r>
          </w:p>
        </w:tc>
      </w:tr>
    </w:tbl>
    <w:p/>
    <w:p>
      <w:pPr>
        <w:spacing w:before="200" w:after="80"/>
      </w:pPr>
      <w:r>
        <w:rPr>
          <w:b/>
          <w:color w:val="1F3A5F"/>
          <w:sz w:val="23"/>
        </w:rPr>
        <w:t>6.5 Nettoyage, propreté et gestion des déchets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365"/>
            <w:shd w:val="clear" w:color="auto" w:fill="2E74B5"/>
          </w:tcPr>
          <w:p>
            <w:r/>
            <w:r>
              <w:rPr>
                <w:b/>
                <w:color w:val="FFFFFF"/>
                <w:sz w:val="19"/>
              </w:rPr>
              <w:t>Contrainte identifiée dans le DCE</w:t>
            </w:r>
          </w:p>
        </w:tc>
        <w:tc>
          <w:tcPr>
            <w:tcW w:type="dxa" w:w="4422"/>
            <w:shd w:val="clear" w:color="auto" w:fill="2E74B5"/>
          </w:tcPr>
          <w:p>
            <w:r/>
            <w:r>
              <w:rPr>
                <w:b/>
                <w:color w:val="FFFFFF"/>
                <w:sz w:val="19"/>
              </w:rPr>
              <w:t>Organisation prévue par France Décoration</w:t>
            </w:r>
          </w:p>
        </w:tc>
      </w:tr>
      <w:tr>
        <w:tc>
          <w:tcPr>
            <w:tcW w:type="dxa" w:w="4365"/>
          </w:tcPr>
          <w:p>
            <w:r/>
            <w:r>
              <w:rPr>
                <w:sz w:val="19"/>
              </w:rPr>
              <w:t>Nettoyages multiples à la charge du lot en fin de chantier : sols, revêtements verticaux, quincaillerie, appareils sanitaires/électriques, vitres, menuiseries — non rémunérés dans le prix de la peinture mais inclus au prix global forfaitaire (CCTP III.3.03 / IV.7).</w:t>
            </w:r>
          </w:p>
        </w:tc>
        <w:tc>
          <w:tcPr>
            <w:tcW w:type="dxa" w:w="4422"/>
          </w:tcPr>
          <w:p>
            <w:r/>
            <w:r>
              <w:rPr>
                <w:sz w:val="19"/>
              </w:rPr>
              <w:t>Équipe dédiée au nettoyage de fin de chantier ; planning de nettoyage journalier des zones d'intervention (balayage, évacuation des déchets/sciure) en plus du nettoyage général avant réception, pour ne jamais gêner la poursuite des autres lots.</w:t>
            </w:r>
          </w:p>
        </w:tc>
      </w:tr>
      <w:tr>
        <w:tc>
          <w:tcPr>
            <w:tcW w:type="dxa" w:w="4365"/>
          </w:tcPr>
          <w:p>
            <w:r/>
            <w:r>
              <w:rPr>
                <w:sz w:val="19"/>
              </w:rPr>
              <w:t>Interdiction de ponçage sur revêtements émaillés/stratifiés/lamifiés et appareils sanitaires ; produits de nettoyage à adapter pour ne pas altérer les surfaces.</w:t>
            </w:r>
          </w:p>
        </w:tc>
        <w:tc>
          <w:tcPr>
            <w:tcW w:type="dxa" w:w="4422"/>
          </w:tcPr>
          <w:p>
            <w:r/>
            <w:r>
              <w:rPr>
                <w:sz w:val="19"/>
              </w:rPr>
              <w:t>Sélection des produits et procédés de nettoyage selon prescriptions fabricants, avec fiche produit disponible sur site ; formation des équipes aux surfaces sensibles avant intervention.</w:t>
            </w:r>
          </w:p>
        </w:tc>
      </w:tr>
      <w:tr>
        <w:tc>
          <w:tcPr>
            <w:tcW w:type="dxa" w:w="4365"/>
          </w:tcPr>
          <w:p>
            <w:r/>
            <w:r>
              <w:rPr>
                <w:sz w:val="19"/>
              </w:rPr>
              <w:t>Gestion et traçabilité des déchets de chantier : le titulaire est « détenteur » de ses déchets pendant la durée du chantier et responsable de leur collecte/transport/évacuation conformes.</w:t>
            </w:r>
          </w:p>
        </w:tc>
        <w:tc>
          <w:tcPr>
            <w:tcW w:type="dxa" w:w="4422"/>
          </w:tcPr>
          <w:p>
            <w:r/>
            <w:r>
              <w:rPr>
                <w:sz w:val="19"/>
              </w:rPr>
              <w:t>Tri sélectif sur site par filière (DIB, DEEE, déchets dangereux le cas échéant) ; bordereaux de suivi de déchets (BSD) conservés et transmis ; recours à des filières agréées — éléments repris dans le volet environnemental du mémoire technique (indicateurs de suivi, économie circulaire).</w:t>
            </w:r>
          </w:p>
        </w:tc>
      </w:tr>
      <w:tr>
        <w:tc>
          <w:tcPr>
            <w:tcW w:type="dxa" w:w="4365"/>
          </w:tcPr>
          <w:p>
            <w:r/>
            <w:r>
              <w:rPr>
                <w:sz w:val="19"/>
              </w:rPr>
              <w:t>Dépôt des gravois autorisé uniquement dans les zones prescrites (pénalité de 200 €/infraction) ; retard d'évacuation pénalisé (200 €/j).</w:t>
            </w:r>
          </w:p>
        </w:tc>
        <w:tc>
          <w:tcPr>
            <w:tcW w:type="dxa" w:w="4422"/>
          </w:tcPr>
          <w:p>
            <w:r/>
            <w:r>
              <w:rPr>
                <w:sz w:val="19"/>
              </w:rPr>
              <w:t>Zone de stockage déchets/gravois définie avec le Maître d'Œuvre dès la période de préparation ; rotation d'évacuation planifiée pour éviter toute accumulation.</w:t>
            </w:r>
          </w:p>
        </w:tc>
      </w:tr>
    </w:tbl>
    <w:p/>
    <w:p>
      <w:pPr>
        <w:spacing w:before="200" w:after="80"/>
      </w:pPr>
      <w:r>
        <w:rPr>
          <w:b/>
          <w:color w:val="1F3A5F"/>
          <w:sz w:val="23"/>
        </w:rPr>
        <w:t>6.6 Garanties et suivi qualité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365"/>
            <w:shd w:val="clear" w:color="auto" w:fill="2E74B5"/>
          </w:tcPr>
          <w:p>
            <w:r/>
            <w:r>
              <w:rPr>
                <w:b/>
                <w:color w:val="FFFFFF"/>
                <w:sz w:val="19"/>
              </w:rPr>
              <w:t>Contrainte identifiée dans le DCE</w:t>
            </w:r>
          </w:p>
        </w:tc>
        <w:tc>
          <w:tcPr>
            <w:tcW w:type="dxa" w:w="4422"/>
            <w:shd w:val="clear" w:color="auto" w:fill="2E74B5"/>
          </w:tcPr>
          <w:p>
            <w:r/>
            <w:r>
              <w:rPr>
                <w:b/>
                <w:color w:val="FFFFFF"/>
                <w:sz w:val="19"/>
              </w:rPr>
              <w:t>Organisation prévue par France Décoration</w:t>
            </w:r>
          </w:p>
        </w:tc>
      </w:tr>
      <w:tr>
        <w:tc>
          <w:tcPr>
            <w:tcW w:type="dxa" w:w="4365"/>
          </w:tcPr>
          <w:p>
            <w:r/>
            <w:r>
              <w:rPr>
                <w:sz w:val="19"/>
              </w:rPr>
              <w:t>Garantie particulière de 10 ans sur les systèmes de peinture appliqués sur maçonnerie, enduits et serrurerie.</w:t>
            </w:r>
          </w:p>
        </w:tc>
        <w:tc>
          <w:tcPr>
            <w:tcW w:type="dxa" w:w="4422"/>
          </w:tcPr>
          <w:p>
            <w:r/>
            <w:r>
              <w:rPr>
                <w:sz w:val="19"/>
              </w:rPr>
              <w:t>Mise en œuvre strictement conforme aux préconisations du fabricant (préparation des supports, nombre de couches) ; contrôle qualité formalisé par local ; engagement écrit du fournisseur de peinture sur la tenue du système.</w:t>
            </w:r>
          </w:p>
        </w:tc>
      </w:tr>
      <w:tr>
        <w:tc>
          <w:tcPr>
            <w:tcW w:type="dxa" w:w="4365"/>
          </w:tcPr>
          <w:p>
            <w:r/>
            <w:r>
              <w:rPr>
                <w:sz w:val="19"/>
              </w:rPr>
              <w:t>Garantie décennale d'indécollabilité des revêtements de sols souples.</w:t>
            </w:r>
          </w:p>
        </w:tc>
        <w:tc>
          <w:tcPr>
            <w:tcW w:type="dxa" w:w="4422"/>
          </w:tcPr>
          <w:p>
            <w:r/>
            <w:r>
              <w:rPr>
                <w:sz w:val="19"/>
              </w:rPr>
              <w:t>Contrôle systématique du taux d'humidité des supports avant pose, ragréage conforme (Nivdur S ou équivalent, ≥3mm), respect des préconisations de pose du fabricant, procès-verbal de contrôle conservé au dossier.</w:t>
            </w:r>
          </w:p>
        </w:tc>
      </w:tr>
      <w:tr>
        <w:tc>
          <w:tcPr>
            <w:tcW w:type="dxa" w:w="4365"/>
          </w:tcPr>
          <w:p>
            <w:r/>
            <w:r>
              <w:rPr>
                <w:sz w:val="19"/>
              </w:rPr>
              <w:t>Obligation d'entretien à la charge de l'entreprise pendant le délai de garantie d'un an (parfait achèvement).</w:t>
            </w:r>
          </w:p>
        </w:tc>
        <w:tc>
          <w:tcPr>
            <w:tcW w:type="dxa" w:w="4422"/>
          </w:tcPr>
          <w:p>
            <w:r/>
            <w:r>
              <w:rPr>
                <w:sz w:val="19"/>
              </w:rPr>
              <w:t>Levée des réserves organisée sous délai court après réception ; astreinte/point de contact dédié pendant la période de garantie.</w:t>
            </w:r>
          </w:p>
        </w:tc>
      </w:tr>
    </w:tbl>
    <w:p/>
    <w:p>
      <w:r>
        <w:br w:type="page"/>
      </w:r>
    </w:p>
    <w:p>
      <w:pPr>
        <w:spacing w:before="360" w:after="120"/>
        <w:pBdr>
          <w:bottom w:val="single" w:sz="8" w:space="4" w:color="2E74B5"/>
        </w:pBdr>
      </w:pPr>
      <w:r>
        <w:rPr>
          <w:b/>
          <w:color w:val="2E74B5"/>
          <w:sz w:val="28"/>
        </w:rPr>
        <w:t>7. Points de vigilance transverses pour la remise d'offre</w:t>
      </w:r>
    </w:p>
    <w:p>
      <w:pPr>
        <w:pStyle w:val="ListBullet"/>
      </w:pPr>
      <w:r>
        <w:t>Le mémoire technique pèse 60% de la note : la matrice « contraintes / organisation » ci-dessus (section 6) doit en constituer l'ossature, en particulier le volet « démarche environnementale » qui pèse 15% à lui seul.</w:t>
      </w:r>
    </w:p>
    <w:p>
      <w:pPr>
        <w:pStyle w:val="ListBullet"/>
      </w:pPr>
      <w:r>
        <w:t>Vérifier en amont la détention des qualifications QUALIBAT 6111 - 6222 - 6611 (ou constituer un dossier d'équivalence solide) : condition de recevabilité de la candidature.</w:t>
      </w:r>
    </w:p>
    <w:p>
      <w:pPr>
        <w:pStyle w:val="ListBullet"/>
      </w:pPr>
      <w:r>
        <w:t>Chiffrer une marge de sécurité sur le planning (45 jours) et sur le risque structurel (report possible faute de renfort réceptionné) plutôt que de l'absorber silencieusement dans le prix.</w:t>
      </w:r>
    </w:p>
    <w:p>
      <w:pPr>
        <w:pStyle w:val="ListBullet"/>
      </w:pPr>
      <w:r>
        <w:t>Intégrer dans le prix les garanties particulières à 10 ans (peinture) et les provisions du CCTP (jouées 20 ml, grilles 5 u., dépose/repose 67 m², reprise peinture circulation N°5 70 m²).</w:t>
      </w:r>
    </w:p>
    <w:p>
      <w:pPr>
        <w:pStyle w:val="ListBullet"/>
      </w:pPr>
      <w:r>
        <w:t>Ne pas oublier la fiche de contact fournisseur (unique canal d'échange après remise d'offre, y compris pour une éventuelle négociation) et le respect strict de la règle de nommage des fichiers du pli.</w:t>
      </w:r>
    </w:p>
    <w:p>
      <w:pPr>
        <w:pStyle w:val="ListBullet"/>
      </w:pPr>
      <w:r>
        <w:t>Le dossier de réponse (acte d'engagement Lot 3) est déjà initié au nom de France Décoration : vérifier sa cohérence avec la DPGF, le mémoire technique et les pièces de candidature avant dépôt.</w:t>
      </w:r>
    </w:p>
    <w:p/>
    <w:p>
      <w:r>
        <w:rPr>
          <w:i/>
          <w:color w:val="595959"/>
          <w:sz w:val="17"/>
        </w:rPr>
        <w:t>Document généré à partir des pièces du DCE fournies : RC, CCAP, CCTP Lot 3, plan de zoning, calendrier des travaux, diagnostic structurel GEOTEC et projet d'acte d'engagement Lot 3.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