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36"/>
        </w:rPr>
        <w:t>Mémoire Technique — Lot 03</w:t>
      </w:r>
    </w:p>
    <w:p>
      <w:r>
        <w:rPr>
          <w:i/>
          <w:color w:val="595959"/>
          <w:sz w:val="24"/>
        </w:rPr>
        <w:t>Faux Plafonds — Peinture — Sols Souples</w:t>
      </w:r>
    </w:p>
    <w:p>
      <w:r>
        <w:rPr>
          <w:b/>
          <w:i w:val="0"/>
          <w:color w:val="2E74B5"/>
          <w:sz w:val="24"/>
        </w:rPr>
        <w:t>26 RMB 41 TVX — Travaux pour la création d'un nouveau scanner à l'hôpital René Muret (AP-HP HUPSSD)</w:t>
      </w:r>
    </w:p>
    <w:p>
      <w:r>
        <w:rPr>
          <w:b w:val="0"/>
          <w:i/>
          <w:color w:val="595959"/>
          <w:sz w:val="21"/>
        </w:rPr>
        <w:t>Chapitre 3 — Planning et optimisation du planning d'exécution (Critère 1 — 10%)</w:t>
      </w:r>
    </w:p>
    <w:p>
      <w:r>
        <w:rPr>
          <w:b w:val="0"/>
          <w:i/>
          <w:color w:val="595959"/>
          <w:sz w:val="19"/>
        </w:rPr>
        <w:t>Établi par France Décoration — Livry-Gargan</w:t>
      </w:r>
    </w:p>
    <w:p/>
    <w:p>
      <w:pPr>
        <w:spacing w:before="360" w:after="120"/>
        <w:pBdr>
          <w:bottom w:val="single" w:sz="8" w:space="4" w:color="2E74B5"/>
        </w:pBdr>
      </w:pPr>
      <w:r>
        <w:rPr>
          <w:b/>
          <w:color w:val="2E74B5"/>
          <w:sz w:val="28"/>
        </w:rPr>
        <w:t>3. PLANNING D'EXÉCUTION ET OPTIMISATION — 10 %</w:t>
      </w:r>
    </w:p>
    <w:p>
      <w:pPr>
        <w:spacing w:before="240" w:after="80"/>
      </w:pPr>
      <w:r>
        <w:rPr>
          <w:b/>
          <w:color w:val="1F3A5F"/>
          <w:sz w:val="24"/>
        </w:rPr>
        <w:t>3.1. Principe général : un planning construit sur la base du planning de la MOA</w:t>
      </w:r>
    </w:p>
    <w:p>
      <w:r>
        <w:rPr>
          <w:b w:val="0"/>
          <w:i w:val="0"/>
          <w:sz w:val="21"/>
        </w:rPr>
        <w:t>Le planning prévisionnel de France Décoration pour le Lot 3 reprend directement la numérotation des mois du calendrier général des travaux établi par la Maîtrise d'Œuvre (calendrier « RENE MURET SCANNER » V2) : Mois 1 correspond à la période de préparation commune à l'ensemble des lots, les Mois 2 et 3 correspondent aux travaux des lots amont (Démolitions - Maçonnerie - Cloisonnement - Plâtrerie, puis Menuiseries, Électricité et Plomberie-Chauffage-Climatisation en fil rouge), pendant lesquels notre lot n'est pas mobilisé sur site, et les Mois 4 et 5 correspondent à la fenêtre d'intervention du Lot 3 (Faux Plafonds - Peinture - Sols Souples), confirmée par le calendrier de la MOA.</w:t>
      </w:r>
    </w:p>
    <w:p>
      <w:r>
        <w:rPr>
          <w:b w:val="0"/>
          <w:i w:val="0"/>
          <w:sz w:val="21"/>
        </w:rPr>
        <w:t>Cette continuité de numérotation avec le planning de la MOA permet un calage immédiat de notre programme d'exécution avec celui des autres corps d'état et facilite le suivi de nos engagements de délai lors des réunions de chantier hebdomadaires (cf. § 2.7 du chapitre 2).</w:t>
      </w:r>
    </w:p>
    <w:p>
      <w:pPr>
        <w:spacing w:before="240" w:after="80"/>
      </w:pPr>
      <w:r>
        <w:rPr>
          <w:b/>
          <w:color w:val="1F3A5F"/>
          <w:sz w:val="24"/>
        </w:rPr>
        <w:t>3.2. Planning prévisionnel détaillé (semaine par semaine)</w:t>
      </w:r>
    </w:p>
    <w:p>
      <w:r>
        <w:rPr>
          <w:b w:val="0"/>
          <w:i w:val="0"/>
          <w:sz w:val="21"/>
        </w:rPr>
        <w:t>Le tableau ci-dessous reconstitue notre planning prévisionnel, tel qu'établi sur la base du modèle de la Maîtrise d'Œuvre : chaque semaine active correspond à une intervention complète d'un corps de métier (préparation des supports comprise), les semaines non colorées constituant une marge de sécurité affectée à la coordination avec les autres lots et à l'absorption des aléas de chantier.</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984"/>
            <w:shd w:val="clear" w:color="auto" w:fill="2E74B5"/>
          </w:tcPr>
          <w:p>
            <w:r/>
            <w:r>
              <w:rPr>
                <w:b/>
                <w:color w:val="FFFFFF"/>
                <w:sz w:val="18"/>
              </w:rPr>
              <w:t>Semaine (numérotation MOA)</w:t>
            </w:r>
          </w:p>
        </w:tc>
        <w:tc>
          <w:tcPr>
            <w:tcW w:type="dxa" w:w="1984"/>
            <w:shd w:val="clear" w:color="auto" w:fill="2E74B5"/>
          </w:tcPr>
          <w:p>
            <w:r/>
            <w:r>
              <w:rPr>
                <w:b/>
                <w:color w:val="FFFFFF"/>
                <w:sz w:val="18"/>
              </w:rPr>
              <w:t>Phase</w:t>
            </w:r>
          </w:p>
        </w:tc>
        <w:tc>
          <w:tcPr>
            <w:tcW w:type="dxa" w:w="3685"/>
            <w:shd w:val="clear" w:color="auto" w:fill="2E74B5"/>
          </w:tcPr>
          <w:p>
            <w:r/>
            <w:r>
              <w:rPr>
                <w:b/>
                <w:color w:val="FFFFFF"/>
                <w:sz w:val="18"/>
              </w:rPr>
              <w:t>Contenu</w:t>
            </w:r>
          </w:p>
        </w:tc>
        <w:tc>
          <w:tcPr>
            <w:tcW w:type="dxa" w:w="1701"/>
            <w:shd w:val="clear" w:color="auto" w:fill="2E74B5"/>
          </w:tcPr>
          <w:p>
            <w:r/>
            <w:r>
              <w:rPr>
                <w:b/>
                <w:color w:val="FFFFFF"/>
                <w:sz w:val="18"/>
              </w:rPr>
              <w:t>Durée / effectif</w:t>
            </w:r>
          </w:p>
        </w:tc>
      </w:tr>
      <w:tr>
        <w:tc>
          <w:tcPr>
            <w:tcW w:type="dxa" w:w="1984"/>
            <w:shd w:val="clear" w:color="auto" w:fill="E8E8E8"/>
          </w:tcPr>
          <w:p>
            <w:r/>
            <w:r>
              <w:rPr>
                <w:sz w:val="18"/>
              </w:rPr>
              <w:t>Mois 1 - S4</w:t>
            </w:r>
          </w:p>
        </w:tc>
        <w:tc>
          <w:tcPr>
            <w:tcW w:type="dxa" w:w="1984"/>
            <w:shd w:val="clear" w:color="auto" w:fill="E8E8E8"/>
          </w:tcPr>
          <w:p>
            <w:r/>
            <w:r>
              <w:rPr>
                <w:sz w:val="18"/>
              </w:rPr>
              <w:t>Préparation</w:t>
            </w:r>
          </w:p>
        </w:tc>
        <w:tc>
          <w:tcPr>
            <w:tcW w:type="dxa" w:w="3685"/>
            <w:shd w:val="clear" w:color="auto" w:fill="E8E8E8"/>
          </w:tcPr>
          <w:p>
            <w:r/>
            <w:r>
              <w:rPr>
                <w:sz w:val="18"/>
              </w:rPr>
              <w:t>Préparation (PLANS EXE)</w:t>
            </w:r>
          </w:p>
        </w:tc>
        <w:tc>
          <w:tcPr>
            <w:tcW w:type="dxa" w:w="1701"/>
            <w:shd w:val="clear" w:color="auto" w:fill="E8E8E8"/>
          </w:tcPr>
          <w:p>
            <w:r/>
            <w:r>
              <w:rPr>
                <w:sz w:val="18"/>
              </w:rPr>
              <w:t>1 sem. / 2 pers.</w:t>
            </w:r>
          </w:p>
        </w:tc>
      </w:tr>
      <w:tr>
        <w:tc>
          <w:tcPr>
            <w:tcW w:type="dxa" w:w="1984"/>
            <w:shd w:val="clear" w:color="auto" w:fill="D9E8F5"/>
          </w:tcPr>
          <w:p>
            <w:r/>
            <w:r>
              <w:rPr>
                <w:sz w:val="18"/>
              </w:rPr>
              <w:t>Mois 4 - S1</w:t>
            </w:r>
          </w:p>
        </w:tc>
        <w:tc>
          <w:tcPr>
            <w:tcW w:type="dxa" w:w="1984"/>
            <w:shd w:val="clear" w:color="auto" w:fill="D9E8F5"/>
          </w:tcPr>
          <w:p>
            <w:r/>
            <w:r>
              <w:rPr>
                <w:sz w:val="18"/>
              </w:rPr>
              <w:t>Faux plafonds</w:t>
            </w:r>
          </w:p>
        </w:tc>
        <w:tc>
          <w:tcPr>
            <w:tcW w:type="dxa" w:w="3685"/>
            <w:shd w:val="clear" w:color="auto" w:fill="D9E8F5"/>
          </w:tcPr>
          <w:p>
            <w:r/>
            <w:r>
              <w:rPr>
                <w:sz w:val="18"/>
              </w:rPr>
              <w:t>Faux plafonds</w:t>
            </w:r>
          </w:p>
        </w:tc>
        <w:tc>
          <w:tcPr>
            <w:tcW w:type="dxa" w:w="1701"/>
            <w:shd w:val="clear" w:color="auto" w:fill="D9E8F5"/>
          </w:tcPr>
          <w:p>
            <w:r/>
            <w:r>
              <w:rPr>
                <w:sz w:val="18"/>
              </w:rPr>
              <w:t>1 sem. / 3 pers.</w:t>
            </w:r>
          </w:p>
        </w:tc>
      </w:tr>
      <w:tr>
        <w:tc>
          <w:tcPr>
            <w:tcW w:type="dxa" w:w="1984"/>
            <w:shd w:val="clear" w:color="auto" w:fill="F3D9E8"/>
          </w:tcPr>
          <w:p>
            <w:r/>
            <w:r>
              <w:rPr>
                <w:sz w:val="18"/>
              </w:rPr>
              <w:t>Mois 4 - S2</w:t>
            </w:r>
          </w:p>
        </w:tc>
        <w:tc>
          <w:tcPr>
            <w:tcW w:type="dxa" w:w="1984"/>
            <w:shd w:val="clear" w:color="auto" w:fill="F3D9E8"/>
          </w:tcPr>
          <w:p>
            <w:r/>
            <w:r>
              <w:rPr>
                <w:sz w:val="18"/>
              </w:rPr>
              <w:t>Peinture</w:t>
            </w:r>
          </w:p>
        </w:tc>
        <w:tc>
          <w:tcPr>
            <w:tcW w:type="dxa" w:w="3685"/>
            <w:shd w:val="clear" w:color="auto" w:fill="F3D9E8"/>
          </w:tcPr>
          <w:p>
            <w:r/>
            <w:r>
              <w:rPr>
                <w:sz w:val="18"/>
              </w:rPr>
              <w:t>Peinture</w:t>
            </w:r>
          </w:p>
        </w:tc>
        <w:tc>
          <w:tcPr>
            <w:tcW w:type="dxa" w:w="1701"/>
            <w:shd w:val="clear" w:color="auto" w:fill="F3D9E8"/>
          </w:tcPr>
          <w:p>
            <w:r/>
            <w:r>
              <w:rPr>
                <w:sz w:val="18"/>
              </w:rPr>
              <w:t>1 sem. / 3 pers.</w:t>
            </w:r>
          </w:p>
        </w:tc>
      </w:tr>
      <w:tr>
        <w:tc>
          <w:tcPr>
            <w:tcW w:type="dxa" w:w="1984"/>
            <w:shd w:val="clear" w:color="auto" w:fill="DDEFD9"/>
          </w:tcPr>
          <w:p>
            <w:r/>
            <w:r>
              <w:rPr>
                <w:sz w:val="18"/>
              </w:rPr>
              <w:t>Mois 4 - S3</w:t>
            </w:r>
          </w:p>
        </w:tc>
        <w:tc>
          <w:tcPr>
            <w:tcW w:type="dxa" w:w="1984"/>
            <w:shd w:val="clear" w:color="auto" w:fill="DDEFD9"/>
          </w:tcPr>
          <w:p>
            <w:r/>
            <w:r>
              <w:rPr>
                <w:sz w:val="18"/>
              </w:rPr>
              <w:t>Sols / murs</w:t>
            </w:r>
          </w:p>
        </w:tc>
        <w:tc>
          <w:tcPr>
            <w:tcW w:type="dxa" w:w="3685"/>
            <w:shd w:val="clear" w:color="auto" w:fill="DDEFD9"/>
          </w:tcPr>
          <w:p>
            <w:r/>
            <w:r>
              <w:rPr>
                <w:sz w:val="18"/>
              </w:rPr>
              <w:t>Sols souples / revêtements muraux</w:t>
            </w:r>
          </w:p>
        </w:tc>
        <w:tc>
          <w:tcPr>
            <w:tcW w:type="dxa" w:w="1701"/>
            <w:shd w:val="clear" w:color="auto" w:fill="DDEFD9"/>
          </w:tcPr>
          <w:p>
            <w:r/>
            <w:r>
              <w:rPr>
                <w:sz w:val="18"/>
              </w:rPr>
              <w:t>1 sem. / 2 pers.</w:t>
            </w:r>
          </w:p>
        </w:tc>
      </w:tr>
      <w:tr>
        <w:tc>
          <w:tcPr>
            <w:tcW w:type="dxa" w:w="1984"/>
            <w:shd w:val="clear" w:color="auto" w:fill="FFFFFF"/>
          </w:tcPr>
          <w:p>
            <w:r/>
            <w:r>
              <w:rPr>
                <w:sz w:val="18"/>
              </w:rPr>
              <w:t>Mois 4 - S4</w:t>
            </w:r>
          </w:p>
        </w:tc>
        <w:tc>
          <w:tcPr>
            <w:tcW w:type="dxa" w:w="1984"/>
            <w:shd w:val="clear" w:color="auto" w:fill="FFFFFF"/>
          </w:tcPr>
          <w:p>
            <w:r/>
            <w:r>
              <w:rPr>
                <w:sz w:val="18"/>
              </w:rPr>
              <w:t>—</w:t>
            </w:r>
          </w:p>
        </w:tc>
        <w:tc>
          <w:tcPr>
            <w:tcW w:type="dxa" w:w="3685"/>
            <w:shd w:val="clear" w:color="auto" w:fill="FFFFFF"/>
          </w:tcPr>
          <w:p>
            <w:r/>
            <w:r>
              <w:rPr>
                <w:sz w:val="18"/>
              </w:rPr>
              <w:t>Marge / coordination inter-lots</w:t>
            </w:r>
          </w:p>
        </w:tc>
        <w:tc>
          <w:tcPr>
            <w:tcW w:type="dxa" w:w="1701"/>
            <w:shd w:val="clear" w:color="auto" w:fill="FFFFFF"/>
          </w:tcPr>
          <w:p>
            <w:r/>
            <w:r>
              <w:rPr>
                <w:sz w:val="18"/>
              </w:rPr>
              <w:t>—</w:t>
            </w:r>
          </w:p>
        </w:tc>
      </w:tr>
      <w:tr>
        <w:tc>
          <w:tcPr>
            <w:tcW w:type="dxa" w:w="1984"/>
            <w:shd w:val="clear" w:color="auto" w:fill="FFFFFF"/>
          </w:tcPr>
          <w:p>
            <w:r/>
            <w:r>
              <w:rPr>
                <w:sz w:val="18"/>
              </w:rPr>
              <w:t>Mois 5 - S1</w:t>
            </w:r>
          </w:p>
        </w:tc>
        <w:tc>
          <w:tcPr>
            <w:tcW w:type="dxa" w:w="1984"/>
            <w:shd w:val="clear" w:color="auto" w:fill="FFFFFF"/>
          </w:tcPr>
          <w:p>
            <w:r/>
            <w:r>
              <w:rPr>
                <w:sz w:val="18"/>
              </w:rPr>
              <w:t>—</w:t>
            </w:r>
          </w:p>
        </w:tc>
        <w:tc>
          <w:tcPr>
            <w:tcW w:type="dxa" w:w="3685"/>
            <w:shd w:val="clear" w:color="auto" w:fill="FFFFFF"/>
          </w:tcPr>
          <w:p>
            <w:r/>
            <w:r>
              <w:rPr>
                <w:sz w:val="18"/>
              </w:rPr>
              <w:t>Marge / coordination inter-lots</w:t>
            </w:r>
          </w:p>
        </w:tc>
        <w:tc>
          <w:tcPr>
            <w:tcW w:type="dxa" w:w="1701"/>
            <w:shd w:val="clear" w:color="auto" w:fill="FFFFFF"/>
          </w:tcPr>
          <w:p>
            <w:r/>
            <w:r>
              <w:rPr>
                <w:sz w:val="18"/>
              </w:rPr>
              <w:t>—</w:t>
            </w:r>
          </w:p>
        </w:tc>
      </w:tr>
      <w:tr>
        <w:tc>
          <w:tcPr>
            <w:tcW w:type="dxa" w:w="1984"/>
            <w:shd w:val="clear" w:color="auto" w:fill="FFFFFF"/>
          </w:tcPr>
          <w:p>
            <w:r/>
            <w:r>
              <w:rPr>
                <w:sz w:val="18"/>
              </w:rPr>
              <w:t>Mois 5 - S2</w:t>
            </w:r>
          </w:p>
        </w:tc>
        <w:tc>
          <w:tcPr>
            <w:tcW w:type="dxa" w:w="1984"/>
            <w:shd w:val="clear" w:color="auto" w:fill="FFFFFF"/>
          </w:tcPr>
          <w:p>
            <w:r/>
            <w:r>
              <w:rPr>
                <w:sz w:val="18"/>
              </w:rPr>
              <w:t>—</w:t>
            </w:r>
          </w:p>
        </w:tc>
        <w:tc>
          <w:tcPr>
            <w:tcW w:type="dxa" w:w="3685"/>
            <w:shd w:val="clear" w:color="auto" w:fill="FFFFFF"/>
          </w:tcPr>
          <w:p>
            <w:r/>
            <w:r>
              <w:rPr>
                <w:sz w:val="18"/>
              </w:rPr>
              <w:t>Marge / coordination inter-lots</w:t>
            </w:r>
          </w:p>
        </w:tc>
        <w:tc>
          <w:tcPr>
            <w:tcW w:type="dxa" w:w="1701"/>
            <w:shd w:val="clear" w:color="auto" w:fill="FFFFFF"/>
          </w:tcPr>
          <w:p>
            <w:r/>
            <w:r>
              <w:rPr>
                <w:sz w:val="18"/>
              </w:rPr>
              <w:t>—</w:t>
            </w:r>
          </w:p>
        </w:tc>
      </w:tr>
      <w:tr>
        <w:tc>
          <w:tcPr>
            <w:tcW w:type="dxa" w:w="1984"/>
            <w:shd w:val="clear" w:color="auto" w:fill="FFFFFF"/>
          </w:tcPr>
          <w:p>
            <w:r/>
            <w:r>
              <w:rPr>
                <w:sz w:val="18"/>
              </w:rPr>
              <w:t>Mois 5 - S3</w:t>
            </w:r>
          </w:p>
        </w:tc>
        <w:tc>
          <w:tcPr>
            <w:tcW w:type="dxa" w:w="1984"/>
            <w:shd w:val="clear" w:color="auto" w:fill="FFFFFF"/>
          </w:tcPr>
          <w:p>
            <w:r/>
            <w:r>
              <w:rPr>
                <w:sz w:val="18"/>
              </w:rPr>
              <w:t>—</w:t>
            </w:r>
          </w:p>
        </w:tc>
        <w:tc>
          <w:tcPr>
            <w:tcW w:type="dxa" w:w="3685"/>
            <w:shd w:val="clear" w:color="auto" w:fill="FFFFFF"/>
          </w:tcPr>
          <w:p>
            <w:r/>
            <w:r>
              <w:rPr>
                <w:sz w:val="18"/>
              </w:rPr>
              <w:t>Marge / coordination inter-lots</w:t>
            </w:r>
          </w:p>
        </w:tc>
        <w:tc>
          <w:tcPr>
            <w:tcW w:type="dxa" w:w="1701"/>
            <w:shd w:val="clear" w:color="auto" w:fill="FFFFFF"/>
          </w:tcPr>
          <w:p>
            <w:r/>
            <w:r>
              <w:rPr>
                <w:sz w:val="18"/>
              </w:rPr>
              <w:t>—</w:t>
            </w:r>
          </w:p>
        </w:tc>
      </w:tr>
      <w:tr>
        <w:tc>
          <w:tcPr>
            <w:tcW w:type="dxa" w:w="1984"/>
            <w:shd w:val="clear" w:color="auto" w:fill="FCEFD0"/>
          </w:tcPr>
          <w:p>
            <w:r/>
            <w:r>
              <w:rPr>
                <w:sz w:val="18"/>
              </w:rPr>
              <w:t>Mois 5 - S4</w:t>
            </w:r>
          </w:p>
        </w:tc>
        <w:tc>
          <w:tcPr>
            <w:tcW w:type="dxa" w:w="1984"/>
            <w:shd w:val="clear" w:color="auto" w:fill="FCEFD0"/>
          </w:tcPr>
          <w:p>
            <w:r/>
            <w:r>
              <w:rPr>
                <w:sz w:val="18"/>
              </w:rPr>
              <w:t>Nettoyage / OPR / Réserves</w:t>
            </w:r>
          </w:p>
        </w:tc>
        <w:tc>
          <w:tcPr>
            <w:tcW w:type="dxa" w:w="3685"/>
            <w:shd w:val="clear" w:color="auto" w:fill="FCEFD0"/>
          </w:tcPr>
          <w:p>
            <w:r/>
            <w:r>
              <w:rPr>
                <w:sz w:val="18"/>
              </w:rPr>
              <w:t>Nettoyage général (2j) + OPR (1j) + Réserves (1j)</w:t>
            </w:r>
          </w:p>
        </w:tc>
        <w:tc>
          <w:tcPr>
            <w:tcW w:type="dxa" w:w="1701"/>
            <w:shd w:val="clear" w:color="auto" w:fill="FCEFD0"/>
          </w:tcPr>
          <w:p>
            <w:r/>
            <w:r>
              <w:rPr>
                <w:sz w:val="18"/>
              </w:rPr>
              <w:t>2 pers.</w:t>
            </w:r>
          </w:p>
        </w:tc>
      </w:tr>
    </w:tbl>
    <w:p/>
    <w:p>
      <w:pPr>
        <w:spacing w:before="240" w:after="80"/>
      </w:pPr>
      <w:r>
        <w:rPr>
          <w:b/>
          <w:color w:val="1F3A5F"/>
          <w:sz w:val="24"/>
        </w:rPr>
        <w:t>3.3. Détail des opérations par phase</w:t>
      </w:r>
    </w:p>
    <w:p>
      <w:r>
        <w:rPr>
          <w:b/>
          <w:i w:val="0"/>
          <w:sz w:val="20"/>
        </w:rPr>
        <w:t>Semaine Mois 1 - S4 — Préparation (études d'exécution)</w:t>
      </w:r>
    </w:p>
    <w:p>
      <w:pPr>
        <w:pStyle w:val="ListBullet"/>
      </w:pPr>
      <w:r>
        <w:t>Notification du marché</w:t>
      </w:r>
    </w:p>
    <w:p>
      <w:pPr>
        <w:pStyle w:val="ListBullet"/>
      </w:pPr>
      <w:r>
        <w:t>Analyse du dossier de consultation et des documents d'exécution</w:t>
      </w:r>
    </w:p>
    <w:p>
      <w:pPr>
        <w:pStyle w:val="ListBullet"/>
      </w:pPr>
      <w:r>
        <w:t>Visite du chantier et choix des échantillons</w:t>
      </w:r>
    </w:p>
    <w:p>
      <w:pPr>
        <w:pStyle w:val="ListBullet"/>
      </w:pPr>
      <w:r>
        <w:t>Préparation documentaire (PPSPS, PAQ, plans d'exécution — cf. § 2.3)</w:t>
      </w:r>
    </w:p>
    <w:p>
      <w:pPr>
        <w:pStyle w:val="ListBullet"/>
      </w:pPr>
      <w:r>
        <w:t>Réunion de préparation avec la MOE et les autres lots</w:t>
      </w:r>
    </w:p>
    <w:p>
      <w:r>
        <w:rPr>
          <w:b/>
          <w:i w:val="0"/>
          <w:sz w:val="20"/>
        </w:rPr>
        <w:t>Semaine Mois 4 - S1 — Faux plafonds (3 personnes)</w:t>
      </w:r>
    </w:p>
    <w:p>
      <w:pPr>
        <w:pStyle w:val="ListBullet"/>
      </w:pPr>
      <w:r>
        <w:t>Préparation des supports</w:t>
      </w:r>
    </w:p>
    <w:p>
      <w:pPr>
        <w:pStyle w:val="ListBullet"/>
      </w:pPr>
      <w:r>
        <w:t>Type 1 — Faux plafonds Hygiène Performance A (Ecophon)</w:t>
      </w:r>
    </w:p>
    <w:p>
      <w:pPr>
        <w:pStyle w:val="ListBullet"/>
      </w:pPr>
      <w:r>
        <w:t>Type 2 — Faux plafonds Hygiène Protect Air A (Ecophon)</w:t>
      </w:r>
    </w:p>
    <w:p>
      <w:pPr>
        <w:pStyle w:val="ListBullet"/>
      </w:pPr>
      <w:r>
        <w:t>Dépose et repose ponctuelle des faux plafonds existants</w:t>
      </w:r>
    </w:p>
    <w:p>
      <w:pPr>
        <w:pStyle w:val="ListBullet"/>
      </w:pPr>
      <w:r>
        <w:t>Ouvrages divers : jouées, trappes de visite, grilles de ventilation</w:t>
      </w:r>
    </w:p>
    <w:p>
      <w:pPr>
        <w:pStyle w:val="ListBullet"/>
      </w:pPr>
      <w:r>
        <w:t>Nettoyage de chantier en fin de phase</w:t>
      </w:r>
    </w:p>
    <w:p>
      <w:r>
        <w:rPr>
          <w:b/>
          <w:i w:val="0"/>
          <w:sz w:val="20"/>
        </w:rPr>
        <w:t>Semaine Mois 4 - S2 — Peinture (3 personnes)</w:t>
      </w:r>
    </w:p>
    <w:p>
      <w:pPr>
        <w:pStyle w:val="ListBullet"/>
      </w:pPr>
      <w:r>
        <w:t>Préparation des supports (enduits Bagar Airliss G/F)</w:t>
      </w:r>
    </w:p>
    <w:p>
      <w:pPr>
        <w:pStyle w:val="ListBullet"/>
      </w:pPr>
      <w:r>
        <w:t>Peinture sur plafonds</w:t>
      </w:r>
    </w:p>
    <w:p>
      <w:pPr>
        <w:pStyle w:val="ListBullet"/>
      </w:pPr>
      <w:r>
        <w:t>Peinture sur murs</w:t>
      </w:r>
    </w:p>
    <w:p>
      <w:pPr>
        <w:pStyle w:val="ListBullet"/>
      </w:pPr>
      <w:r>
        <w:t>Peinture sur boiseries</w:t>
      </w:r>
    </w:p>
    <w:p>
      <w:pPr>
        <w:pStyle w:val="ListBullet"/>
      </w:pPr>
      <w:r>
        <w:t>Peinture sur métaux et PVC</w:t>
      </w:r>
    </w:p>
    <w:p>
      <w:pPr>
        <w:pStyle w:val="ListBullet"/>
      </w:pPr>
      <w:r>
        <w:t>Nettoyage de chantier en fin de phase</w:t>
      </w:r>
    </w:p>
    <w:p>
      <w:r>
        <w:rPr>
          <w:b/>
          <w:i w:val="0"/>
          <w:sz w:val="20"/>
        </w:rPr>
        <w:t>Semaine Mois 4 - S3 — Sols souples et reprises murales (2 personnes)</w:t>
      </w:r>
    </w:p>
    <w:p>
      <w:pPr>
        <w:pStyle w:val="ListBullet"/>
      </w:pPr>
      <w:r>
        <w:t>Préparation des supports (primaires, ragréage)</w:t>
      </w:r>
    </w:p>
    <w:p>
      <w:pPr>
        <w:pStyle w:val="ListBullet"/>
      </w:pPr>
      <w:r>
        <w:t>Revêtements de sols souples en lés — Taralay Impression Compact 43</w:t>
      </w:r>
    </w:p>
    <w:p>
      <w:pPr>
        <w:pStyle w:val="ListBullet"/>
      </w:pPr>
      <w:r>
        <w:t>Revêtements de sols souples — Mipolam Planet</w:t>
      </w:r>
    </w:p>
    <w:p>
      <w:pPr>
        <w:pStyle w:val="ListBullet"/>
      </w:pPr>
      <w:r>
        <w:t>Ouvrages divers : barres de seuil</w:t>
      </w:r>
    </w:p>
    <w:p>
      <w:pPr>
        <w:pStyle w:val="ListBullet"/>
      </w:pPr>
      <w:r>
        <w:t>Nettoyage de chantier en fin de phase</w:t>
      </w:r>
    </w:p>
    <w:p>
      <w:r>
        <w:rPr>
          <w:b/>
          <w:i w:val="0"/>
          <w:sz w:val="20"/>
        </w:rPr>
        <w:t>Semaine Mois 5 - S4 — Clôture du lot (2 personnes)</w:t>
      </w:r>
    </w:p>
    <w:p>
      <w:pPr>
        <w:pStyle w:val="ListBullet"/>
      </w:pPr>
      <w:r>
        <w:t>Nettoyage général (2 jours)</w:t>
      </w:r>
    </w:p>
    <w:p>
      <w:pPr>
        <w:pStyle w:val="ListBullet"/>
      </w:pPr>
      <w:r>
        <w:t>Opérations Préalables à la Réception — OPR (1 jour)</w:t>
      </w:r>
    </w:p>
    <w:p>
      <w:pPr>
        <w:pStyle w:val="ListBullet"/>
      </w:pPr>
      <w:r>
        <w:t>Levée des réserves (1 jour)</w:t>
      </w:r>
    </w:p>
    <w:p>
      <w:pPr>
        <w:spacing w:before="240" w:after="80"/>
      </w:pPr>
      <w:r>
        <w:rPr>
          <w:b/>
          <w:color w:val="1F3A5F"/>
          <w:sz w:val="24"/>
        </w:rPr>
        <w:t>3.4. Logique de phasage et enchaînement des corps de métier</w:t>
      </w:r>
    </w:p>
    <w:p>
      <w:r>
        <w:rPr>
          <w:b w:val="0"/>
          <w:i w:val="0"/>
          <w:sz w:val="21"/>
        </w:rPr>
        <w:t>L'enchaînement retenu — faux plafonds, puis peinture, puis sols souples — répond à une logique de chantier propre que nous appliquons systématiquement : les travaux salissants ou générateurs de poussières (dépose, pose d'ossature, perçages) sont réalisés en premier, la peinture intervient ensuite sur des supports finalisés en plafond, et les sols souples sont posés en dernier afin d'éviter toute salissure ou dégradation du revêtement fraîchement collé par la poursuite des autres opérations (protection des ouvrages finis, cf. § 2.5).</w:t>
      </w:r>
    </w:p>
    <w:p>
      <w:r>
        <w:rPr>
          <w:b w:val="0"/>
          <w:i w:val="0"/>
          <w:sz w:val="21"/>
        </w:rPr>
        <w:t>Chaque semaine de production regroupe volontairement la préparation des supports et la mise en œuvre finale d'un même corps de métier, ce qui limite les interruptions et les reprises d'équipe, et facilite le contrôle qualité en continu (cf. § 2.11).</w:t>
      </w:r>
    </w:p>
    <w:p>
      <w:pPr>
        <w:spacing w:before="240" w:after="80"/>
      </w:pPr>
      <w:r>
        <w:rPr>
          <w:b/>
          <w:color w:val="1F3A5F"/>
          <w:sz w:val="24"/>
        </w:rPr>
        <w:t>3.5. Marges de sécurité et gestion des aléas</w:t>
      </w:r>
    </w:p>
    <w:p>
      <w:r>
        <w:rPr>
          <w:b w:val="0"/>
          <w:i w:val="0"/>
          <w:sz w:val="21"/>
        </w:rPr>
        <w:t>Le planning intègre volontairement une marge de plusieurs semaines (Mois 4 - S4 à Mois 5 - S3) entre la fin des travaux de production (Mois 4 - S3) et la clôture du lot (Mois 5 - S4). Cette marge n'est pas une semaine « perdue » : elle est affectée en priorité à :</w:t>
      </w:r>
    </w:p>
    <w:p>
      <w:pPr>
        <w:pStyle w:val="ListBullet"/>
      </w:pPr>
      <w:r>
        <w:t>l'absorption d'un éventuel retard de mise à disposition des supports par les lots amont, en particulier la réception du renfort structurel (profilés HEB220, Lot 1) conditionnant notre intervention en zone scanner (cf. § 1.5.1 et § 1.5.4) ;</w:t>
      </w:r>
    </w:p>
    <w:p>
      <w:pPr>
        <w:pStyle w:val="ListBullet"/>
      </w:pPr>
      <w:r>
        <w:t>la coordination fine avec les lots Électricité et Plomberie-Chauffage-Climatisation, dont les réseaux transitent par nos plénums de faux plafonds (cf. § 2.7) ;</w:t>
      </w:r>
    </w:p>
    <w:p>
      <w:pPr>
        <w:pStyle w:val="ListBullet"/>
      </w:pPr>
      <w:r>
        <w:t>le traitement d'éventuelles reprises ponctuelles avant les Opérations Préalables à la Réception.</w:t>
      </w:r>
    </w:p>
    <w:p>
      <w:r>
        <w:rPr>
          <w:b w:val="0"/>
          <w:i w:val="0"/>
          <w:sz w:val="21"/>
        </w:rPr>
        <w:t>Cette marge constitue notre principal levier d'optimisation du planning : elle sécurise le respect du délai global du lot sans mobiliser d'effectif supplémentaire ni exposer France Décoration aux pénalités de retard prévues au CCAP (cf. chapitre 1, § 1.5.2).</w:t>
      </w:r>
    </w:p>
    <w:p>
      <w:pPr>
        <w:spacing w:before="240" w:after="80"/>
      </w:pPr>
      <w:r>
        <w:rPr>
          <w:b/>
          <w:color w:val="1F3A5F"/>
          <w:sz w:val="24"/>
        </w:rPr>
        <w:t>3.6. Synthèse des effectifs mobilisés</w:t>
      </w:r>
    </w:p>
    <w:tbl>
      <w:tblPr>
        <w:tblStyle w:val="TableGrid"/>
        <w:tblW w:type="auto" w:w="0"/>
        <w:jc w:val="center"/>
        <w:tblLook w:firstColumn="1" w:firstRow="1" w:lastColumn="0" w:lastRow="0" w:noHBand="0" w:noVBand="1" w:val="04A0"/>
      </w:tblPr>
      <w:tblGrid>
        <w:gridCol w:w="3400"/>
        <w:gridCol w:w="3400"/>
        <w:gridCol w:w="3400"/>
      </w:tblGrid>
      <w:tr>
        <w:tc>
          <w:tcPr>
            <w:tcW w:type="dxa" w:w="4252"/>
            <w:shd w:val="clear" w:color="auto" w:fill="2E74B5"/>
          </w:tcPr>
          <w:p>
            <w:r/>
            <w:r>
              <w:rPr>
                <w:b/>
                <w:color w:val="FFFFFF"/>
                <w:sz w:val="18"/>
              </w:rPr>
              <w:t>Phase</w:t>
            </w:r>
          </w:p>
        </w:tc>
        <w:tc>
          <w:tcPr>
            <w:tcW w:type="dxa" w:w="2551"/>
            <w:shd w:val="clear" w:color="auto" w:fill="2E74B5"/>
          </w:tcPr>
          <w:p>
            <w:r/>
            <w:r>
              <w:rPr>
                <w:b/>
                <w:color w:val="FFFFFF"/>
                <w:sz w:val="18"/>
              </w:rPr>
              <w:t>Semaine</w:t>
            </w:r>
          </w:p>
        </w:tc>
        <w:tc>
          <w:tcPr>
            <w:tcW w:type="dxa" w:w="2551"/>
            <w:shd w:val="clear" w:color="auto" w:fill="2E74B5"/>
          </w:tcPr>
          <w:p>
            <w:r/>
            <w:r>
              <w:rPr>
                <w:b/>
                <w:color w:val="FFFFFF"/>
                <w:sz w:val="18"/>
              </w:rPr>
              <w:t>Effectif</w:t>
            </w:r>
          </w:p>
        </w:tc>
      </w:tr>
      <w:tr>
        <w:tc>
          <w:tcPr>
            <w:tcW w:type="dxa" w:w="4252"/>
          </w:tcPr>
          <w:p>
            <w:r/>
            <w:r>
              <w:rPr>
                <w:sz w:val="18"/>
              </w:rPr>
              <w:t>Préparation / études d'exécution</w:t>
            </w:r>
          </w:p>
        </w:tc>
        <w:tc>
          <w:tcPr>
            <w:tcW w:type="dxa" w:w="2551"/>
          </w:tcPr>
          <w:p>
            <w:r/>
            <w:r>
              <w:rPr>
                <w:sz w:val="18"/>
              </w:rPr>
              <w:t>Mois 1 - S4</w:t>
            </w:r>
          </w:p>
        </w:tc>
        <w:tc>
          <w:tcPr>
            <w:tcW w:type="dxa" w:w="2551"/>
          </w:tcPr>
          <w:p>
            <w:r/>
            <w:r>
              <w:rPr>
                <w:sz w:val="18"/>
              </w:rPr>
              <w:t>2 personnes</w:t>
            </w:r>
          </w:p>
        </w:tc>
      </w:tr>
      <w:tr>
        <w:tc>
          <w:tcPr>
            <w:tcW w:type="dxa" w:w="4252"/>
          </w:tcPr>
          <w:p>
            <w:r/>
            <w:r>
              <w:rPr>
                <w:sz w:val="18"/>
              </w:rPr>
              <w:t>Faux plafonds</w:t>
            </w:r>
          </w:p>
        </w:tc>
        <w:tc>
          <w:tcPr>
            <w:tcW w:type="dxa" w:w="2551"/>
          </w:tcPr>
          <w:p>
            <w:r/>
            <w:r>
              <w:rPr>
                <w:sz w:val="18"/>
              </w:rPr>
              <w:t>Mois 4 - S1</w:t>
            </w:r>
          </w:p>
        </w:tc>
        <w:tc>
          <w:tcPr>
            <w:tcW w:type="dxa" w:w="2551"/>
          </w:tcPr>
          <w:p>
            <w:r/>
            <w:r>
              <w:rPr>
                <w:sz w:val="18"/>
              </w:rPr>
              <w:t>3 personnes</w:t>
            </w:r>
          </w:p>
        </w:tc>
      </w:tr>
      <w:tr>
        <w:tc>
          <w:tcPr>
            <w:tcW w:type="dxa" w:w="4252"/>
          </w:tcPr>
          <w:p>
            <w:r/>
            <w:r>
              <w:rPr>
                <w:sz w:val="18"/>
              </w:rPr>
              <w:t>Peinture</w:t>
            </w:r>
          </w:p>
        </w:tc>
        <w:tc>
          <w:tcPr>
            <w:tcW w:type="dxa" w:w="2551"/>
          </w:tcPr>
          <w:p>
            <w:r/>
            <w:r>
              <w:rPr>
                <w:sz w:val="18"/>
              </w:rPr>
              <w:t>Mois 4 - S2</w:t>
            </w:r>
          </w:p>
        </w:tc>
        <w:tc>
          <w:tcPr>
            <w:tcW w:type="dxa" w:w="2551"/>
          </w:tcPr>
          <w:p>
            <w:r/>
            <w:r>
              <w:rPr>
                <w:sz w:val="18"/>
              </w:rPr>
              <w:t>3 personnes</w:t>
            </w:r>
          </w:p>
        </w:tc>
      </w:tr>
      <w:tr>
        <w:tc>
          <w:tcPr>
            <w:tcW w:type="dxa" w:w="4252"/>
          </w:tcPr>
          <w:p>
            <w:r/>
            <w:r>
              <w:rPr>
                <w:sz w:val="18"/>
              </w:rPr>
              <w:t>Sols souples / reprises murales</w:t>
            </w:r>
          </w:p>
        </w:tc>
        <w:tc>
          <w:tcPr>
            <w:tcW w:type="dxa" w:w="2551"/>
          </w:tcPr>
          <w:p>
            <w:r/>
            <w:r>
              <w:rPr>
                <w:sz w:val="18"/>
              </w:rPr>
              <w:t>Mois 4 - S3</w:t>
            </w:r>
          </w:p>
        </w:tc>
        <w:tc>
          <w:tcPr>
            <w:tcW w:type="dxa" w:w="2551"/>
          </w:tcPr>
          <w:p>
            <w:r/>
            <w:r>
              <w:rPr>
                <w:sz w:val="18"/>
              </w:rPr>
              <w:t>2 personnes</w:t>
            </w:r>
          </w:p>
        </w:tc>
      </w:tr>
      <w:tr>
        <w:tc>
          <w:tcPr>
            <w:tcW w:type="dxa" w:w="4252"/>
          </w:tcPr>
          <w:p>
            <w:r/>
            <w:r>
              <w:rPr>
                <w:sz w:val="18"/>
              </w:rPr>
              <w:t>Nettoyage général / OPR / Réserves</w:t>
            </w:r>
          </w:p>
        </w:tc>
        <w:tc>
          <w:tcPr>
            <w:tcW w:type="dxa" w:w="2551"/>
          </w:tcPr>
          <w:p>
            <w:r/>
            <w:r>
              <w:rPr>
                <w:sz w:val="18"/>
              </w:rPr>
              <w:t>Mois 5 - S4</w:t>
            </w:r>
          </w:p>
        </w:tc>
        <w:tc>
          <w:tcPr>
            <w:tcW w:type="dxa" w:w="2551"/>
          </w:tcPr>
          <w:p>
            <w:r/>
            <w:r>
              <w:rPr>
                <w:sz w:val="18"/>
              </w:rPr>
              <w:t>2 personnes</w:t>
            </w:r>
          </w:p>
        </w:tc>
      </w:tr>
    </w:tbl>
    <w:p/>
    <w:p>
      <w:r>
        <w:rPr>
          <w:b w:val="0"/>
          <w:i/>
          <w:sz w:val="21"/>
        </w:rPr>
        <w:t>Ce dimensionnement, conforme à l'engagement de continuité et d'effectifs constants pris pour la période estivale (cf. § 1.6), permet une intervention resserrée et rapide par corps de métier, réduisant d'autant la durée de présence de nos équipes en site hospitalier occupé.</w:t>
      </w:r>
    </w:p>
    <w:p/>
    <w:p>
      <w:r>
        <w:rPr>
          <w:i/>
          <w:color w:val="595959"/>
          <w:sz w:val="17"/>
        </w:rPr>
        <w:t>Chapitre établi à partir du planning prévisionnel Lot 3 de France Décoration, construit sur la base du calendrier des travaux de la Maîtrise d'Œuvre (« RENE MURET SCANNER — Calendrier des travaux V2 »).</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