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6"/>
        </w:rPr>
        <w:t>Liste des Travaux à Réaliser</w:t>
      </w:r>
    </w:p>
    <w:p>
      <w:r>
        <w:rPr>
          <w:i/>
          <w:color w:val="595959"/>
          <w:sz w:val="24"/>
        </w:rPr>
        <w:t>Lot 03 — Faux Plafonds - Peinture - Sols Souples</w:t>
      </w:r>
    </w:p>
    <w:p>
      <w:r>
        <w:rPr>
          <w:b/>
          <w:i w:val="0"/>
          <w:color w:val="2E74B5"/>
          <w:sz w:val="24"/>
        </w:rPr>
        <w:t>26 RMB 41 TVX — Hôpital René Muret (bâtiment Madeleine Brès) — AP-HP HUPSSD</w:t>
      </w:r>
    </w:p>
    <w:p>
      <w:r>
        <w:rPr>
          <w:b w:val="0"/>
          <w:i/>
          <w:color w:val="595959"/>
          <w:sz w:val="21"/>
        </w:rPr>
        <w:t>Établi d'après le CCTP Lot 03 (Article IV — Description des ouvrages)</w:t>
      </w:r>
    </w:p>
    <w:p/>
    <w:p>
      <w:r>
        <w:rPr>
          <w:b w:val="0"/>
          <w:i w:val="0"/>
          <w:sz w:val="21"/>
        </w:rPr>
        <w:t>Cette liste reprend, article par article, l'ensemble des ouvrages décrits au CCTP (chapitre IV), avec leurs quantités et localisations telles que prescrites par la Maîtrise d'Œuvre. Elle sert de base de vérification lors de la visite de site et de la préparation de l'offre.</w:t>
      </w:r>
    </w:p>
    <w:p>
      <w:pPr>
        <w:spacing w:before="360" w:after="120"/>
        <w:pBdr>
          <w:bottom w:val="single" w:sz="8" w:space="4" w:color="2E74B5"/>
        </w:pBdr>
      </w:pPr>
      <w:r>
        <w:rPr>
          <w:b/>
          <w:color w:val="2E74B5"/>
          <w:sz w:val="28"/>
        </w:rPr>
        <w:t>1. FAUX PLAFONDS</w:t>
      </w:r>
    </w:p>
    <w:p>
      <w:pPr>
        <w:spacing w:before="240" w:after="80"/>
      </w:pPr>
      <w:r>
        <w:rPr>
          <w:b/>
          <w:color w:val="1F3A5F"/>
          <w:sz w:val="24"/>
        </w:rPr>
        <w:t>1.1. Faux plafonds Hygiène Performance A (Art. IV.1)</w:t>
      </w:r>
    </w:p>
    <w:p>
      <w:r>
        <w:rPr>
          <w:b w:val="0"/>
          <w:i w:val="0"/>
          <w:sz w:val="21"/>
        </w:rPr>
        <w:t>Fourniture et pose de dalles Ecophon Hygiène Performance A (600×600 mm, ép. 20 mm, classement d'absorption A, résistance au feu A2-s1,d0), sur ossature T24 apparente, dans les locaux courants.</w:t>
      </w:r>
    </w:p>
    <w:tbl>
      <w:tblPr>
        <w:tblStyle w:val="TableGrid"/>
        <w:tblW w:type="auto" w:w="0"/>
        <w:jc w:val="center"/>
        <w:tblLook w:firstColumn="1" w:firstRow="1" w:lastColumn="0" w:lastRow="0" w:noHBand="0" w:noVBand="1" w:val="04A0"/>
      </w:tblPr>
      <w:tblGrid>
        <w:gridCol w:w="10200"/>
      </w:tblGrid>
      <w:tr>
        <w:tc>
          <w:tcPr>
            <w:tcW w:type="dxa" w:w="9071"/>
            <w:shd w:val="clear" w:color="auto" w:fill="2E74B5"/>
          </w:tcPr>
          <w:p>
            <w:r/>
            <w:r>
              <w:rPr>
                <w:b/>
                <w:color w:val="FFFFFF"/>
                <w:sz w:val="18"/>
              </w:rPr>
              <w:t>Locaux concernés</w:t>
            </w:r>
          </w:p>
        </w:tc>
      </w:tr>
      <w:tr>
        <w:tc>
          <w:tcPr>
            <w:tcW w:type="dxa" w:w="9071"/>
          </w:tcPr>
          <w:p>
            <w:r/>
            <w:r>
              <w:rPr>
                <w:sz w:val="18"/>
              </w:rPr>
              <w:t>Sanitaire handicapés (280_192)</w:t>
            </w:r>
          </w:p>
        </w:tc>
      </w:tr>
      <w:tr>
        <w:tc>
          <w:tcPr>
            <w:tcW w:type="dxa" w:w="9071"/>
          </w:tcPr>
          <w:p>
            <w:r/>
            <w:r>
              <w:rPr>
                <w:sz w:val="18"/>
              </w:rPr>
              <w:t>Sanitaire publique (283_181)</w:t>
            </w:r>
          </w:p>
        </w:tc>
      </w:tr>
      <w:tr>
        <w:tc>
          <w:tcPr>
            <w:tcW w:type="dxa" w:w="9071"/>
          </w:tcPr>
          <w:p>
            <w:r/>
            <w:r>
              <w:rPr>
                <w:sz w:val="18"/>
              </w:rPr>
              <w:t>Sanitaire handicapés</w:t>
            </w:r>
          </w:p>
        </w:tc>
      </w:tr>
      <w:tr>
        <w:tc>
          <w:tcPr>
            <w:tcW w:type="dxa" w:w="9071"/>
          </w:tcPr>
          <w:p>
            <w:r/>
            <w:r>
              <w:rPr>
                <w:sz w:val="18"/>
              </w:rPr>
              <w:t>LT électrique (288_181)</w:t>
            </w:r>
          </w:p>
        </w:tc>
      </w:tr>
      <w:tr>
        <w:tc>
          <w:tcPr>
            <w:tcW w:type="dxa" w:w="9071"/>
          </w:tcPr>
          <w:p>
            <w:r/>
            <w:r>
              <w:rPr>
                <w:sz w:val="18"/>
              </w:rPr>
              <w:t>WC (276_185)</w:t>
            </w:r>
          </w:p>
        </w:tc>
      </w:tr>
      <w:tr>
        <w:tc>
          <w:tcPr>
            <w:tcW w:type="dxa" w:w="9071"/>
          </w:tcPr>
          <w:p>
            <w:r/>
            <w:r>
              <w:rPr>
                <w:sz w:val="18"/>
              </w:rPr>
              <w:t>Sanitaire (274_184)</w:t>
            </w:r>
          </w:p>
        </w:tc>
      </w:tr>
      <w:tr>
        <w:tc>
          <w:tcPr>
            <w:tcW w:type="dxa" w:w="9071"/>
          </w:tcPr>
          <w:p>
            <w:r/>
            <w:r>
              <w:rPr>
                <w:sz w:val="18"/>
              </w:rPr>
              <w:t>Attente radio</w:t>
            </w:r>
          </w:p>
        </w:tc>
      </w:tr>
      <w:tr>
        <w:tc>
          <w:tcPr>
            <w:tcW w:type="dxa" w:w="9071"/>
          </w:tcPr>
          <w:p>
            <w:r/>
            <w:r>
              <w:rPr>
                <w:sz w:val="18"/>
              </w:rPr>
              <w:t>Sas bureau</w:t>
            </w:r>
          </w:p>
        </w:tc>
      </w:tr>
      <w:tr>
        <w:tc>
          <w:tcPr>
            <w:tcW w:type="dxa" w:w="9071"/>
          </w:tcPr>
          <w:p>
            <w:r/>
            <w:r>
              <w:rPr>
                <w:sz w:val="18"/>
              </w:rPr>
              <w:t>Salle de détente (269_188)</w:t>
            </w:r>
          </w:p>
        </w:tc>
      </w:tr>
      <w:tr>
        <w:tc>
          <w:tcPr>
            <w:tcW w:type="dxa" w:w="9071"/>
          </w:tcPr>
          <w:p>
            <w:r/>
            <w:r>
              <w:rPr>
                <w:sz w:val="18"/>
              </w:rPr>
              <w:t>Secrétariat accueil (271_186)</w:t>
            </w:r>
          </w:p>
        </w:tc>
      </w:tr>
    </w:tbl>
    <w:p/>
    <w:p>
      <w:pPr>
        <w:spacing w:before="240" w:after="80"/>
      </w:pPr>
      <w:r>
        <w:rPr>
          <w:b/>
          <w:color w:val="1F3A5F"/>
          <w:sz w:val="24"/>
        </w:rPr>
        <w:t>1.2. Faux plafonds Hygiène Protect Air A (Art. IV.2)</w:t>
      </w:r>
    </w:p>
    <w:p>
      <w:r>
        <w:rPr>
          <w:b w:val="0"/>
          <w:i w:val="0"/>
          <w:sz w:val="21"/>
        </w:rPr>
        <w:t>Fourniture et pose de dalles Ecophon Hygiène Protect Air A (600×600 mm, ép. 20 mm, classement d'absorption B, résistance au feu A2-s1,d0), dans les locaux à plus haute exigence hygiénique.</w:t>
      </w:r>
    </w:p>
    <w:tbl>
      <w:tblPr>
        <w:tblStyle w:val="TableGrid"/>
        <w:tblW w:type="auto" w:w="0"/>
        <w:jc w:val="center"/>
        <w:tblLook w:firstColumn="1" w:firstRow="1" w:lastColumn="0" w:lastRow="0" w:noHBand="0" w:noVBand="1" w:val="04A0"/>
      </w:tblPr>
      <w:tblGrid>
        <w:gridCol w:w="10200"/>
      </w:tblGrid>
      <w:tr>
        <w:tc>
          <w:tcPr>
            <w:tcW w:type="dxa" w:w="9071"/>
            <w:shd w:val="clear" w:color="auto" w:fill="2E74B5"/>
          </w:tcPr>
          <w:p>
            <w:r/>
            <w:r>
              <w:rPr>
                <w:b/>
                <w:color w:val="FFFFFF"/>
                <w:sz w:val="18"/>
              </w:rPr>
              <w:t>Locaux concernés</w:t>
            </w:r>
          </w:p>
        </w:tc>
      </w:tr>
      <w:tr>
        <w:tc>
          <w:tcPr>
            <w:tcW w:type="dxa" w:w="9071"/>
          </w:tcPr>
          <w:p>
            <w:r/>
            <w:r>
              <w:rPr>
                <w:sz w:val="18"/>
              </w:rPr>
              <w:t>Scanner</w:t>
            </w:r>
          </w:p>
        </w:tc>
      </w:tr>
      <w:tr>
        <w:tc>
          <w:tcPr>
            <w:tcW w:type="dxa" w:w="9071"/>
          </w:tcPr>
          <w:p>
            <w:r/>
            <w:r>
              <w:rPr>
                <w:sz w:val="18"/>
              </w:rPr>
              <w:t>Salle claire (286_190)</w:t>
            </w:r>
          </w:p>
        </w:tc>
      </w:tr>
      <w:tr>
        <w:tc>
          <w:tcPr>
            <w:tcW w:type="dxa" w:w="9071"/>
          </w:tcPr>
          <w:p>
            <w:r/>
            <w:r>
              <w:rPr>
                <w:sz w:val="18"/>
              </w:rPr>
              <w:t>Accès accueil radio (281_190)</w:t>
            </w:r>
          </w:p>
        </w:tc>
      </w:tr>
      <w:tr>
        <w:tc>
          <w:tcPr>
            <w:tcW w:type="dxa" w:w="9071"/>
          </w:tcPr>
          <w:p>
            <w:r/>
            <w:r>
              <w:rPr>
                <w:sz w:val="18"/>
              </w:rPr>
              <w:t>Déshabilloir</w:t>
            </w:r>
          </w:p>
        </w:tc>
      </w:tr>
      <w:tr>
        <w:tc>
          <w:tcPr>
            <w:tcW w:type="dxa" w:w="9071"/>
          </w:tcPr>
          <w:p>
            <w:r/>
            <w:r>
              <w:rPr>
                <w:sz w:val="18"/>
              </w:rPr>
              <w:t>Déshabilloir (282-184)</w:t>
            </w:r>
          </w:p>
        </w:tc>
      </w:tr>
    </w:tbl>
    <w:p/>
    <w:p>
      <w:pPr>
        <w:spacing w:before="240" w:after="80"/>
      </w:pPr>
      <w:r>
        <w:rPr>
          <w:b/>
          <w:color w:val="1F3A5F"/>
          <w:sz w:val="24"/>
        </w:rPr>
        <w:t>1.3. Jouées (Art. IV.3)</w:t>
      </w:r>
    </w:p>
    <w:p>
      <w:r>
        <w:rPr>
          <w:b w:val="0"/>
          <w:i w:val="0"/>
          <w:sz w:val="21"/>
        </w:rPr>
        <w:t>Fourniture et pose de jouées en plaque de plâtre BA13 (PLACOSTIL), sur ossature, joints et finitions, pour liaison entre plafonds à niveaux différents et fermeture de plénums.</w:t>
      </w:r>
    </w:p>
    <w:tbl>
      <w:tblPr>
        <w:tblStyle w:val="TableGrid"/>
        <w:tblW w:type="auto" w:w="0"/>
        <w:jc w:val="center"/>
        <w:tblLook w:firstColumn="1" w:firstRow="1" w:lastColumn="0" w:lastRow="0" w:noHBand="0" w:noVBand="1" w:val="04A0"/>
      </w:tblPr>
      <w:tblGrid>
        <w:gridCol w:w="10200"/>
      </w:tblGrid>
      <w:tr>
        <w:tc>
          <w:tcPr>
            <w:tcW w:type="dxa" w:w="9071"/>
            <w:shd w:val="clear" w:color="auto" w:fill="2E74B5"/>
          </w:tcPr>
          <w:p>
            <w:r/>
            <w:r>
              <w:rPr>
                <w:b/>
                <w:color w:val="FFFFFF"/>
                <w:sz w:val="18"/>
              </w:rPr>
              <w:t>Quantité provisionnelle</w:t>
            </w:r>
          </w:p>
        </w:tc>
      </w:tr>
      <w:tr>
        <w:tc>
          <w:tcPr>
            <w:tcW w:type="dxa" w:w="9071"/>
          </w:tcPr>
          <w:p>
            <w:r/>
            <w:r>
              <w:rPr>
                <w:sz w:val="18"/>
              </w:rPr>
              <w:t>20 ml de 0,60 m de hauteur</w:t>
            </w:r>
          </w:p>
        </w:tc>
      </w:tr>
    </w:tbl>
    <w:p/>
    <w:p>
      <w:pPr>
        <w:spacing w:before="240" w:after="80"/>
      </w:pPr>
      <w:r>
        <w:rPr>
          <w:b/>
          <w:color w:val="1F3A5F"/>
          <w:sz w:val="24"/>
        </w:rPr>
        <w:t>1.4. Grilles de ventilation (Art. IV.4)</w:t>
      </w:r>
    </w:p>
    <w:p>
      <w:r>
        <w:rPr>
          <w:b w:val="0"/>
          <w:i w:val="0"/>
          <w:sz w:val="21"/>
        </w:rPr>
        <w:t>Fourniture et pose de grilles de ventilation en aluminium laqué.</w:t>
      </w:r>
    </w:p>
    <w:tbl>
      <w:tblPr>
        <w:tblStyle w:val="TableGrid"/>
        <w:tblW w:type="auto" w:w="0"/>
        <w:jc w:val="center"/>
        <w:tblLook w:firstColumn="1" w:firstRow="1" w:lastColumn="0" w:lastRow="0" w:noHBand="0" w:noVBand="1" w:val="04A0"/>
      </w:tblPr>
      <w:tblGrid>
        <w:gridCol w:w="10200"/>
      </w:tblGrid>
      <w:tr>
        <w:tc>
          <w:tcPr>
            <w:tcW w:type="dxa" w:w="9071"/>
            <w:shd w:val="clear" w:color="auto" w:fill="2E74B5"/>
          </w:tcPr>
          <w:p>
            <w:r/>
            <w:r>
              <w:rPr>
                <w:b/>
                <w:color w:val="FFFFFF"/>
                <w:sz w:val="18"/>
              </w:rPr>
              <w:t>Quantité provisionnelle</w:t>
            </w:r>
          </w:p>
        </w:tc>
      </w:tr>
      <w:tr>
        <w:tc>
          <w:tcPr>
            <w:tcW w:type="dxa" w:w="9071"/>
          </w:tcPr>
          <w:p>
            <w:r/>
            <w:r>
              <w:rPr>
                <w:sz w:val="18"/>
              </w:rPr>
              <w:t>5 unités</w:t>
            </w:r>
          </w:p>
        </w:tc>
      </w:tr>
    </w:tbl>
    <w:p/>
    <w:p>
      <w:pPr>
        <w:spacing w:before="240" w:after="80"/>
      </w:pPr>
      <w:r>
        <w:rPr>
          <w:b/>
          <w:color w:val="1F3A5F"/>
          <w:sz w:val="24"/>
        </w:rPr>
        <w:t>1.5. Dépose et repose de faux plafonds existants (Art. IV.5)</w:t>
      </w:r>
    </w:p>
    <w:p>
      <w:r>
        <w:rPr>
          <w:b w:val="0"/>
          <w:i w:val="0"/>
          <w:sz w:val="21"/>
        </w:rPr>
        <w:t>Dépose et repose avec soins des faux plafonds existants (ossature comprise), remplacement des dalles et éléments dégradés, constat contradictoire avant démontage des ouvrages conservés.</w:t>
      </w:r>
    </w:p>
    <w:tbl>
      <w:tblPr>
        <w:tblStyle w:val="TableGrid"/>
        <w:tblW w:type="auto" w:w="0"/>
        <w:jc w:val="center"/>
        <w:tblLook w:firstColumn="1" w:firstRow="1" w:lastColumn="0" w:lastRow="0" w:noHBand="0" w:noVBand="1" w:val="04A0"/>
      </w:tblPr>
      <w:tblGrid>
        <w:gridCol w:w="10200"/>
      </w:tblGrid>
      <w:tr>
        <w:tc>
          <w:tcPr>
            <w:tcW w:type="dxa" w:w="9071"/>
            <w:shd w:val="clear" w:color="auto" w:fill="2E74B5"/>
          </w:tcPr>
          <w:p>
            <w:r/>
            <w:r>
              <w:rPr>
                <w:b/>
                <w:color w:val="FFFFFF"/>
                <w:sz w:val="18"/>
              </w:rPr>
              <w:t>Quantité provisionnelle</w:t>
            </w:r>
          </w:p>
        </w:tc>
      </w:tr>
      <w:tr>
        <w:tc>
          <w:tcPr>
            <w:tcW w:type="dxa" w:w="9071"/>
          </w:tcPr>
          <w:p>
            <w:r/>
            <w:r>
              <w:rPr>
                <w:sz w:val="18"/>
              </w:rPr>
              <w:t>67 m²</w:t>
            </w:r>
          </w:p>
        </w:tc>
      </w:tr>
    </w:tbl>
    <w:p/>
    <w:p>
      <w:pPr>
        <w:spacing w:before="360" w:after="120"/>
        <w:pBdr>
          <w:bottom w:val="single" w:sz="8" w:space="4" w:color="2E74B5"/>
        </w:pBdr>
      </w:pPr>
      <w:r>
        <w:rPr>
          <w:b/>
          <w:color w:val="2E74B5"/>
          <w:sz w:val="28"/>
        </w:rPr>
        <w:t>2. TRAVAUX INTÉRIEURS DE PEINTURE (Art. IV.6)</w:t>
      </w:r>
    </w:p>
    <w:p>
      <w:pPr>
        <w:spacing w:before="240" w:after="80"/>
      </w:pPr>
      <w:r>
        <w:rPr>
          <w:b/>
          <w:color w:val="1F3A5F"/>
          <w:sz w:val="24"/>
        </w:rPr>
        <w:t>2.1. Sur plafonds (Art. IV.6.01)</w:t>
      </w:r>
    </w:p>
    <w:p>
      <w:r>
        <w:rPr>
          <w:b w:val="0"/>
          <w:i w:val="0"/>
          <w:sz w:val="21"/>
        </w:rPr>
        <w:t>Épousseter, imprimer, reboucher, enduit repassé, poncer, épousseter, finition 2 couches peinture satinée glycérophtalique (Finition A). Localisation : jouées et plafonds en Placostil du lot faux plafonds.</w:t>
      </w:r>
    </w:p>
    <w:p>
      <w:pPr>
        <w:spacing w:before="240" w:after="80"/>
      </w:pPr>
      <w:r>
        <w:rPr>
          <w:b/>
          <w:color w:val="1F3A5F"/>
          <w:sz w:val="24"/>
        </w:rPr>
        <w:t>2.2. Sur murs (Art. IV.6.02)</w:t>
      </w:r>
    </w:p>
    <w:p>
      <w:r>
        <w:rPr>
          <w:b w:val="0"/>
          <w:i w:val="0"/>
          <w:sz w:val="21"/>
        </w:rPr>
        <w:t>Vieux fonds conservés : lessivage/arrachage des revêtements existants, égrenage, rebouchage, impression Indeko Fix (Caparol), finition 2 couches Indeko Satin (Caparol) — Finition A. Parements plâtre/cartonnés : épousseter, impression Indeko Fix, rebouchage, enduit repassé, finition Indeko Satin — Finition A.</w:t>
      </w:r>
    </w:p>
    <w:tbl>
      <w:tblPr>
        <w:tblStyle w:val="TableGrid"/>
        <w:tblW w:type="auto" w:w="0"/>
        <w:jc w:val="center"/>
        <w:tblLook w:firstColumn="1" w:firstRow="1" w:lastColumn="0" w:lastRow="0" w:noHBand="0" w:noVBand="1" w:val="04A0"/>
      </w:tblPr>
      <w:tblGrid>
        <w:gridCol w:w="10200"/>
      </w:tblGrid>
      <w:tr>
        <w:tc>
          <w:tcPr>
            <w:tcW w:type="dxa" w:w="9071"/>
            <w:shd w:val="clear" w:color="auto" w:fill="2E74B5"/>
          </w:tcPr>
          <w:p>
            <w:r/>
            <w:r>
              <w:rPr>
                <w:b/>
                <w:color w:val="FFFFFF"/>
                <w:sz w:val="18"/>
              </w:rPr>
              <w:t>Locaux concernés (murs)</w:t>
            </w:r>
          </w:p>
        </w:tc>
      </w:tr>
      <w:tr>
        <w:tc>
          <w:tcPr>
            <w:tcW w:type="dxa" w:w="9071"/>
          </w:tcPr>
          <w:p>
            <w:r/>
            <w:r>
              <w:rPr>
                <w:sz w:val="18"/>
              </w:rPr>
              <w:t>Salle de détente (269_188)</w:t>
            </w:r>
          </w:p>
        </w:tc>
      </w:tr>
      <w:tr>
        <w:tc>
          <w:tcPr>
            <w:tcW w:type="dxa" w:w="9071"/>
          </w:tcPr>
          <w:p>
            <w:r/>
            <w:r>
              <w:rPr>
                <w:sz w:val="18"/>
              </w:rPr>
              <w:t>Secrétariat/accueil (271_186)</w:t>
            </w:r>
          </w:p>
        </w:tc>
      </w:tr>
      <w:tr>
        <w:tc>
          <w:tcPr>
            <w:tcW w:type="dxa" w:w="9071"/>
          </w:tcPr>
          <w:p>
            <w:r/>
            <w:r>
              <w:rPr>
                <w:sz w:val="18"/>
              </w:rPr>
              <w:t>Sas bureaux</w:t>
            </w:r>
          </w:p>
        </w:tc>
      </w:tr>
      <w:tr>
        <w:tc>
          <w:tcPr>
            <w:tcW w:type="dxa" w:w="9071"/>
          </w:tcPr>
          <w:p>
            <w:r/>
            <w:r>
              <w:rPr>
                <w:sz w:val="18"/>
              </w:rPr>
              <w:t>Attente radio</w:t>
            </w:r>
          </w:p>
        </w:tc>
      </w:tr>
      <w:tr>
        <w:tc>
          <w:tcPr>
            <w:tcW w:type="dxa" w:w="9071"/>
          </w:tcPr>
          <w:p>
            <w:r/>
            <w:r>
              <w:rPr>
                <w:sz w:val="18"/>
              </w:rPr>
              <w:t>Sanitaire (274_185)</w:t>
            </w:r>
          </w:p>
        </w:tc>
      </w:tr>
      <w:tr>
        <w:tc>
          <w:tcPr>
            <w:tcW w:type="dxa" w:w="9071"/>
          </w:tcPr>
          <w:p>
            <w:r/>
            <w:r>
              <w:rPr>
                <w:sz w:val="18"/>
              </w:rPr>
              <w:t>WC (276_185)</w:t>
            </w:r>
          </w:p>
        </w:tc>
      </w:tr>
      <w:tr>
        <w:tc>
          <w:tcPr>
            <w:tcW w:type="dxa" w:w="9071"/>
          </w:tcPr>
          <w:p>
            <w:r/>
            <w:r>
              <w:rPr>
                <w:sz w:val="18"/>
              </w:rPr>
              <w:t>Accès radio/écho (280_194)</w:t>
            </w:r>
          </w:p>
        </w:tc>
      </w:tr>
      <w:tr>
        <w:tc>
          <w:tcPr>
            <w:tcW w:type="dxa" w:w="9071"/>
          </w:tcPr>
          <w:p>
            <w:r/>
            <w:r>
              <w:rPr>
                <w:sz w:val="18"/>
              </w:rPr>
              <w:t>Sanit. hand. (280_192)</w:t>
            </w:r>
          </w:p>
        </w:tc>
      </w:tr>
      <w:tr>
        <w:tc>
          <w:tcPr>
            <w:tcW w:type="dxa" w:w="9071"/>
          </w:tcPr>
          <w:p>
            <w:r/>
            <w:r>
              <w:rPr>
                <w:sz w:val="18"/>
              </w:rPr>
              <w:t>Accès accueil radio (281_190)</w:t>
            </w:r>
          </w:p>
        </w:tc>
      </w:tr>
      <w:tr>
        <w:tc>
          <w:tcPr>
            <w:tcW w:type="dxa" w:w="9071"/>
          </w:tcPr>
          <w:p>
            <w:r/>
            <w:r>
              <w:rPr>
                <w:sz w:val="18"/>
              </w:rPr>
              <w:t>PLS (282_191)</w:t>
            </w:r>
          </w:p>
        </w:tc>
      </w:tr>
      <w:tr>
        <w:tc>
          <w:tcPr>
            <w:tcW w:type="dxa" w:w="9071"/>
          </w:tcPr>
          <w:p>
            <w:r/>
            <w:r>
              <w:rPr>
                <w:sz w:val="18"/>
              </w:rPr>
              <w:t>GT (282_192)</w:t>
            </w:r>
          </w:p>
        </w:tc>
      </w:tr>
      <w:tr>
        <w:tc>
          <w:tcPr>
            <w:tcW w:type="dxa" w:w="9071"/>
          </w:tcPr>
          <w:p>
            <w:r/>
            <w:r>
              <w:rPr>
                <w:sz w:val="18"/>
              </w:rPr>
              <w:t>GT (283_193)</w:t>
            </w:r>
          </w:p>
        </w:tc>
      </w:tr>
      <w:tr>
        <w:tc>
          <w:tcPr>
            <w:tcW w:type="dxa" w:w="9071"/>
          </w:tcPr>
          <w:p>
            <w:r/>
            <w:r>
              <w:rPr>
                <w:sz w:val="18"/>
              </w:rPr>
              <w:t>Salle claire (286_190)</w:t>
            </w:r>
          </w:p>
        </w:tc>
      </w:tr>
      <w:tr>
        <w:tc>
          <w:tcPr>
            <w:tcW w:type="dxa" w:w="9071"/>
          </w:tcPr>
          <w:p>
            <w:r/>
            <w:r>
              <w:rPr>
                <w:sz w:val="18"/>
              </w:rPr>
              <w:t>Préparation patients/brancards</w:t>
            </w:r>
          </w:p>
        </w:tc>
      </w:tr>
      <w:tr>
        <w:tc>
          <w:tcPr>
            <w:tcW w:type="dxa" w:w="9071"/>
          </w:tcPr>
          <w:p>
            <w:r/>
            <w:r>
              <w:rPr>
                <w:sz w:val="18"/>
              </w:rPr>
              <w:t>Déshabilloir</w:t>
            </w:r>
          </w:p>
        </w:tc>
      </w:tr>
      <w:tr>
        <w:tc>
          <w:tcPr>
            <w:tcW w:type="dxa" w:w="9071"/>
          </w:tcPr>
          <w:p>
            <w:r/>
            <w:r>
              <w:rPr>
                <w:sz w:val="18"/>
              </w:rPr>
              <w:t>Déshabilloir (282_184)</w:t>
            </w:r>
          </w:p>
        </w:tc>
      </w:tr>
      <w:tr>
        <w:tc>
          <w:tcPr>
            <w:tcW w:type="dxa" w:w="9071"/>
          </w:tcPr>
          <w:p>
            <w:r/>
            <w:r>
              <w:rPr>
                <w:sz w:val="18"/>
              </w:rPr>
              <w:t>Scanner</w:t>
            </w:r>
          </w:p>
        </w:tc>
      </w:tr>
      <w:tr>
        <w:tc>
          <w:tcPr>
            <w:tcW w:type="dxa" w:w="9071"/>
          </w:tcPr>
          <w:p>
            <w:r/>
            <w:r>
              <w:rPr>
                <w:sz w:val="18"/>
              </w:rPr>
              <w:t>Sanitaire public (283_181)</w:t>
            </w:r>
          </w:p>
        </w:tc>
      </w:tr>
      <w:tr>
        <w:tc>
          <w:tcPr>
            <w:tcW w:type="dxa" w:w="9071"/>
          </w:tcPr>
          <w:p>
            <w:r/>
            <w:r>
              <w:rPr>
                <w:sz w:val="18"/>
              </w:rPr>
              <w:t>Sanitaire handicapés G.</w:t>
            </w:r>
          </w:p>
        </w:tc>
      </w:tr>
      <w:tr>
        <w:tc>
          <w:tcPr>
            <w:tcW w:type="dxa" w:w="9071"/>
          </w:tcPr>
          <w:p>
            <w:r/>
            <w:r>
              <w:rPr>
                <w:sz w:val="18"/>
              </w:rPr>
              <w:t>LT électrique (288_181)</w:t>
            </w:r>
          </w:p>
        </w:tc>
      </w:tr>
    </w:tbl>
    <w:p/>
    <w:tbl>
      <w:tblPr>
        <w:tblStyle w:val="TableGrid"/>
        <w:tblW w:type="auto" w:w="0"/>
        <w:jc w:val="center"/>
        <w:tblLook w:firstColumn="1" w:firstRow="1" w:lastColumn="0" w:lastRow="0" w:noHBand="0" w:noVBand="1" w:val="04A0"/>
      </w:tblPr>
      <w:tblGrid>
        <w:gridCol w:w="10200"/>
      </w:tblGrid>
      <w:tr>
        <w:tc>
          <w:tcPr>
            <w:tcW w:type="dxa" w:w="9071"/>
            <w:shd w:val="clear" w:color="auto" w:fill="C00000"/>
          </w:tcPr>
          <w:p>
            <w:r/>
            <w:r>
              <w:rPr>
                <w:b/>
                <w:color w:val="FFFFFF"/>
                <w:sz w:val="18"/>
              </w:rPr>
              <w:t>Provision spécifique</w:t>
            </w:r>
          </w:p>
        </w:tc>
      </w:tr>
      <w:tr>
        <w:tc>
          <w:tcPr>
            <w:tcW w:type="dxa" w:w="9071"/>
          </w:tcPr>
          <w:p>
            <w:r/>
            <w:r>
              <w:rPr>
                <w:sz w:val="18"/>
              </w:rPr>
              <w:t>Reprise de peinture en circulation N°5 : 70 m²</w:t>
            </w:r>
          </w:p>
        </w:tc>
      </w:tr>
    </w:tbl>
    <w:p/>
    <w:p>
      <w:pPr>
        <w:spacing w:before="240" w:after="80"/>
      </w:pPr>
      <w:r>
        <w:rPr>
          <w:b/>
          <w:color w:val="1F3A5F"/>
          <w:sz w:val="24"/>
        </w:rPr>
        <w:t>2.3. Sur boiseries (Art. IV.6.03)</w:t>
      </w:r>
    </w:p>
    <w:p>
      <w:r>
        <w:rPr>
          <w:b w:val="0"/>
          <w:i w:val="0"/>
          <w:sz w:val="21"/>
        </w:rPr>
        <w:t>Boiseries brutes, prépeintes et conservées : brossage, impression, rebouchage/ponçage, enduit repassé, finition 2 couches peinture satinée glycérophtalique — Finition A. Localisation : toutes les boiseries des locaux de l'article IV.6.02, aux deux faces.</w:t>
      </w:r>
    </w:p>
    <w:p>
      <w:pPr>
        <w:spacing w:before="240" w:after="80"/>
      </w:pPr>
      <w:r>
        <w:rPr>
          <w:b/>
          <w:color w:val="1F3A5F"/>
          <w:sz w:val="24"/>
        </w:rPr>
        <w:t>2.4. Sur métaux (Art. IV.6.04)</w:t>
      </w:r>
    </w:p>
    <w:p>
      <w:r>
        <w:rPr>
          <w:b w:val="0"/>
          <w:i w:val="0"/>
          <w:sz w:val="21"/>
        </w:rPr>
        <w:t>Métaux ferreux : brossage, dégraissage, 1 couche antirouille, finition 2 couches — Finition B. Métaux non ferreux : dégraissage, 1 couche primaire d'accrochage, finition 2 couches — Finition B. Localisation : tous ouvrages métalliques des locaux de l'article IV.6.02.</w:t>
      </w:r>
    </w:p>
    <w:p>
      <w:pPr>
        <w:spacing w:before="240" w:after="80"/>
      </w:pPr>
      <w:r>
        <w:rPr>
          <w:b/>
          <w:color w:val="1F3A5F"/>
          <w:sz w:val="24"/>
        </w:rPr>
        <w:t>2.5. Sur PVC (Art. IV.6.05)</w:t>
      </w:r>
    </w:p>
    <w:p>
      <w:r>
        <w:rPr>
          <w:b w:val="0"/>
          <w:i w:val="0"/>
          <w:sz w:val="21"/>
        </w:rPr>
        <w:t>Dégraissage, ponçage d'adhérence, 1 couche primaire d'accrochage, 1 couche peinture satinée — Finition B. Localisation : tous ouvrages PVC des locaux de l'article IV.6.02.</w:t>
      </w:r>
    </w:p>
    <w:p>
      <w:pPr>
        <w:spacing w:before="360" w:after="120"/>
        <w:pBdr>
          <w:bottom w:val="single" w:sz="8" w:space="4" w:color="2E74B5"/>
        </w:pBdr>
      </w:pPr>
      <w:r>
        <w:rPr>
          <w:b/>
          <w:color w:val="2E74B5"/>
          <w:sz w:val="28"/>
        </w:rPr>
        <w:t>3. NETTOYAGES (Art. IV.7)</w:t>
      </w:r>
    </w:p>
    <w:p>
      <w:r>
        <w:rPr>
          <w:b w:val="0"/>
          <w:i w:val="0"/>
          <w:sz w:val="21"/>
        </w:rPr>
        <w:t>En fin d'opération : nettoyage complet de l'ensemble des locaux visés au projet (sols, revêtements verticaux, quincaillerie, appareils sanitaires et électriques, vitres et menuiseries), inclus au prix global forfaitaire du lot.</w:t>
      </w:r>
    </w:p>
    <w:p>
      <w:pPr>
        <w:spacing w:before="360" w:after="120"/>
        <w:pBdr>
          <w:bottom w:val="single" w:sz="8" w:space="4" w:color="2E74B5"/>
        </w:pBdr>
      </w:pPr>
      <w:r>
        <w:rPr>
          <w:b/>
          <w:color w:val="2E74B5"/>
          <w:sz w:val="28"/>
        </w:rPr>
        <w:t>4. REVÊTEMENTS DE SOLS SOUPLES (Art. IV.8)</w:t>
      </w:r>
    </w:p>
    <w:p>
      <w:pPr>
        <w:spacing w:before="240" w:after="80"/>
      </w:pPr>
      <w:r>
        <w:rPr>
          <w:b/>
          <w:color w:val="1F3A5F"/>
          <w:sz w:val="24"/>
        </w:rPr>
        <w:t>4.1. Ragréage des aires de pose (Art. IV.8.01)</w:t>
      </w:r>
    </w:p>
    <w:p>
      <w:r>
        <w:rPr>
          <w:b w:val="0"/>
          <w:i w:val="0"/>
          <w:sz w:val="21"/>
        </w:rPr>
        <w:t>Enduit de lissage type Nivdur S (Weber) ou équivalent classement P3, épaisseur minimum 3 mm ; rattrapage des différences de niveau importantes au Cegecol PE avec primaire d'accrochage. Localisation : toute la surface des aires de pose des revêtements collés du présent lot.</w:t>
      </w:r>
    </w:p>
    <w:p>
      <w:pPr>
        <w:spacing w:before="240" w:after="80"/>
      </w:pPr>
      <w:r>
        <w:rPr>
          <w:b/>
          <w:color w:val="1F3A5F"/>
          <w:sz w:val="24"/>
        </w:rPr>
        <w:t>4.2. Colles (Art. IV.8.02)</w:t>
      </w:r>
    </w:p>
    <w:p>
      <w:r>
        <w:rPr>
          <w:b w:val="0"/>
          <w:i w:val="0"/>
          <w:sz w:val="21"/>
        </w:rPr>
        <w:t>Colles de première qualité, compatibles avec les revêtements et le support, marque soumise au Maître d'Œuvre. Pour tous les revêtements dus au présent lot.</w:t>
      </w:r>
    </w:p>
    <w:p>
      <w:pPr>
        <w:spacing w:before="240" w:after="80"/>
      </w:pPr>
      <w:r>
        <w:rPr>
          <w:b/>
          <w:color w:val="1F3A5F"/>
          <w:sz w:val="24"/>
        </w:rPr>
        <w:t>4.3. Revêtements de sols souples en lés — Taralay Impression Compact (Art. IV.8.03)</w:t>
      </w:r>
    </w:p>
    <w:p>
      <w:r>
        <w:rPr>
          <w:b w:val="0"/>
          <w:i w:val="0"/>
          <w:sz w:val="21"/>
        </w:rPr>
        <w:t>Sol PVC isophonique multicouche, ép. totale 2,00 mm (couche d'usure 0,70 mm), classement UPEC U3P3E2/3C2, réaction au feu Bfl-s1, glissance R10. Remontée en plinthe 0,10 m, profil réf. 0488 (Gerflor).</w:t>
      </w:r>
    </w:p>
    <w:tbl>
      <w:tblPr>
        <w:tblStyle w:val="TableGrid"/>
        <w:tblW w:type="auto" w:w="0"/>
        <w:jc w:val="center"/>
        <w:tblLook w:firstColumn="1" w:firstRow="1" w:lastColumn="0" w:lastRow="0" w:noHBand="0" w:noVBand="1" w:val="04A0"/>
      </w:tblPr>
      <w:tblGrid>
        <w:gridCol w:w="10200"/>
      </w:tblGrid>
      <w:tr>
        <w:tc>
          <w:tcPr>
            <w:tcW w:type="dxa" w:w="9071"/>
            <w:shd w:val="clear" w:color="auto" w:fill="2E74B5"/>
          </w:tcPr>
          <w:p>
            <w:r/>
            <w:r>
              <w:rPr>
                <w:b/>
                <w:color w:val="FFFFFF"/>
                <w:sz w:val="18"/>
              </w:rPr>
              <w:t>Locaux concernés</w:t>
            </w:r>
          </w:p>
        </w:tc>
      </w:tr>
      <w:tr>
        <w:tc>
          <w:tcPr>
            <w:tcW w:type="dxa" w:w="9071"/>
          </w:tcPr>
          <w:p>
            <w:r/>
            <w:r>
              <w:rPr>
                <w:sz w:val="18"/>
              </w:rPr>
              <w:t>LT électrique (288_181)</w:t>
            </w:r>
          </w:p>
        </w:tc>
      </w:tr>
      <w:tr>
        <w:tc>
          <w:tcPr>
            <w:tcW w:type="dxa" w:w="9071"/>
          </w:tcPr>
          <w:p>
            <w:r/>
            <w:r>
              <w:rPr>
                <w:sz w:val="18"/>
              </w:rPr>
              <w:t>Attente radio</w:t>
            </w:r>
          </w:p>
        </w:tc>
      </w:tr>
      <w:tr>
        <w:tc>
          <w:tcPr>
            <w:tcW w:type="dxa" w:w="9071"/>
          </w:tcPr>
          <w:p>
            <w:r/>
            <w:r>
              <w:rPr>
                <w:sz w:val="18"/>
              </w:rPr>
              <w:t>Sas bureau</w:t>
            </w:r>
          </w:p>
        </w:tc>
      </w:tr>
      <w:tr>
        <w:tc>
          <w:tcPr>
            <w:tcW w:type="dxa" w:w="9071"/>
          </w:tcPr>
          <w:p>
            <w:r/>
            <w:r>
              <w:rPr>
                <w:sz w:val="18"/>
              </w:rPr>
              <w:t>Salle de détente (269_188)</w:t>
            </w:r>
          </w:p>
        </w:tc>
      </w:tr>
      <w:tr>
        <w:tc>
          <w:tcPr>
            <w:tcW w:type="dxa" w:w="9071"/>
          </w:tcPr>
          <w:p>
            <w:r/>
            <w:r>
              <w:rPr>
                <w:sz w:val="18"/>
              </w:rPr>
              <w:t>Secrétariat accueil (271_186)</w:t>
            </w:r>
          </w:p>
        </w:tc>
      </w:tr>
      <w:tr>
        <w:tc>
          <w:tcPr>
            <w:tcW w:type="dxa" w:w="9071"/>
          </w:tcPr>
          <w:p>
            <w:r/>
            <w:r>
              <w:rPr>
                <w:sz w:val="18"/>
              </w:rPr>
              <w:t>Sanitaire handicapés (280_192)</w:t>
            </w:r>
          </w:p>
        </w:tc>
      </w:tr>
      <w:tr>
        <w:tc>
          <w:tcPr>
            <w:tcW w:type="dxa" w:w="9071"/>
          </w:tcPr>
          <w:p>
            <w:r/>
            <w:r>
              <w:rPr>
                <w:sz w:val="18"/>
              </w:rPr>
              <w:t>Sanitaire public (283_181)</w:t>
            </w:r>
          </w:p>
        </w:tc>
      </w:tr>
      <w:tr>
        <w:tc>
          <w:tcPr>
            <w:tcW w:type="dxa" w:w="9071"/>
          </w:tcPr>
          <w:p>
            <w:r/>
            <w:r>
              <w:rPr>
                <w:sz w:val="18"/>
              </w:rPr>
              <w:t>Sanitaire handicapés</w:t>
            </w:r>
          </w:p>
        </w:tc>
      </w:tr>
      <w:tr>
        <w:tc>
          <w:tcPr>
            <w:tcW w:type="dxa" w:w="9071"/>
          </w:tcPr>
          <w:p>
            <w:r/>
            <w:r>
              <w:rPr>
                <w:sz w:val="18"/>
              </w:rPr>
              <w:t>WC (276_185)</w:t>
            </w:r>
          </w:p>
        </w:tc>
      </w:tr>
      <w:tr>
        <w:tc>
          <w:tcPr>
            <w:tcW w:type="dxa" w:w="9071"/>
          </w:tcPr>
          <w:p>
            <w:r/>
            <w:r>
              <w:rPr>
                <w:sz w:val="18"/>
              </w:rPr>
              <w:t>Sanitaire (274_185)</w:t>
            </w:r>
          </w:p>
        </w:tc>
      </w:tr>
    </w:tbl>
    <w:p/>
    <w:p>
      <w:pPr>
        <w:spacing w:before="240" w:after="80"/>
      </w:pPr>
      <w:r>
        <w:rPr>
          <w:b/>
          <w:color w:val="1F3A5F"/>
          <w:sz w:val="24"/>
        </w:rPr>
        <w:t>4.4. Revêtements de sols souples — Mipolam Planet (Art. IV.8.04)</w:t>
      </w:r>
    </w:p>
    <w:p>
      <w:r>
        <w:rPr>
          <w:b w:val="0"/>
          <w:i w:val="0"/>
          <w:sz w:val="21"/>
        </w:rPr>
        <w:t>Sol homogène compact, ép. totale 2,00 mm, classement UPEC U3P3E2/3C2, réaction au feu Bfl-s1, glissance R9. Remontée en plinthe identique (profil réf. 0488, Gerflor).</w:t>
      </w:r>
    </w:p>
    <w:tbl>
      <w:tblPr>
        <w:tblStyle w:val="TableGrid"/>
        <w:tblW w:type="auto" w:w="0"/>
        <w:jc w:val="center"/>
        <w:tblLook w:firstColumn="1" w:firstRow="1" w:lastColumn="0" w:lastRow="0" w:noHBand="0" w:noVBand="1" w:val="04A0"/>
      </w:tblPr>
      <w:tblGrid>
        <w:gridCol w:w="10200"/>
      </w:tblGrid>
      <w:tr>
        <w:tc>
          <w:tcPr>
            <w:tcW w:type="dxa" w:w="9071"/>
            <w:shd w:val="clear" w:color="auto" w:fill="2E74B5"/>
          </w:tcPr>
          <w:p>
            <w:r/>
            <w:r>
              <w:rPr>
                <w:b/>
                <w:color w:val="FFFFFF"/>
                <w:sz w:val="18"/>
              </w:rPr>
              <w:t>Locaux concernés</w:t>
            </w:r>
          </w:p>
        </w:tc>
      </w:tr>
      <w:tr>
        <w:tc>
          <w:tcPr>
            <w:tcW w:type="dxa" w:w="9071"/>
          </w:tcPr>
          <w:p>
            <w:r/>
            <w:r>
              <w:rPr>
                <w:sz w:val="18"/>
              </w:rPr>
              <w:t>Scanner</w:t>
            </w:r>
          </w:p>
        </w:tc>
      </w:tr>
      <w:tr>
        <w:tc>
          <w:tcPr>
            <w:tcW w:type="dxa" w:w="9071"/>
          </w:tcPr>
          <w:p>
            <w:r/>
            <w:r>
              <w:rPr>
                <w:sz w:val="18"/>
              </w:rPr>
              <w:t>Salle claire (286_190)</w:t>
            </w:r>
          </w:p>
        </w:tc>
      </w:tr>
      <w:tr>
        <w:tc>
          <w:tcPr>
            <w:tcW w:type="dxa" w:w="9071"/>
          </w:tcPr>
          <w:p>
            <w:r/>
            <w:r>
              <w:rPr>
                <w:sz w:val="18"/>
              </w:rPr>
              <w:t>Accès accueil radio (281_190)</w:t>
            </w:r>
          </w:p>
        </w:tc>
      </w:tr>
      <w:tr>
        <w:tc>
          <w:tcPr>
            <w:tcW w:type="dxa" w:w="9071"/>
          </w:tcPr>
          <w:p>
            <w:r/>
            <w:r>
              <w:rPr>
                <w:sz w:val="18"/>
              </w:rPr>
              <w:t>Déshabilloir</w:t>
            </w:r>
          </w:p>
        </w:tc>
      </w:tr>
      <w:tr>
        <w:tc>
          <w:tcPr>
            <w:tcW w:type="dxa" w:w="9071"/>
          </w:tcPr>
          <w:p>
            <w:r/>
            <w:r>
              <w:rPr>
                <w:sz w:val="18"/>
              </w:rPr>
              <w:t>Déshabilloir (282-184)</w:t>
            </w:r>
          </w:p>
        </w:tc>
      </w:tr>
    </w:tbl>
    <w:p/>
    <w:p>
      <w:pPr>
        <w:spacing w:before="240" w:after="80"/>
      </w:pPr>
      <w:r>
        <w:rPr>
          <w:b/>
          <w:color w:val="1F3A5F"/>
          <w:sz w:val="24"/>
        </w:rPr>
        <w:t>4.5. Barres de seuil (Art. IV.8.05)</w:t>
      </w:r>
    </w:p>
    <w:p>
      <w:r>
        <w:rPr>
          <w:b w:val="0"/>
          <w:i w:val="0"/>
          <w:sz w:val="21"/>
        </w:rPr>
        <w:t>Fourniture et pose de barres de seuil laiton semi-bombées, 35 mm de largeur, entre revêtement de sols souples et matériaux de nature différente.</w:t>
      </w:r>
    </w:p>
    <w:p>
      <w:pPr>
        <w:spacing w:before="240" w:after="80"/>
      </w:pPr>
      <w:r>
        <w:rPr>
          <w:b/>
          <w:color w:val="1F3A5F"/>
          <w:sz w:val="24"/>
        </w:rPr>
        <w:t>4.6. Reprises ponctuelles (Art. IV.8.06)</w:t>
      </w:r>
    </w:p>
    <w:p>
      <w:r>
        <w:rPr>
          <w:b w:val="0"/>
          <w:i w:val="0"/>
          <w:sz w:val="21"/>
        </w:rPr>
        <w:t>Reprise des sols existants aux droits des bouchements de baies, ouvertures de baie et nouvelles cloisons, par reprise des plinthes et sols de même nature que l'existant, en limite des locaux touchés par l'opération.</w:t>
      </w:r>
    </w:p>
    <w:p>
      <w:pPr>
        <w:spacing w:before="360" w:after="120"/>
        <w:pBdr>
          <w:bottom w:val="single" w:sz="8" w:space="4" w:color="2E74B5"/>
        </w:pBdr>
      </w:pPr>
      <w:r>
        <w:rPr>
          <w:b/>
          <w:color w:val="2E74B5"/>
          <w:sz w:val="28"/>
        </w:rPr>
        <w:t>5. RAPPEL — VISITE DE SITE OBLIGATOIRE</w:t>
      </w:r>
    </w:p>
    <w:p>
      <w:r>
        <w:rPr>
          <w:b w:val="0"/>
          <w:i w:val="0"/>
          <w:sz w:val="21"/>
        </w:rPr>
        <w:t>Le CCTP (Art. III.1) rappelle que la visite des lieux est obligatoire avant remise de l'offre : « Les entreprises devront impérativement se rendre sur place avant la remise de leur proposition. Elles ne sauraient se prévaloir postérieurement à la conclusion du marché, d'une connaissance insuffisante des sites, lieux, conditions d'exécution. » Le certificat de visite dûment rempli et contresigné par le représentant du site est à joindre à l'offre.</w:t>
      </w:r>
    </w:p>
    <w:p/>
    <w:p>
      <w:r>
        <w:rPr>
          <w:i/>
          <w:color w:val="595959"/>
          <w:sz w:val="17"/>
        </w:rPr>
        <w:t>Liste établie à partir du CCTP Lot 03 (Article IV — Description des ouvrages), pièce contractuelle de référence en cas de doute sur la consistance exacte des travaux.</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