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Mémoire Technique — Lot 03</w:t>
      </w:r>
    </w:p>
    <w:p>
      <w:r>
        <w:rPr>
          <w:i/>
          <w:color w:val="595959"/>
          <w:sz w:val="24"/>
        </w:rPr>
        <w:t>Faux Plafonds — Peinture — Sols Souples</w:t>
      </w:r>
    </w:p>
    <w:p>
      <w:r>
        <w:rPr>
          <w:b/>
          <w:i w:val="0"/>
          <w:color w:val="2E74B5"/>
          <w:sz w:val="24"/>
        </w:rPr>
        <w:t>26 RMB 41 TVX — Travaux pour la création d'un nouveau scanner à l'hôpital René Muret (AP-HP HUPSSD)</w:t>
      </w:r>
    </w:p>
    <w:p>
      <w:r>
        <w:rPr>
          <w:b w:val="0"/>
          <w:i/>
          <w:color w:val="595959"/>
          <w:sz w:val="21"/>
        </w:rPr>
        <w:t>Chapitre 7 — Engagements de France Décoration</w:t>
      </w:r>
    </w:p>
    <w:p>
      <w:r>
        <w:rPr>
          <w:b w:val="0"/>
          <w:i/>
          <w:color w:val="595959"/>
          <w:sz w:val="19"/>
        </w:rPr>
        <w:t>Établi par France Décoration — Livry-Gargan</w:t>
      </w:r>
    </w:p>
    <w:p/>
    <w:p>
      <w:pPr>
        <w:spacing w:before="360" w:after="120"/>
        <w:pBdr>
          <w:bottom w:val="single" w:sz="8" w:space="4" w:color="2E74B5"/>
        </w:pBdr>
      </w:pPr>
      <w:r>
        <w:rPr>
          <w:b/>
          <w:color w:val="2E74B5"/>
          <w:sz w:val="28"/>
        </w:rPr>
        <w:t>7. ENGAGEMENTS DE FRANCE DÉCORATION</w:t>
      </w:r>
    </w:p>
    <w:p>
      <w:r>
        <w:rPr>
          <w:b w:val="0"/>
          <w:i w:val="0"/>
          <w:sz w:val="21"/>
        </w:rPr>
        <w:t>France Décoration formalise dans le présent chapitre six engagements fermes, chiffrés et vérifiables, pris pour la réalisation du Lot 3 de l'opération de création du nouveau scanner de l'hôpital René Muret. Chaque engagement est assorti d'indicateurs de suivi, d'un mode de preuve et, le cas échéant, d'un délai de réaction garanti, permettant à l'AP-HP et à la Maîtrise d'Œuvre d'en vérifier la tenue tout au long du chantier.</w:t>
      </w:r>
    </w:p>
    <w:p>
      <w:pPr>
        <w:spacing w:before="240" w:after="80"/>
      </w:pPr>
      <w:r>
        <w:rPr>
          <w:b/>
          <w:color w:val="1F3A5F"/>
          <w:sz w:val="24"/>
        </w:rPr>
        <w:t>7.1. Respect des délais</w:t>
      </w:r>
    </w:p>
    <w:p>
      <w:r>
        <w:rPr>
          <w:b w:val="0"/>
          <w:i w:val="0"/>
          <w:sz w:val="21"/>
        </w:rPr>
        <w:t>France Décoration s'engage à réaliser l'intégralité des prestations du Lot 3 dans le délai contractuel de 45 jours calendaires, selon le planning détaillé au chapitre 5, sans recours à une prolongation de délai imputable à notre organisation.</w:t>
      </w:r>
    </w:p>
    <w:tbl>
      <w:tblPr>
        <w:tblStyle w:val="TableGrid"/>
        <w:tblW w:type="auto" w:w="0"/>
        <w:jc w:val="center"/>
        <w:tblLook w:firstColumn="1" w:firstRow="1" w:lastColumn="0" w:lastRow="0" w:noHBand="0" w:noVBand="1" w:val="04A0"/>
      </w:tblPr>
      <w:tblGrid>
        <w:gridCol w:w="3400"/>
        <w:gridCol w:w="3400"/>
        <w:gridCol w:w="3400"/>
      </w:tblGrid>
      <w:tr>
        <w:tc>
          <w:tcPr>
            <w:tcW w:type="dxa" w:w="3402"/>
            <w:shd w:val="clear" w:color="auto" w:fill="2E74B5"/>
          </w:tcPr>
          <w:p>
            <w:r/>
            <w:r>
              <w:rPr>
                <w:b/>
                <w:color w:val="FFFFFF"/>
                <w:sz w:val="18"/>
              </w:rPr>
              <w:t>Jalon</w:t>
            </w:r>
          </w:p>
        </w:tc>
        <w:tc>
          <w:tcPr>
            <w:tcW w:type="dxa" w:w="1984"/>
            <w:shd w:val="clear" w:color="auto" w:fill="2E74B5"/>
          </w:tcPr>
          <w:p>
            <w:r/>
            <w:r>
              <w:rPr>
                <w:b/>
                <w:color w:val="FFFFFF"/>
                <w:sz w:val="18"/>
              </w:rPr>
              <w:t>Échéance planning</w:t>
            </w:r>
          </w:p>
        </w:tc>
        <w:tc>
          <w:tcPr>
            <w:tcW w:type="dxa" w:w="3118"/>
            <w:shd w:val="clear" w:color="auto" w:fill="2E74B5"/>
          </w:tcPr>
          <w:p>
            <w:r/>
            <w:r>
              <w:rPr>
                <w:b/>
                <w:color w:val="FFFFFF"/>
                <w:sz w:val="18"/>
              </w:rPr>
              <w:t>Engagement</w:t>
            </w:r>
          </w:p>
        </w:tc>
      </w:tr>
      <w:tr>
        <w:tc>
          <w:tcPr>
            <w:tcW w:type="dxa" w:w="3402"/>
          </w:tcPr>
          <w:p>
            <w:r/>
            <w:r>
              <w:rPr>
                <w:sz w:val="18"/>
              </w:rPr>
              <w:t>Notification du marché → remise des documents de préparation</w:t>
            </w:r>
          </w:p>
        </w:tc>
        <w:tc>
          <w:tcPr>
            <w:tcW w:type="dxa" w:w="1984"/>
          </w:tcPr>
          <w:p>
            <w:r/>
            <w:r>
              <w:rPr>
                <w:sz w:val="18"/>
              </w:rPr>
              <w:t>Mois 1 - S4 (1 semaine)</w:t>
            </w:r>
          </w:p>
        </w:tc>
        <w:tc>
          <w:tcPr>
            <w:tcW w:type="dxa" w:w="3118"/>
          </w:tcPr>
          <w:p>
            <w:r/>
            <w:r>
              <w:rPr>
                <w:sz w:val="18"/>
              </w:rPr>
              <w:t>PPSPS, PAQ et plans d'exécution remis avant ouverture de la fenêtre d'intervention</w:t>
            </w:r>
          </w:p>
        </w:tc>
      </w:tr>
      <w:tr>
        <w:tc>
          <w:tcPr>
            <w:tcW w:type="dxa" w:w="3402"/>
          </w:tcPr>
          <w:p>
            <w:r/>
            <w:r>
              <w:rPr>
                <w:sz w:val="18"/>
              </w:rPr>
              <w:t>Démarrage des travaux de faux plafonds</w:t>
            </w:r>
          </w:p>
        </w:tc>
        <w:tc>
          <w:tcPr>
            <w:tcW w:type="dxa" w:w="1984"/>
          </w:tcPr>
          <w:p>
            <w:r/>
            <w:r>
              <w:rPr>
                <w:sz w:val="18"/>
              </w:rPr>
              <w:t>Mois 4 - S1</w:t>
            </w:r>
          </w:p>
        </w:tc>
        <w:tc>
          <w:tcPr>
            <w:tcW w:type="dxa" w:w="3118"/>
          </w:tcPr>
          <w:p>
            <w:r/>
            <w:r>
              <w:rPr>
                <w:sz w:val="18"/>
              </w:rPr>
              <w:t>Démarrage sans délai dès mise à disposition des supports par les lots amont</w:t>
            </w:r>
          </w:p>
        </w:tc>
      </w:tr>
      <w:tr>
        <w:tc>
          <w:tcPr>
            <w:tcW w:type="dxa" w:w="3402"/>
          </w:tcPr>
          <w:p>
            <w:r/>
            <w:r>
              <w:rPr>
                <w:sz w:val="18"/>
              </w:rPr>
              <w:t>Achèvement des travaux de peinture</w:t>
            </w:r>
          </w:p>
        </w:tc>
        <w:tc>
          <w:tcPr>
            <w:tcW w:type="dxa" w:w="1984"/>
          </w:tcPr>
          <w:p>
            <w:r/>
            <w:r>
              <w:rPr>
                <w:sz w:val="18"/>
              </w:rPr>
              <w:t>Fin Mois 4 - S2</w:t>
            </w:r>
          </w:p>
        </w:tc>
        <w:tc>
          <w:tcPr>
            <w:tcW w:type="dxa" w:w="3118"/>
          </w:tcPr>
          <w:p>
            <w:r/>
            <w:r>
              <w:rPr>
                <w:sz w:val="18"/>
              </w:rPr>
              <w:t>Aucun report sur la phase sols souples</w:t>
            </w:r>
          </w:p>
        </w:tc>
      </w:tr>
      <w:tr>
        <w:tc>
          <w:tcPr>
            <w:tcW w:type="dxa" w:w="3402"/>
          </w:tcPr>
          <w:p>
            <w:r/>
            <w:r>
              <w:rPr>
                <w:sz w:val="18"/>
              </w:rPr>
              <w:t>Achèvement des travaux de sols souples</w:t>
            </w:r>
          </w:p>
        </w:tc>
        <w:tc>
          <w:tcPr>
            <w:tcW w:type="dxa" w:w="1984"/>
          </w:tcPr>
          <w:p>
            <w:r/>
            <w:r>
              <w:rPr>
                <w:sz w:val="18"/>
              </w:rPr>
              <w:t>Fin Mois 4 - S3</w:t>
            </w:r>
          </w:p>
        </w:tc>
        <w:tc>
          <w:tcPr>
            <w:tcW w:type="dxa" w:w="3118"/>
          </w:tcPr>
          <w:p>
            <w:r/>
            <w:r>
              <w:rPr>
                <w:sz w:val="18"/>
              </w:rPr>
              <w:t>Libération des zones pour la marge de sécurité</w:t>
            </w:r>
          </w:p>
        </w:tc>
      </w:tr>
      <w:tr>
        <w:tc>
          <w:tcPr>
            <w:tcW w:type="dxa" w:w="3402"/>
          </w:tcPr>
          <w:p>
            <w:r/>
            <w:r>
              <w:rPr>
                <w:sz w:val="18"/>
              </w:rPr>
              <w:t>Opérations Préalables à la Réception</w:t>
            </w:r>
          </w:p>
        </w:tc>
        <w:tc>
          <w:tcPr>
            <w:tcW w:type="dxa" w:w="1984"/>
          </w:tcPr>
          <w:p>
            <w:r/>
            <w:r>
              <w:rPr>
                <w:sz w:val="18"/>
              </w:rPr>
              <w:t>Mois 5 - S4 (Jour 2)</w:t>
            </w:r>
          </w:p>
        </w:tc>
        <w:tc>
          <w:tcPr>
            <w:tcW w:type="dxa" w:w="3118"/>
          </w:tcPr>
          <w:p>
            <w:r/>
            <w:r>
              <w:rPr>
                <w:sz w:val="18"/>
              </w:rPr>
              <w:t>Organisées sans report, sur la base des autocontrôles continus (cf. chapitre 2, § 2.11)</w:t>
            </w:r>
          </w:p>
        </w:tc>
      </w:tr>
      <w:tr>
        <w:tc>
          <w:tcPr>
            <w:tcW w:type="dxa" w:w="3402"/>
          </w:tcPr>
          <w:p>
            <w:r/>
            <w:r>
              <w:rPr>
                <w:sz w:val="18"/>
              </w:rPr>
              <w:t>Levée des réserves et remise du DOE</w:t>
            </w:r>
          </w:p>
        </w:tc>
        <w:tc>
          <w:tcPr>
            <w:tcW w:type="dxa" w:w="1984"/>
          </w:tcPr>
          <w:p>
            <w:r/>
            <w:r>
              <w:rPr>
                <w:sz w:val="18"/>
              </w:rPr>
              <w:t>Mois 5 - S4 (Jour 3)</w:t>
            </w:r>
          </w:p>
        </w:tc>
        <w:tc>
          <w:tcPr>
            <w:tcW w:type="dxa" w:w="3118"/>
          </w:tcPr>
          <w:p>
            <w:r/>
            <w:r>
              <w:rPr>
                <w:sz w:val="18"/>
              </w:rPr>
              <w:t>Clôture du lot dans le délai contractuel de 45 jours</w:t>
            </w:r>
          </w:p>
        </w:tc>
      </w:tr>
    </w:tbl>
    <w:p/>
    <w:p>
      <w:pPr>
        <w:pStyle w:val="ListBullet"/>
      </w:pPr>
      <w:r>
        <w:t>effectifs modulables de 2 à 5 personnes par phase de production, mobilisables sans délai en cas d'aléa (cf. chapitre 5, § 5.7 et § 5.9) ;</w:t>
      </w:r>
    </w:p>
    <w:p>
      <w:pPr>
        <w:pStyle w:val="ListBullet"/>
      </w:pPr>
      <w:r>
        <w:t>marge de sécurité de quatre semaines (Mois 4 - S4 à Mois 5 - S3) intégrée au planning avant la clôture du lot (cf. chapitre 5, § 5.8) ;</w:t>
      </w:r>
    </w:p>
    <w:p>
      <w:pPr>
        <w:pStyle w:val="ListBullet"/>
      </w:pPr>
      <w:r>
        <w:t>point d'avancement hebdomadaire systématique avec la MOE lors des réunions de chantier, permettant une alerte précoce en cas d'écart (cf. chapitre 5, § 5.5) ;</w:t>
      </w:r>
    </w:p>
    <w:p>
      <w:pPr>
        <w:pStyle w:val="ListBullet"/>
      </w:pPr>
      <w:r>
        <w:t>reporting d'avancement chiffré (% de tâches réalisées par phase) transmis chaque semaine au Conducteur d'Opération.</w:t>
      </w:r>
    </w:p>
    <w:tbl>
      <w:tblPr>
        <w:tblStyle w:val="TableGrid"/>
        <w:tblW w:type="auto" w:w="0"/>
        <w:tblLook w:firstColumn="1" w:firstRow="1" w:lastColumn="0" w:lastRow="0" w:noHBand="0" w:noVBand="1" w:val="04A0"/>
      </w:tblPr>
      <w:tblGrid>
        <w:gridCol w:w="10200"/>
      </w:tblGrid>
      <w:tr>
        <w:tc>
          <w:tcPr>
            <w:tcW w:type="dxa" w:w="10200"/>
            <w:shd w:val="clear" w:color="auto" w:fill="EAF1FA"/>
          </w:tcPr>
          <w:p>
            <w:r/>
            <w:r>
              <w:rPr>
                <w:b/>
                <w:color w:val="2E74B5"/>
                <w:sz w:val="19"/>
              </w:rPr>
              <w:t xml:space="preserve">Engagement France Décoration — </w:t>
            </w:r>
            <w:r>
              <w:rPr>
                <w:color w:val="1F3A5F"/>
                <w:sz w:val="19"/>
              </w:rPr>
              <w:t>0 jour de dépassement du délai contractuel de 45 jours imputable à France Décoration, et 0 pénalité de retard visée sur la durée du chantier (cf. chapitre 1, § 1.5.2).</w:t>
            </w:r>
          </w:p>
        </w:tc>
      </w:tr>
    </w:tbl>
    <w:p/>
    <w:p>
      <w:pPr>
        <w:spacing w:before="240" w:after="80"/>
      </w:pPr>
      <w:r>
        <w:rPr>
          <w:b/>
          <w:color w:val="1F3A5F"/>
          <w:sz w:val="24"/>
        </w:rPr>
        <w:t>7.2. Respect des exigences hospitalières</w:t>
      </w:r>
    </w:p>
    <w:p>
      <w:r>
        <w:rPr>
          <w:b w:val="0"/>
          <w:i w:val="0"/>
          <w:sz w:val="21"/>
        </w:rPr>
        <w:t>France Décoration s'engage à adapter en permanence son organisation de chantier aux contraintes d'un établissement de santé en pleine activité, sans jamais compromettre la continuité des soins, la sécurité ni le confort des patients et des personnels.</w:t>
      </w:r>
    </w:p>
    <w:tbl>
      <w:tblPr>
        <w:tblStyle w:val="TableGrid"/>
        <w:tblW w:type="auto" w:w="0"/>
        <w:jc w:val="center"/>
        <w:tblLook w:firstColumn="1" w:firstRow="1" w:lastColumn="0" w:lastRow="0" w:noHBand="0" w:noVBand="1" w:val="04A0"/>
      </w:tblPr>
      <w:tblGrid>
        <w:gridCol w:w="3400"/>
        <w:gridCol w:w="3400"/>
        <w:gridCol w:w="3400"/>
      </w:tblGrid>
      <w:tr>
        <w:tc>
          <w:tcPr>
            <w:tcW w:type="dxa" w:w="2551"/>
            <w:shd w:val="clear" w:color="auto" w:fill="2E74B5"/>
          </w:tcPr>
          <w:p>
            <w:r/>
            <w:r>
              <w:rPr>
                <w:b/>
                <w:color w:val="FFFFFF"/>
                <w:sz w:val="18"/>
              </w:rPr>
              <w:t>Exigence hospitalière</w:t>
            </w:r>
          </w:p>
        </w:tc>
        <w:tc>
          <w:tcPr>
            <w:tcW w:type="dxa" w:w="3969"/>
            <w:shd w:val="clear" w:color="auto" w:fill="2E74B5"/>
          </w:tcPr>
          <w:p>
            <w:r/>
            <w:r>
              <w:rPr>
                <w:b/>
                <w:color w:val="FFFFFF"/>
                <w:sz w:val="18"/>
              </w:rPr>
              <w:t>Engagement France Décoration</w:t>
            </w:r>
          </w:p>
        </w:tc>
        <w:tc>
          <w:tcPr>
            <w:tcW w:type="dxa" w:w="1984"/>
            <w:shd w:val="clear" w:color="auto" w:fill="2E74B5"/>
          </w:tcPr>
          <w:p>
            <w:r/>
            <w:r>
              <w:rPr>
                <w:b/>
                <w:color w:val="FFFFFF"/>
                <w:sz w:val="18"/>
              </w:rPr>
              <w:t>Référence</w:t>
            </w:r>
          </w:p>
        </w:tc>
      </w:tr>
      <w:tr>
        <w:tc>
          <w:tcPr>
            <w:tcW w:type="dxa" w:w="2551"/>
          </w:tcPr>
          <w:p>
            <w:r/>
            <w:r>
              <w:rPr>
                <w:sz w:val="18"/>
              </w:rPr>
              <w:t>Continuité de l'activité de soins</w:t>
            </w:r>
          </w:p>
        </w:tc>
        <w:tc>
          <w:tcPr>
            <w:tcW w:type="dxa" w:w="3969"/>
          </w:tcPr>
          <w:p>
            <w:r/>
            <w:r>
              <w:rPr>
                <w:sz w:val="18"/>
              </w:rPr>
              <w:t>Plages horaires d'intervention et de livraison validées préalablement avec l'exploitant ; interventions bruyantes signalées 48 h à l'avance</w:t>
            </w:r>
          </w:p>
        </w:tc>
        <w:tc>
          <w:tcPr>
            <w:tcW w:type="dxa" w:w="1984"/>
          </w:tcPr>
          <w:p>
            <w:r/>
            <w:r>
              <w:rPr>
                <w:sz w:val="18"/>
              </w:rPr>
              <w:t>Chapitre 1, § 1.5 ; chapitre 6, § 6.1.1</w:t>
            </w:r>
          </w:p>
        </w:tc>
      </w:tr>
      <w:tr>
        <w:tc>
          <w:tcPr>
            <w:tcW w:type="dxa" w:w="2551"/>
          </w:tcPr>
          <w:p>
            <w:r/>
            <w:r>
              <w:rPr>
                <w:sz w:val="18"/>
              </w:rPr>
              <w:t>Maîtrise de l'empoussièrement</w:t>
            </w:r>
          </w:p>
        </w:tc>
        <w:tc>
          <w:tcPr>
            <w:tcW w:type="dxa" w:w="3969"/>
          </w:tcPr>
          <w:p>
            <w:r/>
            <w:r>
              <w:rPr>
                <w:sz w:val="18"/>
              </w:rPr>
              <w:t>Confinement dynamique, outillage à aspiration intégrée, empoussièrement maintenu sous les seuils réglementaires (5 fibres/L) en zones adjacentes occupées</w:t>
            </w:r>
          </w:p>
        </w:tc>
        <w:tc>
          <w:tcPr>
            <w:tcW w:type="dxa" w:w="1984"/>
          </w:tcPr>
          <w:p>
            <w:r/>
            <w:r>
              <w:rPr>
                <w:sz w:val="18"/>
              </w:rPr>
              <w:t>Chapitre 2, § 2.5 ; chapitre 6, § 6.1.2</w:t>
            </w:r>
          </w:p>
        </w:tc>
      </w:tr>
      <w:tr>
        <w:tc>
          <w:tcPr>
            <w:tcW w:type="dxa" w:w="2551"/>
          </w:tcPr>
          <w:p>
            <w:r/>
            <w:r>
              <w:rPr>
                <w:sz w:val="18"/>
              </w:rPr>
              <w:t>Sécurité vis-à-vis des matériaux amiantés (bâtiment ancien)</w:t>
            </w:r>
          </w:p>
        </w:tc>
        <w:tc>
          <w:tcPr>
            <w:tcW w:type="dxa" w:w="3969"/>
          </w:tcPr>
          <w:p>
            <w:r/>
            <w:r>
              <w:rPr>
                <w:sz w:val="18"/>
              </w:rPr>
              <w:t>Encadrement certifié Sous-section 4 (SS4) sur l'ensemble des postes clés (Conducteur de Travaux et Chef de Chantier)</w:t>
            </w:r>
          </w:p>
        </w:tc>
        <w:tc>
          <w:tcPr>
            <w:tcW w:type="dxa" w:w="1984"/>
          </w:tcPr>
          <w:p>
            <w:r/>
            <w:r>
              <w:rPr>
                <w:sz w:val="18"/>
              </w:rPr>
              <w:t>Chapitre 3, § 3.4</w:t>
            </w:r>
          </w:p>
        </w:tc>
      </w:tr>
      <w:tr>
        <w:tc>
          <w:tcPr>
            <w:tcW w:type="dxa" w:w="2551"/>
          </w:tcPr>
          <w:p>
            <w:r/>
            <w:r>
              <w:rPr>
                <w:sz w:val="18"/>
              </w:rPr>
              <w:t>Propreté permanente des circulations</w:t>
            </w:r>
          </w:p>
        </w:tc>
        <w:tc>
          <w:tcPr>
            <w:tcW w:type="dxa" w:w="3969"/>
          </w:tcPr>
          <w:p>
            <w:r/>
            <w:r>
              <w:rPr>
                <w:sz w:val="18"/>
              </w:rPr>
              <w:t>Nettoyage de fin de poste quotidien systématique sur chaque zone d'intervention</w:t>
            </w:r>
          </w:p>
        </w:tc>
        <w:tc>
          <w:tcPr>
            <w:tcW w:type="dxa" w:w="1984"/>
          </w:tcPr>
          <w:p>
            <w:r/>
            <w:r>
              <w:rPr>
                <w:sz w:val="18"/>
              </w:rPr>
              <w:t>Chapitre 2, § 2.6</w:t>
            </w:r>
          </w:p>
        </w:tc>
      </w:tr>
      <w:tr>
        <w:tc>
          <w:tcPr>
            <w:tcW w:type="dxa" w:w="2551"/>
          </w:tcPr>
          <w:p>
            <w:r/>
            <w:r>
              <w:rPr>
                <w:sz w:val="18"/>
              </w:rPr>
              <w:t>Protection des patients et du mobilier hospitalier</w:t>
            </w:r>
          </w:p>
        </w:tc>
        <w:tc>
          <w:tcPr>
            <w:tcW w:type="dxa" w:w="3969"/>
          </w:tcPr>
          <w:p>
            <w:r/>
            <w:r>
              <w:rPr>
                <w:sz w:val="18"/>
              </w:rPr>
              <w:t>Confinement, housses de protection, signalétique de balisage sur toutes les zones adjacentes</w:t>
            </w:r>
          </w:p>
        </w:tc>
        <w:tc>
          <w:tcPr>
            <w:tcW w:type="dxa" w:w="1984"/>
          </w:tcPr>
          <w:p>
            <w:r/>
            <w:r>
              <w:rPr>
                <w:sz w:val="18"/>
              </w:rPr>
              <w:t>Chapitre 2, § 2.5</w:t>
            </w:r>
          </w:p>
        </w:tc>
      </w:tr>
      <w:tr>
        <w:tc>
          <w:tcPr>
            <w:tcW w:type="dxa" w:w="2551"/>
          </w:tcPr>
          <w:p>
            <w:r/>
            <w:r>
              <w:rPr>
                <w:sz w:val="18"/>
              </w:rPr>
              <w:t>Coordination avec les équipes soignantes</w:t>
            </w:r>
          </w:p>
        </w:tc>
        <w:tc>
          <w:tcPr>
            <w:tcW w:type="dxa" w:w="3969"/>
          </w:tcPr>
          <w:p>
            <w:r/>
            <w:r>
              <w:rPr>
                <w:sz w:val="18"/>
              </w:rPr>
              <w:t>Interlocuteur unique identifié pour toute demande de report ou d'adaptation ponctuelle des interventions</w:t>
            </w:r>
          </w:p>
        </w:tc>
        <w:tc>
          <w:tcPr>
            <w:tcW w:type="dxa" w:w="1984"/>
          </w:tcPr>
          <w:p>
            <w:r/>
            <w:r>
              <w:rPr>
                <w:sz w:val="18"/>
              </w:rPr>
              <w:t>Chapitre 3, § 3.2</w:t>
            </w:r>
          </w:p>
        </w:tc>
      </w:tr>
    </w:tbl>
    <w:p/>
    <w:tbl>
      <w:tblPr>
        <w:tblStyle w:val="TableGrid"/>
        <w:tblW w:type="auto" w:w="0"/>
        <w:tblLook w:firstColumn="1" w:firstRow="1" w:lastColumn="0" w:lastRow="0" w:noHBand="0" w:noVBand="1" w:val="04A0"/>
      </w:tblPr>
      <w:tblGrid>
        <w:gridCol w:w="10200"/>
      </w:tblGrid>
      <w:tr>
        <w:tc>
          <w:tcPr>
            <w:tcW w:type="dxa" w:w="10200"/>
            <w:shd w:val="clear" w:color="auto" w:fill="EAF1FA"/>
          </w:tcPr>
          <w:p>
            <w:r/>
            <w:r>
              <w:rPr>
                <w:b/>
                <w:color w:val="2E74B5"/>
                <w:sz w:val="19"/>
              </w:rPr>
              <w:t xml:space="preserve">Engagement France Décoration — </w:t>
            </w:r>
            <w:r>
              <w:rPr>
                <w:color w:val="1F3A5F"/>
                <w:sz w:val="19"/>
              </w:rPr>
              <w:t>100% des interventions bruyantes ou générant un empoussièrement notifiées à l'exploitant au moins 48 h à l'avance, et 0 interruption de l'activité de soins imputable au chantier.</w:t>
            </w:r>
          </w:p>
        </w:tc>
      </w:tr>
    </w:tbl>
    <w:p/>
    <w:p>
      <w:pPr>
        <w:spacing w:before="240" w:after="80"/>
      </w:pPr>
      <w:r>
        <w:rPr>
          <w:b/>
          <w:color w:val="1F3A5F"/>
          <w:sz w:val="24"/>
        </w:rPr>
        <w:t>7.3. Qualité et conformité des ouvrages</w:t>
      </w:r>
    </w:p>
    <w:p>
      <w:r>
        <w:rPr>
          <w:b w:val="0"/>
          <w:i w:val="0"/>
          <w:sz w:val="21"/>
        </w:rPr>
        <w:t>France Décoration s'engage sur la conformité intégrale des ouvrages réalisés aux prescriptions du CCTP et aux normes en vigueur, à partir de produits exclusivement issus de son dossier de fiches techniques (cf. chapitre 4), et sur un dispositif de contrôle qualité continu.</w:t>
      </w:r>
    </w:p>
    <w:tbl>
      <w:tblPr>
        <w:tblStyle w:val="TableGrid"/>
        <w:tblW w:type="auto" w:w="0"/>
        <w:jc w:val="center"/>
        <w:tblLook w:firstColumn="1" w:firstRow="1" w:lastColumn="0" w:lastRow="0" w:noHBand="0" w:noVBand="1" w:val="04A0"/>
      </w:tblPr>
      <w:tblGrid>
        <w:gridCol w:w="3400"/>
        <w:gridCol w:w="3400"/>
        <w:gridCol w:w="3400"/>
      </w:tblGrid>
      <w:tr>
        <w:tc>
          <w:tcPr>
            <w:tcW w:type="dxa" w:w="3685"/>
            <w:shd w:val="clear" w:color="auto" w:fill="2E74B5"/>
          </w:tcPr>
          <w:p>
            <w:r/>
            <w:r>
              <w:rPr>
                <w:b/>
                <w:color w:val="FFFFFF"/>
                <w:sz w:val="18"/>
              </w:rPr>
              <w:t>Dispositif de contrôle</w:t>
            </w:r>
          </w:p>
        </w:tc>
        <w:tc>
          <w:tcPr>
            <w:tcW w:type="dxa" w:w="2835"/>
            <w:shd w:val="clear" w:color="auto" w:fill="2E74B5"/>
          </w:tcPr>
          <w:p>
            <w:r/>
            <w:r>
              <w:rPr>
                <w:b/>
                <w:color w:val="FFFFFF"/>
                <w:sz w:val="18"/>
              </w:rPr>
              <w:t>Fréquence</w:t>
            </w:r>
          </w:p>
        </w:tc>
        <w:tc>
          <w:tcPr>
            <w:tcW w:type="dxa" w:w="2268"/>
            <w:shd w:val="clear" w:color="auto" w:fill="2E74B5"/>
          </w:tcPr>
          <w:p>
            <w:r/>
            <w:r>
              <w:rPr>
                <w:b/>
                <w:color w:val="FFFFFF"/>
                <w:sz w:val="18"/>
              </w:rPr>
              <w:t>Objectif chiffré</w:t>
            </w:r>
          </w:p>
        </w:tc>
      </w:tr>
      <w:tr>
        <w:tc>
          <w:tcPr>
            <w:tcW w:type="dxa" w:w="3685"/>
          </w:tcPr>
          <w:p>
            <w:r/>
            <w:r>
              <w:rPr>
                <w:sz w:val="18"/>
              </w:rPr>
              <w:t>Autocontrôles par corps de métier</w:t>
            </w:r>
          </w:p>
        </w:tc>
        <w:tc>
          <w:tcPr>
            <w:tcW w:type="dxa" w:w="2835"/>
          </w:tcPr>
          <w:p>
            <w:r/>
            <w:r>
              <w:rPr>
                <w:sz w:val="18"/>
              </w:rPr>
              <w:t>À chaque étape avant passage à la phase suivante</w:t>
            </w:r>
          </w:p>
        </w:tc>
        <w:tc>
          <w:tcPr>
            <w:tcW w:type="dxa" w:w="2268"/>
          </w:tcPr>
          <w:p>
            <w:r/>
            <w:r>
              <w:rPr>
                <w:sz w:val="18"/>
              </w:rPr>
              <w:t>100% des étapes contrôlées avant validation</w:t>
            </w:r>
          </w:p>
        </w:tc>
      </w:tr>
      <w:tr>
        <w:tc>
          <w:tcPr>
            <w:tcW w:type="dxa" w:w="3685"/>
          </w:tcPr>
          <w:p>
            <w:r/>
            <w:r>
              <w:rPr>
                <w:sz w:val="18"/>
              </w:rPr>
              <w:t>Contrôle de conformité des produits (fiches techniques, FDS, PV)</w:t>
            </w:r>
          </w:p>
        </w:tc>
        <w:tc>
          <w:tcPr>
            <w:tcW w:type="dxa" w:w="2835"/>
          </w:tcPr>
          <w:p>
            <w:r/>
            <w:r>
              <w:rPr>
                <w:sz w:val="18"/>
              </w:rPr>
              <w:t>À réception de chaque livraison</w:t>
            </w:r>
          </w:p>
        </w:tc>
        <w:tc>
          <w:tcPr>
            <w:tcW w:type="dxa" w:w="2268"/>
          </w:tcPr>
          <w:p>
            <w:r/>
            <w:r>
              <w:rPr>
                <w:sz w:val="18"/>
              </w:rPr>
              <w:t>100% des produits tracés et validés par la MOE avant mise en œuvre</w:t>
            </w:r>
          </w:p>
        </w:tc>
      </w:tr>
      <w:tr>
        <w:tc>
          <w:tcPr>
            <w:tcW w:type="dxa" w:w="3685"/>
          </w:tcPr>
          <w:p>
            <w:r/>
            <w:r>
              <w:rPr>
                <w:sz w:val="18"/>
              </w:rPr>
              <w:t>Contrôle des supports avant mise en œuvre</w:t>
            </w:r>
          </w:p>
        </w:tc>
        <w:tc>
          <w:tcPr>
            <w:tcW w:type="dxa" w:w="2835"/>
          </w:tcPr>
          <w:p>
            <w:r/>
            <w:r>
              <w:rPr>
                <w:sz w:val="18"/>
              </w:rPr>
              <w:t>Avant chaque phase (plafonds, peinture, sols)</w:t>
            </w:r>
          </w:p>
        </w:tc>
        <w:tc>
          <w:tcPr>
            <w:tcW w:type="dxa" w:w="2268"/>
          </w:tcPr>
          <w:p>
            <w:r/>
            <w:r>
              <w:rPr>
                <w:sz w:val="18"/>
              </w:rPr>
              <w:t>0 mise en œuvre sur support non conforme</w:t>
            </w:r>
          </w:p>
        </w:tc>
      </w:tr>
      <w:tr>
        <w:tc>
          <w:tcPr>
            <w:tcW w:type="dxa" w:w="3685"/>
          </w:tcPr>
          <w:p>
            <w:r/>
            <w:r>
              <w:rPr>
                <w:sz w:val="18"/>
              </w:rPr>
              <w:t>Opérations Préalables à la Réception (OPR)</w:t>
            </w:r>
          </w:p>
        </w:tc>
        <w:tc>
          <w:tcPr>
            <w:tcW w:type="dxa" w:w="2835"/>
          </w:tcPr>
          <w:p>
            <w:r/>
            <w:r>
              <w:rPr>
                <w:sz w:val="18"/>
              </w:rPr>
              <w:t>Fin de chantier (Mois 5 - S4)</w:t>
            </w:r>
          </w:p>
        </w:tc>
        <w:tc>
          <w:tcPr>
            <w:tcW w:type="dxa" w:w="2268"/>
          </w:tcPr>
          <w:p>
            <w:r/>
            <w:r>
              <w:rPr>
                <w:sz w:val="18"/>
              </w:rPr>
              <w:t>Objectif de 0 réserve bloquante</w:t>
            </w:r>
          </w:p>
        </w:tc>
      </w:tr>
      <w:tr>
        <w:tc>
          <w:tcPr>
            <w:tcW w:type="dxa" w:w="3685"/>
          </w:tcPr>
          <w:p>
            <w:r/>
            <w:r>
              <w:rPr>
                <w:sz w:val="18"/>
              </w:rPr>
              <w:t>Constitution du DOE</w:t>
            </w:r>
          </w:p>
        </w:tc>
        <w:tc>
          <w:tcPr>
            <w:tcW w:type="dxa" w:w="2835"/>
          </w:tcPr>
          <w:p>
            <w:r/>
            <w:r>
              <w:rPr>
                <w:sz w:val="18"/>
              </w:rPr>
              <w:t>Fin de chantier</w:t>
            </w:r>
          </w:p>
        </w:tc>
        <w:tc>
          <w:tcPr>
            <w:tcW w:type="dxa" w:w="2268"/>
          </w:tcPr>
          <w:p>
            <w:r/>
            <w:r>
              <w:rPr>
                <w:sz w:val="18"/>
              </w:rPr>
              <w:t>Dossier complet remis à réception : fiches techniques, FDS, PV, certificats (cf. chapitre 4, § 4.10)</w:t>
            </w:r>
          </w:p>
        </w:tc>
      </w:tr>
    </w:tbl>
    <w:p/>
    <w:p>
      <w:pPr>
        <w:pStyle w:val="ListBullet"/>
      </w:pPr>
      <w:r>
        <w:t>100% des produits de préparation et de finition mis en œuvre sont de classe d'émission A+ dans l'air intérieur (cf. chapitre 4, § 4.8) ;</w:t>
      </w:r>
    </w:p>
    <w:p>
      <w:pPr>
        <w:pStyle w:val="ListBullet"/>
      </w:pPr>
      <w:r>
        <w:t>conformité systématique aux DTU en vigueur (DTU 59.1 peinture, DTU 53.2 sols souples, DTU 25.41 et 58.1 plafonds suspendus — cf. chapitre 4, § 4.9) ;</w:t>
      </w:r>
    </w:p>
    <w:p>
      <w:pPr>
        <w:pStyle w:val="ListBullet"/>
      </w:pPr>
      <w:r>
        <w:t>traçabilité complète de chaque produit jusqu'à l'article du CCTP qu'il satisfait (cf. chapitre 4, tableaux de correspondance).</w:t>
      </w:r>
    </w:p>
    <w:tbl>
      <w:tblPr>
        <w:tblStyle w:val="TableGrid"/>
        <w:tblW w:type="auto" w:w="0"/>
        <w:tblLook w:firstColumn="1" w:firstRow="1" w:lastColumn="0" w:lastRow="0" w:noHBand="0" w:noVBand="1" w:val="04A0"/>
      </w:tblPr>
      <w:tblGrid>
        <w:gridCol w:w="10200"/>
      </w:tblGrid>
      <w:tr>
        <w:tc>
          <w:tcPr>
            <w:tcW w:type="dxa" w:w="10200"/>
            <w:shd w:val="clear" w:color="auto" w:fill="EAF1FA"/>
          </w:tcPr>
          <w:p>
            <w:r/>
            <w:r>
              <w:rPr>
                <w:b/>
                <w:color w:val="2E74B5"/>
                <w:sz w:val="19"/>
              </w:rPr>
              <w:t xml:space="preserve">Engagement France Décoration — </w:t>
            </w:r>
            <w:r>
              <w:rPr>
                <w:color w:val="1F3A5F"/>
                <w:sz w:val="19"/>
              </w:rPr>
              <w:t>Objectif de zéro réserve bloquante à l'issue des Opérations Préalables à la Réception, et conformité de 100% des ouvrages aux articles du CCTP Lot 3.</w:t>
            </w:r>
          </w:p>
        </w:tc>
      </w:tr>
    </w:tbl>
    <w:p/>
    <w:p>
      <w:pPr>
        <w:spacing w:before="240" w:after="80"/>
      </w:pPr>
      <w:r>
        <w:rPr>
          <w:b/>
          <w:color w:val="1F3A5F"/>
          <w:sz w:val="24"/>
        </w:rPr>
        <w:t>7.4. Réactivité et disponibilité de l'encadrement</w:t>
      </w:r>
    </w:p>
    <w:p>
      <w:r>
        <w:rPr>
          <w:b w:val="0"/>
          <w:i w:val="0"/>
          <w:sz w:val="21"/>
        </w:rPr>
        <w:t>France Décoration garantit un interlocuteur unique et joignable en permanence pour l'ensemble des questions relatives au Lot 3, ainsi qu'une chaîne d'encadrement dédiée et présente sur site.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984"/>
            <w:shd w:val="clear" w:color="auto" w:fill="2E74B5"/>
          </w:tcPr>
          <w:p>
            <w:r/>
            <w:r>
              <w:rPr>
                <w:b/>
                <w:color w:val="FFFFFF"/>
                <w:sz w:val="18"/>
              </w:rPr>
              <w:t>Fonction</w:t>
            </w:r>
          </w:p>
        </w:tc>
        <w:tc>
          <w:tcPr>
            <w:tcW w:type="dxa" w:w="1984"/>
            <w:shd w:val="clear" w:color="auto" w:fill="2E74B5"/>
          </w:tcPr>
          <w:p>
            <w:r/>
            <w:r>
              <w:rPr>
                <w:b/>
                <w:color w:val="FFFFFF"/>
                <w:sz w:val="18"/>
              </w:rPr>
              <w:t>Nom</w:t>
            </w:r>
          </w:p>
        </w:tc>
        <w:tc>
          <w:tcPr>
            <w:tcW w:type="dxa" w:w="3402"/>
            <w:shd w:val="clear" w:color="auto" w:fill="2E74B5"/>
          </w:tcPr>
          <w:p>
            <w:r/>
            <w:r>
              <w:rPr>
                <w:b/>
                <w:color w:val="FFFFFF"/>
                <w:sz w:val="18"/>
              </w:rPr>
              <w:t>Rôle vis-à-vis de la MOE / AP-HP</w:t>
            </w:r>
          </w:p>
        </w:tc>
        <w:tc>
          <w:tcPr>
            <w:tcW w:type="dxa" w:w="1984"/>
            <w:shd w:val="clear" w:color="auto" w:fill="2E74B5"/>
          </w:tcPr>
          <w:p>
            <w:r/>
            <w:r>
              <w:rPr>
                <w:b/>
                <w:color w:val="FFFFFF"/>
                <w:sz w:val="18"/>
              </w:rPr>
              <w:t>Disponibilité</w:t>
            </w:r>
          </w:p>
        </w:tc>
      </w:tr>
      <w:tr>
        <w:tc>
          <w:tcPr>
            <w:tcW w:type="dxa" w:w="1984"/>
          </w:tcPr>
          <w:p>
            <w:r/>
            <w:r>
              <w:rPr>
                <w:sz w:val="18"/>
              </w:rPr>
              <w:t>Interlocuteur Unique</w:t>
            </w:r>
          </w:p>
        </w:tc>
        <w:tc>
          <w:tcPr>
            <w:tcW w:type="dxa" w:w="1984"/>
          </w:tcPr>
          <w:p>
            <w:r/>
            <w:r>
              <w:rPr>
                <w:sz w:val="18"/>
              </w:rPr>
              <w:t>Ghobech Ali</w:t>
            </w:r>
          </w:p>
        </w:tc>
        <w:tc>
          <w:tcPr>
            <w:tcW w:type="dxa" w:w="3402"/>
          </w:tcPr>
          <w:p>
            <w:r/>
            <w:r>
              <w:rPr>
                <w:sz w:val="18"/>
              </w:rPr>
              <w:t>Point de contact contractuel unique pour l'opération</w:t>
            </w:r>
          </w:p>
        </w:tc>
        <w:tc>
          <w:tcPr>
            <w:tcW w:type="dxa" w:w="1984"/>
          </w:tcPr>
          <w:p>
            <w:r/>
            <w:r>
              <w:rPr>
                <w:sz w:val="18"/>
              </w:rPr>
              <w:t>Joignable aux heures ouvrées, réponse sous 24 h</w:t>
            </w:r>
          </w:p>
        </w:tc>
      </w:tr>
      <w:tr>
        <w:tc>
          <w:tcPr>
            <w:tcW w:type="dxa" w:w="1984"/>
          </w:tcPr>
          <w:p>
            <w:r/>
            <w:r>
              <w:rPr>
                <w:sz w:val="18"/>
              </w:rPr>
              <w:t>Conducteur de Travaux</w:t>
            </w:r>
          </w:p>
        </w:tc>
        <w:tc>
          <w:tcPr>
            <w:tcW w:type="dxa" w:w="1984"/>
          </w:tcPr>
          <w:p>
            <w:r/>
            <w:r>
              <w:rPr>
                <w:sz w:val="18"/>
              </w:rPr>
              <w:t>Zaka Ullah Butt</w:t>
            </w:r>
          </w:p>
        </w:tc>
        <w:tc>
          <w:tcPr>
            <w:tcW w:type="dxa" w:w="3402"/>
          </w:tcPr>
          <w:p>
            <w:r/>
            <w:r>
              <w:rPr>
                <w:sz w:val="18"/>
              </w:rPr>
              <w:t>Pilotage opérationnel, coordination inter-lots, reporting hebdomadaire</w:t>
            </w:r>
          </w:p>
        </w:tc>
        <w:tc>
          <w:tcPr>
            <w:tcW w:type="dxa" w:w="1984"/>
          </w:tcPr>
          <w:p>
            <w:r/>
            <w:r>
              <w:rPr>
                <w:sz w:val="18"/>
              </w:rPr>
              <w:t>Présent aux réunions de chantier, joignable en continu pendant les phases actives</w:t>
            </w:r>
          </w:p>
        </w:tc>
      </w:tr>
      <w:tr>
        <w:tc>
          <w:tcPr>
            <w:tcW w:type="dxa" w:w="1984"/>
          </w:tcPr>
          <w:p>
            <w:r/>
            <w:r>
              <w:rPr>
                <w:sz w:val="18"/>
              </w:rPr>
              <w:t>Chef de Chantier</w:t>
            </w:r>
          </w:p>
        </w:tc>
        <w:tc>
          <w:tcPr>
            <w:tcW w:type="dxa" w:w="1984"/>
          </w:tcPr>
          <w:p>
            <w:r/>
            <w:r>
              <w:rPr>
                <w:sz w:val="18"/>
              </w:rPr>
              <w:t>Ali Shazil</w:t>
            </w:r>
          </w:p>
        </w:tc>
        <w:tc>
          <w:tcPr>
            <w:tcW w:type="dxa" w:w="3402"/>
          </w:tcPr>
          <w:p>
            <w:r/>
            <w:r>
              <w:rPr>
                <w:sz w:val="18"/>
              </w:rPr>
              <w:t>Encadrement quotidien des équipes, autocontrôles, sécurité</w:t>
            </w:r>
          </w:p>
        </w:tc>
        <w:tc>
          <w:tcPr>
            <w:tcW w:type="dxa" w:w="1984"/>
          </w:tcPr>
          <w:p>
            <w:r/>
            <w:r>
              <w:rPr>
                <w:sz w:val="18"/>
              </w:rPr>
              <w:t>Présent sur site en permanence pendant les phases de production</w:t>
            </w:r>
          </w:p>
        </w:tc>
      </w:tr>
    </w:tbl>
    <w:p/>
    <w:p>
      <w:pPr>
        <w:spacing w:before="160" w:after="60"/>
      </w:pPr>
      <w:r>
        <w:rPr>
          <w:b/>
          <w:i/>
          <w:color w:val="2E74B5"/>
          <w:sz w:val="21"/>
        </w:rPr>
        <w:t>Délais de réactivité garantis</w:t>
      </w:r>
    </w:p>
    <w:tbl>
      <w:tblPr>
        <w:tblStyle w:val="TableGrid"/>
        <w:tblW w:type="auto" w:w="0"/>
        <w:jc w:val="center"/>
        <w:tblLook w:firstColumn="1" w:firstRow="1" w:lastColumn="0" w:lastRow="0" w:noHBand="0" w:noVBand="1" w:val="04A0"/>
      </w:tblPr>
      <w:tblGrid>
        <w:gridCol w:w="5100"/>
        <w:gridCol w:w="5100"/>
      </w:tblGrid>
      <w:tr>
        <w:tc>
          <w:tcPr>
            <w:tcW w:type="dxa" w:w="5953"/>
            <w:shd w:val="clear" w:color="auto" w:fill="2E74B5"/>
          </w:tcPr>
          <w:p>
            <w:r/>
            <w:r>
              <w:rPr>
                <w:b/>
                <w:color w:val="FFFFFF"/>
                <w:sz w:val="18"/>
              </w:rPr>
              <w:t>Type de sollicitation</w:t>
            </w:r>
          </w:p>
        </w:tc>
        <w:tc>
          <w:tcPr>
            <w:tcW w:type="dxa" w:w="2835"/>
            <w:shd w:val="clear" w:color="auto" w:fill="2E74B5"/>
          </w:tcPr>
          <w:p>
            <w:r/>
            <w:r>
              <w:rPr>
                <w:b/>
                <w:color w:val="FFFFFF"/>
                <w:sz w:val="18"/>
              </w:rPr>
              <w:t>Délai de réponse garanti</w:t>
            </w:r>
          </w:p>
        </w:tc>
      </w:tr>
      <w:tr>
        <w:tc>
          <w:tcPr>
            <w:tcW w:type="dxa" w:w="5953"/>
          </w:tcPr>
          <w:p>
            <w:r/>
            <w:r>
              <w:rPr>
                <w:sz w:val="18"/>
              </w:rPr>
              <w:t>Question technique ou demande d'information de la MOE / AP-HP</w:t>
            </w:r>
          </w:p>
        </w:tc>
        <w:tc>
          <w:tcPr>
            <w:tcW w:type="dxa" w:w="2835"/>
          </w:tcPr>
          <w:p>
            <w:r/>
            <w:r>
              <w:rPr>
                <w:sz w:val="18"/>
              </w:rPr>
              <w:t>24 heures</w:t>
            </w:r>
          </w:p>
        </w:tc>
      </w:tr>
      <w:tr>
        <w:tc>
          <w:tcPr>
            <w:tcW w:type="dxa" w:w="5953"/>
          </w:tcPr>
          <w:p>
            <w:r/>
            <w:r>
              <w:rPr>
                <w:sz w:val="18"/>
              </w:rPr>
              <w:t>Demande de reprise ou de correction ponctuelle</w:t>
            </w:r>
          </w:p>
        </w:tc>
        <w:tc>
          <w:tcPr>
            <w:tcW w:type="dxa" w:w="2835"/>
          </w:tcPr>
          <w:p>
            <w:r/>
            <w:r>
              <w:rPr>
                <w:sz w:val="18"/>
              </w:rPr>
              <w:t>48 heures pour l'intervention corrective</w:t>
            </w:r>
          </w:p>
        </w:tc>
      </w:tr>
      <w:tr>
        <w:tc>
          <w:tcPr>
            <w:tcW w:type="dxa" w:w="5953"/>
          </w:tcPr>
          <w:p>
            <w:r/>
            <w:r>
              <w:rPr>
                <w:sz w:val="18"/>
              </w:rPr>
              <w:t>Mobilisation de moyens supplémentaires en cas d'aléa avéré</w:t>
            </w:r>
          </w:p>
        </w:tc>
        <w:tc>
          <w:tcPr>
            <w:tcW w:type="dxa" w:w="2835"/>
          </w:tcPr>
          <w:p>
            <w:r/>
            <w:r>
              <w:rPr>
                <w:sz w:val="18"/>
              </w:rPr>
              <w:t>48 heures (cf. chapitre 5, § 5.9)</w:t>
            </w:r>
          </w:p>
        </w:tc>
      </w:tr>
      <w:tr>
        <w:tc>
          <w:tcPr>
            <w:tcW w:type="dxa" w:w="5953"/>
          </w:tcPr>
          <w:p>
            <w:r/>
            <w:r>
              <w:rPr>
                <w:sz w:val="18"/>
              </w:rPr>
              <w:t>Incident ou situation d'urgence sur site</w:t>
            </w:r>
          </w:p>
        </w:tc>
        <w:tc>
          <w:tcPr>
            <w:tcW w:type="dxa" w:w="2835"/>
          </w:tcPr>
          <w:p>
            <w:r/>
            <w:r>
              <w:rPr>
                <w:sz w:val="18"/>
              </w:rPr>
              <w:t>Intervention immédiate du Chef de Chantier, information de l'encadrement sous 1 heure</w:t>
            </w:r>
          </w:p>
        </w:tc>
      </w:tr>
    </w:tbl>
    <w:p/>
    <w:tbl>
      <w:tblPr>
        <w:tblStyle w:val="TableGrid"/>
        <w:tblW w:type="auto" w:w="0"/>
        <w:tblLook w:firstColumn="1" w:firstRow="1" w:lastColumn="0" w:lastRow="0" w:noHBand="0" w:noVBand="1" w:val="04A0"/>
      </w:tblPr>
      <w:tblGrid>
        <w:gridCol w:w="10200"/>
      </w:tblGrid>
      <w:tr>
        <w:tc>
          <w:tcPr>
            <w:tcW w:type="dxa" w:w="10200"/>
            <w:shd w:val="clear" w:color="auto" w:fill="EAF1FA"/>
          </w:tcPr>
          <w:p>
            <w:r/>
            <w:r>
              <w:rPr>
                <w:b/>
                <w:color w:val="2E74B5"/>
                <w:sz w:val="19"/>
              </w:rPr>
              <w:t xml:space="preserve">Engagement France Décoration — </w:t>
            </w:r>
            <w:r>
              <w:rPr>
                <w:color w:val="1F3A5F"/>
                <w:sz w:val="19"/>
              </w:rPr>
              <w:t>Délai de réponse garanti de 24 h pour toute sollicitation de la MOE ou de l'AP-HP, et de 48 h pour la mobilisation de moyens supplémentaires en cas d'aléa.</w:t>
            </w:r>
          </w:p>
        </w:tc>
      </w:tr>
    </w:tbl>
    <w:p/>
    <w:p>
      <w:pPr>
        <w:spacing w:before="240" w:after="80"/>
      </w:pPr>
      <w:r>
        <w:rPr>
          <w:b/>
          <w:color w:val="1F3A5F"/>
          <w:sz w:val="24"/>
        </w:rPr>
        <w:t>7.5. Continuité des travaux et maintien des effectifs</w:t>
      </w:r>
    </w:p>
    <w:p>
      <w:r>
        <w:rPr>
          <w:b w:val="0"/>
          <w:i w:val="0"/>
          <w:sz w:val="21"/>
        </w:rPr>
        <w:t>France Décoration s'engage à assurer une continuité totale de ses effectifs sur toute la durée du chantier, y compris en période estivale, par un dispositif de doublement des fonctions d'encadrement et un vivier de personnel qualifié mobilisable sans délai.</w:t>
      </w:r>
    </w:p>
    <w:tbl>
      <w:tblPr>
        <w:tblStyle w:val="TableGrid"/>
        <w:tblW w:type="auto" w:w="0"/>
        <w:jc w:val="center"/>
        <w:tblLook w:firstColumn="1" w:firstRow="1" w:lastColumn="0" w:lastRow="0" w:noHBand="0" w:noVBand="1" w:val="04A0"/>
      </w:tblPr>
      <w:tblGrid>
        <w:gridCol w:w="3400"/>
        <w:gridCol w:w="3400"/>
        <w:gridCol w:w="3400"/>
      </w:tblGrid>
      <w:tr>
        <w:tc>
          <w:tcPr>
            <w:tcW w:type="dxa" w:w="3685"/>
            <w:shd w:val="clear" w:color="auto" w:fill="2E74B5"/>
          </w:tcPr>
          <w:p>
            <w:r/>
            <w:r>
              <w:rPr>
                <w:b/>
                <w:color w:val="FFFFFF"/>
                <w:sz w:val="18"/>
              </w:rPr>
              <w:t>Phase</w:t>
            </w:r>
          </w:p>
        </w:tc>
        <w:tc>
          <w:tcPr>
            <w:tcW w:type="dxa" w:w="2551"/>
            <w:shd w:val="clear" w:color="auto" w:fill="2E74B5"/>
          </w:tcPr>
          <w:p>
            <w:r/>
            <w:r>
              <w:rPr>
                <w:b/>
                <w:color w:val="FFFFFF"/>
                <w:sz w:val="18"/>
              </w:rPr>
              <w:t>Effectif de base</w:t>
            </w:r>
          </w:p>
        </w:tc>
        <w:tc>
          <w:tcPr>
            <w:tcW w:type="dxa" w:w="2551"/>
            <w:shd w:val="clear" w:color="auto" w:fill="2E74B5"/>
          </w:tcPr>
          <w:p>
            <w:r/>
            <w:r>
              <w:rPr>
                <w:b/>
                <w:color w:val="FFFFFF"/>
                <w:sz w:val="18"/>
              </w:rPr>
              <w:t>Effectif renforcé possible</w:t>
            </w:r>
          </w:p>
        </w:tc>
      </w:tr>
      <w:tr>
        <w:tc>
          <w:tcPr>
            <w:tcW w:type="dxa" w:w="3685"/>
          </w:tcPr>
          <w:p>
            <w:r/>
            <w:r>
              <w:rPr>
                <w:sz w:val="18"/>
              </w:rPr>
              <w:t>Préparation / études d'exécution</w:t>
            </w:r>
          </w:p>
        </w:tc>
        <w:tc>
          <w:tcPr>
            <w:tcW w:type="dxa" w:w="2551"/>
          </w:tcPr>
          <w:p>
            <w:r/>
            <w:r>
              <w:rPr>
                <w:sz w:val="18"/>
              </w:rPr>
              <w:t>3 personnes</w:t>
            </w:r>
          </w:p>
        </w:tc>
        <w:tc>
          <w:tcPr>
            <w:tcW w:type="dxa" w:w="2551"/>
          </w:tcPr>
          <w:p>
            <w:r/>
            <w:r>
              <w:rPr>
                <w:sz w:val="18"/>
              </w:rPr>
              <w:t>—</w:t>
            </w:r>
          </w:p>
        </w:tc>
      </w:tr>
      <w:tr>
        <w:tc>
          <w:tcPr>
            <w:tcW w:type="dxa" w:w="3685"/>
          </w:tcPr>
          <w:p>
            <w:r/>
            <w:r>
              <w:rPr>
                <w:sz w:val="18"/>
              </w:rPr>
              <w:t>Faux plafonds</w:t>
            </w:r>
          </w:p>
        </w:tc>
        <w:tc>
          <w:tcPr>
            <w:tcW w:type="dxa" w:w="2551"/>
          </w:tcPr>
          <w:p>
            <w:r/>
            <w:r>
              <w:rPr>
                <w:sz w:val="18"/>
              </w:rPr>
              <w:t>3 personnes</w:t>
            </w:r>
          </w:p>
        </w:tc>
        <w:tc>
          <w:tcPr>
            <w:tcW w:type="dxa" w:w="2551"/>
          </w:tcPr>
          <w:p>
            <w:r/>
            <w:r>
              <w:rPr>
                <w:sz w:val="18"/>
              </w:rPr>
              <w:t>jusqu'à 5 personnes</w:t>
            </w:r>
          </w:p>
        </w:tc>
      </w:tr>
      <w:tr>
        <w:tc>
          <w:tcPr>
            <w:tcW w:type="dxa" w:w="3685"/>
          </w:tcPr>
          <w:p>
            <w:r/>
            <w:r>
              <w:rPr>
                <w:sz w:val="18"/>
              </w:rPr>
              <w:t>Peinture</w:t>
            </w:r>
          </w:p>
        </w:tc>
        <w:tc>
          <w:tcPr>
            <w:tcW w:type="dxa" w:w="2551"/>
          </w:tcPr>
          <w:p>
            <w:r/>
            <w:r>
              <w:rPr>
                <w:sz w:val="18"/>
              </w:rPr>
              <w:t>3 personnes</w:t>
            </w:r>
          </w:p>
        </w:tc>
        <w:tc>
          <w:tcPr>
            <w:tcW w:type="dxa" w:w="2551"/>
          </w:tcPr>
          <w:p>
            <w:r/>
            <w:r>
              <w:rPr>
                <w:sz w:val="18"/>
              </w:rPr>
              <w:t>jusqu'à 5 personnes</w:t>
            </w:r>
          </w:p>
        </w:tc>
      </w:tr>
      <w:tr>
        <w:tc>
          <w:tcPr>
            <w:tcW w:type="dxa" w:w="3685"/>
          </w:tcPr>
          <w:p>
            <w:r/>
            <w:r>
              <w:rPr>
                <w:sz w:val="18"/>
              </w:rPr>
              <w:t>Sols souples / reprises murales</w:t>
            </w:r>
          </w:p>
        </w:tc>
        <w:tc>
          <w:tcPr>
            <w:tcW w:type="dxa" w:w="2551"/>
          </w:tcPr>
          <w:p>
            <w:r/>
            <w:r>
              <w:rPr>
                <w:sz w:val="18"/>
              </w:rPr>
              <w:t>2 personnes</w:t>
            </w:r>
          </w:p>
        </w:tc>
        <w:tc>
          <w:tcPr>
            <w:tcW w:type="dxa" w:w="2551"/>
          </w:tcPr>
          <w:p>
            <w:r/>
            <w:r>
              <w:rPr>
                <w:sz w:val="18"/>
              </w:rPr>
              <w:t>jusqu'à 5 personnes</w:t>
            </w:r>
          </w:p>
        </w:tc>
      </w:tr>
      <w:tr>
        <w:tc>
          <w:tcPr>
            <w:tcW w:type="dxa" w:w="3685"/>
          </w:tcPr>
          <w:p>
            <w:r/>
            <w:r>
              <w:rPr>
                <w:sz w:val="18"/>
              </w:rPr>
              <w:t>Nettoyage général / OPR / réserves</w:t>
            </w:r>
          </w:p>
        </w:tc>
        <w:tc>
          <w:tcPr>
            <w:tcW w:type="dxa" w:w="2551"/>
          </w:tcPr>
          <w:p>
            <w:r/>
            <w:r>
              <w:rPr>
                <w:sz w:val="18"/>
              </w:rPr>
              <w:t>2 personnes</w:t>
            </w:r>
          </w:p>
        </w:tc>
        <w:tc>
          <w:tcPr>
            <w:tcW w:type="dxa" w:w="2551"/>
          </w:tcPr>
          <w:p>
            <w:r/>
            <w:r>
              <w:rPr>
                <w:sz w:val="18"/>
              </w:rPr>
              <w:t>—</w:t>
            </w:r>
          </w:p>
        </w:tc>
      </w:tr>
    </w:tbl>
    <w:p/>
    <w:p>
      <w:pPr>
        <w:pStyle w:val="ListBullet"/>
      </w:pPr>
      <w:r>
        <w:t>continuité assurée par doublement des fonctions Conducteur de Travaux / Chef de Chantier en cas d'absence imprévue de l'un des deux (cf. chapitre 3, § 3.12) ;</w:t>
      </w:r>
    </w:p>
    <w:p>
      <w:pPr>
        <w:pStyle w:val="ListBullet"/>
      </w:pPr>
      <w:r>
        <w:t>effectif de base de 9 intervenants nommément identifiés et qualifiés, répartis en 3 équipes dédiées (faux plafonds, peinture, sols souples — cf. chapitre 3, § 3.3 et § 3.4) ;</w:t>
      </w:r>
    </w:p>
    <w:p>
      <w:pPr>
        <w:pStyle w:val="ListBullet"/>
      </w:pPr>
      <w:r>
        <w:t>capacité de renfort jusqu'à 5 personnes par phase de production sans recomposition d'équipe ni interruption de chantier (cf. chapitre 5, § 5.7) ;</w:t>
      </w:r>
    </w:p>
    <w:p>
      <w:pPr>
        <w:pStyle w:val="ListBullet"/>
      </w:pPr>
      <w:r>
        <w:t>personnel certifié amiante Sous-section 4 (SS4) sur l'ensemble des fonctions d'encadrement, garantissant la continuité de compétence même en cas de remplacement ponctuel.</w:t>
      </w:r>
    </w:p>
    <w:tbl>
      <w:tblPr>
        <w:tblStyle w:val="TableGrid"/>
        <w:tblW w:type="auto" w:w="0"/>
        <w:tblLook w:firstColumn="1" w:firstRow="1" w:lastColumn="0" w:lastRow="0" w:noHBand="0" w:noVBand="1" w:val="04A0"/>
      </w:tblPr>
      <w:tblGrid>
        <w:gridCol w:w="10200"/>
      </w:tblGrid>
      <w:tr>
        <w:tc>
          <w:tcPr>
            <w:tcW w:type="dxa" w:w="10200"/>
            <w:shd w:val="clear" w:color="auto" w:fill="EAF1FA"/>
          </w:tcPr>
          <w:p>
            <w:r/>
            <w:r>
              <w:rPr>
                <w:b/>
                <w:color w:val="2E74B5"/>
                <w:sz w:val="19"/>
              </w:rPr>
              <w:t xml:space="preserve">Engagement France Décoration — </w:t>
            </w:r>
            <w:r>
              <w:rPr>
                <w:color w:val="1F3A5F"/>
                <w:sz w:val="19"/>
              </w:rPr>
              <w:t>0 interruption de chantier visée sur la durée du lot, hors aléa majeur relevant d'un autre corps d'état, et continuité de l'encadrement garantie à 100% par doublement des fonctions clés.</w:t>
            </w:r>
          </w:p>
        </w:tc>
      </w:tr>
    </w:tbl>
    <w:p/>
    <w:p>
      <w:pPr>
        <w:spacing w:before="240" w:after="80"/>
      </w:pPr>
      <w:r>
        <w:rPr>
          <w:b/>
          <w:color w:val="1F3A5F"/>
          <w:sz w:val="24"/>
        </w:rPr>
        <w:t>7.6. Engagement environnemental</w:t>
      </w:r>
    </w:p>
    <w:p>
      <w:r>
        <w:rPr>
          <w:b w:val="0"/>
          <w:i w:val="0"/>
          <w:sz w:val="21"/>
        </w:rPr>
        <w:t>France Décoration s'engage sur des objectifs environnementaux chiffrés et vérifiables, pilotés hebdomadairement via le tableau de bord environnemental du chantier (cf. chapitre 6, § 6.3.1).</w:t>
      </w:r>
    </w:p>
    <w:tbl>
      <w:tblPr>
        <w:tblStyle w:val="TableGrid"/>
        <w:tblW w:type="auto" w:w="0"/>
        <w:jc w:val="center"/>
        <w:tblLook w:firstColumn="1" w:firstRow="1" w:lastColumn="0" w:lastRow="0" w:noHBand="0" w:noVBand="1" w:val="04A0"/>
      </w:tblPr>
      <w:tblGrid>
        <w:gridCol w:w="3400"/>
        <w:gridCol w:w="3400"/>
        <w:gridCol w:w="3400"/>
      </w:tblGrid>
      <w:tr>
        <w:tc>
          <w:tcPr>
            <w:tcW w:type="dxa" w:w="3118"/>
            <w:shd w:val="clear" w:color="auto" w:fill="2E74B5"/>
          </w:tcPr>
          <w:p>
            <w:r/>
            <w:r>
              <w:rPr>
                <w:b/>
                <w:color w:val="FFFFFF"/>
                <w:sz w:val="18"/>
              </w:rPr>
              <w:t>Engagement chiffré</w:t>
            </w:r>
          </w:p>
        </w:tc>
        <w:tc>
          <w:tcPr>
            <w:tcW w:type="dxa" w:w="3118"/>
            <w:shd w:val="clear" w:color="auto" w:fill="2E74B5"/>
          </w:tcPr>
          <w:p>
            <w:r/>
            <w:r>
              <w:rPr>
                <w:b/>
                <w:color w:val="FFFFFF"/>
                <w:sz w:val="18"/>
              </w:rPr>
              <w:t>Cible</w:t>
            </w:r>
          </w:p>
        </w:tc>
        <w:tc>
          <w:tcPr>
            <w:tcW w:type="dxa" w:w="2551"/>
            <w:shd w:val="clear" w:color="auto" w:fill="2E74B5"/>
          </w:tcPr>
          <w:p>
            <w:r/>
            <w:r>
              <w:rPr>
                <w:b/>
                <w:color w:val="FFFFFF"/>
                <w:sz w:val="18"/>
              </w:rPr>
              <w:t>Mode de vérification</w:t>
            </w:r>
          </w:p>
        </w:tc>
      </w:tr>
      <w:tr>
        <w:tc>
          <w:tcPr>
            <w:tcW w:type="dxa" w:w="3118"/>
          </w:tcPr>
          <w:p>
            <w:r/>
            <w:r>
              <w:rPr>
                <w:sz w:val="18"/>
              </w:rPr>
              <w:t>Taux de valorisation global des déchets</w:t>
            </w:r>
          </w:p>
        </w:tc>
        <w:tc>
          <w:tcPr>
            <w:tcW w:type="dxa" w:w="3118"/>
          </w:tcPr>
          <w:p>
            <w:r/>
            <w:r>
              <w:rPr>
                <w:sz w:val="18"/>
              </w:rPr>
              <w:t>≥ 82% (vs. 70% objectif national BTP)</w:t>
            </w:r>
          </w:p>
        </w:tc>
        <w:tc>
          <w:tcPr>
            <w:tcW w:type="dxa" w:w="2551"/>
          </w:tcPr>
          <w:p>
            <w:r/>
            <w:r>
              <w:rPr>
                <w:sz w:val="18"/>
              </w:rPr>
              <w:t>Bordereaux de suivi (BSD/BSDA) et bilan de fin de chantier</w:t>
            </w:r>
          </w:p>
        </w:tc>
      </w:tr>
      <w:tr>
        <w:tc>
          <w:tcPr>
            <w:tcW w:type="dxa" w:w="3118"/>
          </w:tcPr>
          <w:p>
            <w:r/>
            <w:r>
              <w:rPr>
                <w:sz w:val="18"/>
              </w:rPr>
              <w:t>Taux de tri à la source</w:t>
            </w:r>
          </w:p>
        </w:tc>
        <w:tc>
          <w:tcPr>
            <w:tcW w:type="dxa" w:w="3118"/>
          </w:tcPr>
          <w:p>
            <w:r/>
            <w:r>
              <w:rPr>
                <w:sz w:val="18"/>
              </w:rPr>
              <w:t>100% des déchets triés dès production (7 flux + amiante)</w:t>
            </w:r>
          </w:p>
        </w:tc>
        <w:tc>
          <w:tcPr>
            <w:tcW w:type="dxa" w:w="2551"/>
          </w:tcPr>
          <w:p>
            <w:r/>
            <w:r>
              <w:rPr>
                <w:sz w:val="18"/>
              </w:rPr>
              <w:t>Contrôle hebdomadaire par le Chef de Chantier</w:t>
            </w:r>
          </w:p>
        </w:tc>
      </w:tr>
      <w:tr>
        <w:tc>
          <w:tcPr>
            <w:tcW w:type="dxa" w:w="3118"/>
          </w:tcPr>
          <w:p>
            <w:r/>
            <w:r>
              <w:rPr>
                <w:sz w:val="18"/>
              </w:rPr>
              <w:t>Production totale de déchets sur le lot</w:t>
            </w:r>
          </w:p>
        </w:tc>
        <w:tc>
          <w:tcPr>
            <w:tcW w:type="dxa" w:w="3118"/>
          </w:tcPr>
          <w:p>
            <w:r/>
            <w:r>
              <w:rPr>
                <w:sz w:val="18"/>
              </w:rPr>
              <w:t>≈ 4,0 tonnes, traçabilité intégrale</w:t>
            </w:r>
          </w:p>
        </w:tc>
        <w:tc>
          <w:tcPr>
            <w:tcW w:type="dxa" w:w="2551"/>
          </w:tcPr>
          <w:p>
            <w:r/>
            <w:r>
              <w:rPr>
                <w:sz w:val="18"/>
              </w:rPr>
              <w:t>Registre Trackdéchets</w:t>
            </w:r>
          </w:p>
        </w:tc>
      </w:tr>
      <w:tr>
        <w:tc>
          <w:tcPr>
            <w:tcW w:type="dxa" w:w="3118"/>
          </w:tcPr>
          <w:p>
            <w:r/>
            <w:r>
              <w:rPr>
                <w:sz w:val="18"/>
              </w:rPr>
              <w:t>Produits de classe d'émission A+</w:t>
            </w:r>
          </w:p>
        </w:tc>
        <w:tc>
          <w:tcPr>
            <w:tcW w:type="dxa" w:w="3118"/>
          </w:tcPr>
          <w:p>
            <w:r/>
            <w:r>
              <w:rPr>
                <w:sz w:val="18"/>
              </w:rPr>
              <w:t>100% des produits de préparation et de finition</w:t>
            </w:r>
          </w:p>
        </w:tc>
        <w:tc>
          <w:tcPr>
            <w:tcW w:type="dxa" w:w="2551"/>
          </w:tcPr>
          <w:p>
            <w:r/>
            <w:r>
              <w:rPr>
                <w:sz w:val="18"/>
              </w:rPr>
              <w:t>Fiches techniques et FDS (cf. chapitre 4)</w:t>
            </w:r>
          </w:p>
        </w:tc>
      </w:tr>
      <w:tr>
        <w:tc>
          <w:tcPr>
            <w:tcW w:type="dxa" w:w="3118"/>
          </w:tcPr>
          <w:p>
            <w:r/>
            <w:r>
              <w:rPr>
                <w:sz w:val="18"/>
              </w:rPr>
              <w:t>Réduction des rotations de véhicules</w:t>
            </w:r>
          </w:p>
        </w:tc>
        <w:tc>
          <w:tcPr>
            <w:tcW w:type="dxa" w:w="3118"/>
          </w:tcPr>
          <w:p>
            <w:r/>
            <w:r>
              <w:rPr>
                <w:sz w:val="18"/>
              </w:rPr>
              <w:t>≥ 30% vs. livraison au coup par coup</w:t>
            </w:r>
          </w:p>
        </w:tc>
        <w:tc>
          <w:tcPr>
            <w:tcW w:type="dxa" w:w="2551"/>
          </w:tcPr>
          <w:p>
            <w:r/>
            <w:r>
              <w:rPr>
                <w:sz w:val="18"/>
              </w:rPr>
              <w:t>Carnet de bord des livraisons</w:t>
            </w:r>
          </w:p>
        </w:tc>
      </w:tr>
      <w:tr>
        <w:tc>
          <w:tcPr>
            <w:tcW w:type="dxa" w:w="3118"/>
          </w:tcPr>
          <w:p>
            <w:r/>
            <w:r>
              <w:rPr>
                <w:sz w:val="18"/>
              </w:rPr>
              <w:t>Consommations d'eau / électricité de chantier</w:t>
            </w:r>
          </w:p>
        </w:tc>
        <w:tc>
          <w:tcPr>
            <w:tcW w:type="dxa" w:w="3118"/>
          </w:tcPr>
          <w:p>
            <w:r/>
            <w:r>
              <w:rPr>
                <w:sz w:val="18"/>
              </w:rPr>
              <w:t>≤ 0,5 m³ d'eau / &lt; 150 kWh sur 45 jours</w:t>
            </w:r>
          </w:p>
        </w:tc>
        <w:tc>
          <w:tcPr>
            <w:tcW w:type="dxa" w:w="2551"/>
          </w:tcPr>
          <w:p>
            <w:r/>
            <w:r>
              <w:rPr>
                <w:sz w:val="18"/>
              </w:rPr>
              <w:t>Relevés hebdomadaires et mensuels</w:t>
            </w:r>
          </w:p>
        </w:tc>
      </w:tr>
      <w:tr>
        <w:tc>
          <w:tcPr>
            <w:tcW w:type="dxa" w:w="3118"/>
          </w:tcPr>
          <w:p>
            <w:r/>
            <w:r>
              <w:rPr>
                <w:sz w:val="18"/>
              </w:rPr>
              <w:t>Incidents de pollution accidentelle</w:t>
            </w:r>
          </w:p>
        </w:tc>
        <w:tc>
          <w:tcPr>
            <w:tcW w:type="dxa" w:w="3118"/>
          </w:tcPr>
          <w:p>
            <w:r/>
            <w:r>
              <w:rPr>
                <w:sz w:val="18"/>
              </w:rPr>
              <w:t>0 sur la durée du chantier</w:t>
            </w:r>
          </w:p>
        </w:tc>
        <w:tc>
          <w:tcPr>
            <w:tcW w:type="dxa" w:w="2551"/>
          </w:tcPr>
          <w:p>
            <w:r/>
            <w:r>
              <w:rPr>
                <w:sz w:val="18"/>
              </w:rPr>
              <w:t>Compte rendu de réunion de chantier hebdomadaire</w:t>
            </w:r>
          </w:p>
        </w:tc>
      </w:tr>
    </w:tbl>
    <w:p/>
    <w:tbl>
      <w:tblPr>
        <w:tblStyle w:val="TableGrid"/>
        <w:tblW w:type="auto" w:w="0"/>
        <w:tblLook w:firstColumn="1" w:firstRow="1" w:lastColumn="0" w:lastRow="0" w:noHBand="0" w:noVBand="1" w:val="04A0"/>
      </w:tblPr>
      <w:tblGrid>
        <w:gridCol w:w="10200"/>
      </w:tblGrid>
      <w:tr>
        <w:tc>
          <w:tcPr>
            <w:tcW w:type="dxa" w:w="10200"/>
            <w:shd w:val="clear" w:color="auto" w:fill="EAF1FA"/>
          </w:tcPr>
          <w:p>
            <w:r/>
            <w:r>
              <w:rPr>
                <w:b/>
                <w:color w:val="2E74B5"/>
                <w:sz w:val="19"/>
              </w:rPr>
              <w:t xml:space="preserve">Engagement France Décoration — </w:t>
            </w:r>
            <w:r>
              <w:rPr>
                <w:color w:val="1F3A5F"/>
                <w:sz w:val="19"/>
              </w:rPr>
              <w:t>Taux de valorisation des déchets ≥ 82%, 100% de produits A+, et 0 incident environnemental sur la durée du chantier, avec bilan chiffré remis à réception (cf. chapitre 6, § 6.3.6).</w:t>
            </w:r>
          </w:p>
        </w:tc>
      </w:tr>
    </w:tbl>
    <w:p/>
    <w:p>
      <w:r>
        <w:rPr>
          <w:b w:val="0"/>
          <w:i/>
          <w:sz w:val="21"/>
        </w:rPr>
        <w:t>L'ensemble de ces six engagements fait l'objet d'un suivi contradictoire avec la Maîtrise d'Œuvre tout au long du chantier — via les réunions hebdomadaires (délais, hospitalier, qualité, réactivité, effectifs) et le tableau de bord environnemental (§ 7.6) — et d'un bilan chiffré global remis à réception, garantissant à l'AP-HP une entière transparence sur leur tenue effective.</w:t>
      </w:r>
    </w:p>
    <w:p/>
    <w:p>
      <w:r>
        <w:rPr>
          <w:i/>
          <w:color w:val="595959"/>
          <w:sz w:val="17"/>
        </w:rPr>
        <w:t>Chapitre de synthèse récapitulant, sous forme d'engagements chiffrés et vérifiables, les dispositions détaillées dans les chapitres 1 à 6 du présent mémoire technique — Lot 3, marché 26 RMB 41 TVX.</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