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Note d'Évaluation du Mémoire Technique</w:t>
      </w:r>
    </w:p>
    <w:p>
      <w:r>
        <w:rPr>
          <w:i/>
          <w:color w:val="595959"/>
          <w:sz w:val="24"/>
        </w:rPr>
        <w:t>Lecture critique et notation avant dépôt</w:t>
      </w:r>
    </w:p>
    <w:p>
      <w:r>
        <w:rPr>
          <w:b/>
          <w:i w:val="0"/>
          <w:color w:val="2E74B5"/>
          <w:sz w:val="24"/>
        </w:rPr>
        <w:t>Document analysé : FRANCE_DÉCORATION_Memoire_Technique.docx</w:t>
      </w:r>
    </w:p>
    <w:p>
      <w:r>
        <w:rPr>
          <w:b w:val="0"/>
          <w:i/>
          <w:color w:val="595959"/>
          <w:sz w:val="21"/>
        </w:rPr>
        <w:t>26 RMB 41 TVX — Lot 3 (Faux Plafonds - Peinture - Sols Souples) — AP-HP HUPSSD, hôpital René Muret</w:t>
      </w:r>
    </w:p>
    <w:p>
      <w:r>
        <w:rPr>
          <w:b w:val="0"/>
          <w:i/>
          <w:color w:val="595959"/>
          <w:sz w:val="19"/>
        </w:rPr>
        <w:t>Analyse réalisée le 24 août 2026 — Date limite de remise des offres : 08 septembre 2026, 12h00</w:t>
      </w:r>
    </w:p>
    <w:p/>
    <w:p>
      <w:pPr>
        <w:spacing w:before="360" w:after="120"/>
        <w:pBdr>
          <w:bottom w:val="single" w:sz="8" w:space="4" w:color="2E74B5"/>
        </w:pBdr>
      </w:pPr>
      <w:r>
        <w:rPr>
          <w:b/>
          <w:color w:val="2E74B5"/>
          <w:sz w:val="28"/>
        </w:rPr>
        <w:t>1. SYNTHÈSE ET NOTE GLOBALE</w:t>
      </w:r>
    </w:p>
    <w:p>
      <w:r>
        <w:rPr>
          <w:b w:val="0"/>
          <w:i w:val="0"/>
          <w:sz w:val="21"/>
        </w:rPr>
        <w:t>Le document analysé consolide fidèlement les 7 chapitres du mémoire technique (Compréhension, Organisation/Méthodologie, Moyens, Qualité des matériaux, Planning, Démarche environnementale, Engagements) construits chapitre par chapitre à partir des pièces réelles du dossier de consultation. Le corps technique (chapitres 1 à 7) est solide, détaillé et cohérent. En revanche, une section « Présentation du candidat » ajoutée en tête de document contient plusieurs erreurs factuelles qui doivent impérativement être corrigées avant dépôt : elles n'affectent pas la qualité de la réponse technique elle-même, mais elles sont visibles dès les premières pages et fragilisent la crédibilité globale du dossier face au jury.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3969"/>
            <w:shd w:val="clear" w:color="auto" w:fill="2E74B5"/>
          </w:tcPr>
          <w:p>
            <w:r/>
            <w:r>
              <w:rPr>
                <w:b/>
                <w:color w:val="FFFFFF"/>
                <w:sz w:val="18"/>
              </w:rPr>
              <w:t>Sous-critère (RC)</w:t>
            </w:r>
          </w:p>
        </w:tc>
        <w:tc>
          <w:tcPr>
            <w:tcW w:type="dxa" w:w="1417"/>
            <w:shd w:val="clear" w:color="auto" w:fill="2E74B5"/>
          </w:tcPr>
          <w:p>
            <w:r/>
            <w:r>
              <w:rPr>
                <w:b/>
                <w:color w:val="FFFFFF"/>
                <w:sz w:val="18"/>
              </w:rPr>
              <w:t>Pondération</w:t>
            </w:r>
          </w:p>
        </w:tc>
        <w:tc>
          <w:tcPr>
            <w:tcW w:type="dxa" w:w="1417"/>
            <w:shd w:val="clear" w:color="auto" w:fill="2E74B5"/>
          </w:tcPr>
          <w:p>
            <w:r/>
            <w:r>
              <w:rPr>
                <w:b/>
                <w:color w:val="FFFFFF"/>
                <w:sz w:val="18"/>
              </w:rPr>
              <w:t>Note /20</w:t>
            </w:r>
          </w:p>
        </w:tc>
        <w:tc>
          <w:tcPr>
            <w:tcW w:type="dxa" w:w="1984"/>
            <w:shd w:val="clear" w:color="auto" w:fill="2E74B5"/>
          </w:tcPr>
          <w:p>
            <w:r/>
            <w:r>
              <w:rPr>
                <w:b/>
                <w:color w:val="FFFFFF"/>
                <w:sz w:val="18"/>
              </w:rPr>
              <w:t>Points</w:t>
            </w:r>
          </w:p>
        </w:tc>
      </w:tr>
      <w:tr>
        <w:tc>
          <w:tcPr>
            <w:tcW w:type="dxa" w:w="3969"/>
          </w:tcPr>
          <w:p>
            <w:r/>
            <w:r>
              <w:rPr>
                <w:sz w:val="18"/>
              </w:rPr>
              <w:t>Organisation et méthodologie d'exécution</w:t>
            </w:r>
          </w:p>
        </w:tc>
        <w:tc>
          <w:tcPr>
            <w:tcW w:type="dxa" w:w="1417"/>
          </w:tcPr>
          <w:p>
            <w:r/>
            <w:r>
              <w:rPr>
                <w:sz w:val="18"/>
              </w:rPr>
              <w:t>15 %</w:t>
            </w:r>
          </w:p>
        </w:tc>
        <w:tc>
          <w:tcPr>
            <w:tcW w:type="dxa" w:w="1417"/>
          </w:tcPr>
          <w:p>
            <w:r/>
            <w:r>
              <w:rPr>
                <w:sz w:val="18"/>
              </w:rPr>
              <w:t>17/20</w:t>
            </w:r>
          </w:p>
        </w:tc>
        <w:tc>
          <w:tcPr>
            <w:tcW w:type="dxa" w:w="1984"/>
          </w:tcPr>
          <w:p>
            <w:r/>
            <w:r>
              <w:rPr>
                <w:sz w:val="18"/>
              </w:rPr>
              <w:t>12,75/15</w:t>
            </w:r>
          </w:p>
        </w:tc>
      </w:tr>
      <w:tr>
        <w:tc>
          <w:tcPr>
            <w:tcW w:type="dxa" w:w="3969"/>
          </w:tcPr>
          <w:p>
            <w:r/>
            <w:r>
              <w:rPr>
                <w:sz w:val="18"/>
              </w:rPr>
              <w:t>Moyens matériels et effectifs affectés</w:t>
            </w:r>
          </w:p>
        </w:tc>
        <w:tc>
          <w:tcPr>
            <w:tcW w:type="dxa" w:w="1417"/>
          </w:tcPr>
          <w:p>
            <w:r/>
            <w:r>
              <w:rPr>
                <w:sz w:val="18"/>
              </w:rPr>
              <w:t>5 %</w:t>
            </w:r>
          </w:p>
        </w:tc>
        <w:tc>
          <w:tcPr>
            <w:tcW w:type="dxa" w:w="1417"/>
          </w:tcPr>
          <w:p>
            <w:r/>
            <w:r>
              <w:rPr>
                <w:sz w:val="18"/>
              </w:rPr>
              <w:t>18/20</w:t>
            </w:r>
          </w:p>
        </w:tc>
        <w:tc>
          <w:tcPr>
            <w:tcW w:type="dxa" w:w="1984"/>
          </w:tcPr>
          <w:p>
            <w:r/>
            <w:r>
              <w:rPr>
                <w:sz w:val="18"/>
              </w:rPr>
              <w:t>4,50/5</w:t>
            </w:r>
          </w:p>
        </w:tc>
      </w:tr>
      <w:tr>
        <w:tc>
          <w:tcPr>
            <w:tcW w:type="dxa" w:w="3969"/>
          </w:tcPr>
          <w:p>
            <w:r/>
            <w:r>
              <w:rPr>
                <w:sz w:val="18"/>
              </w:rPr>
              <w:t>Qualité des matériaux et matériels employés</w:t>
            </w:r>
          </w:p>
        </w:tc>
        <w:tc>
          <w:tcPr>
            <w:tcW w:type="dxa" w:w="1417"/>
          </w:tcPr>
          <w:p>
            <w:r/>
            <w:r>
              <w:rPr>
                <w:sz w:val="18"/>
              </w:rPr>
              <w:t>15 %</w:t>
            </w:r>
          </w:p>
        </w:tc>
        <w:tc>
          <w:tcPr>
            <w:tcW w:type="dxa" w:w="1417"/>
          </w:tcPr>
          <w:p>
            <w:r/>
            <w:r>
              <w:rPr>
                <w:sz w:val="18"/>
              </w:rPr>
              <w:t>17/20</w:t>
            </w:r>
          </w:p>
        </w:tc>
        <w:tc>
          <w:tcPr>
            <w:tcW w:type="dxa" w:w="1984"/>
          </w:tcPr>
          <w:p>
            <w:r/>
            <w:r>
              <w:rPr>
                <w:sz w:val="18"/>
              </w:rPr>
              <w:t>12,75/15</w:t>
            </w:r>
          </w:p>
        </w:tc>
      </w:tr>
      <w:tr>
        <w:tc>
          <w:tcPr>
            <w:tcW w:type="dxa" w:w="3969"/>
          </w:tcPr>
          <w:p>
            <w:r/>
            <w:r>
              <w:rPr>
                <w:sz w:val="18"/>
              </w:rPr>
              <w:t>Optimisation du planning d'exécution</w:t>
            </w:r>
          </w:p>
        </w:tc>
        <w:tc>
          <w:tcPr>
            <w:tcW w:type="dxa" w:w="1417"/>
          </w:tcPr>
          <w:p>
            <w:r/>
            <w:r>
              <w:rPr>
                <w:sz w:val="18"/>
              </w:rPr>
              <w:t>10 %</w:t>
            </w:r>
          </w:p>
        </w:tc>
        <w:tc>
          <w:tcPr>
            <w:tcW w:type="dxa" w:w="1417"/>
          </w:tcPr>
          <w:p>
            <w:r/>
            <w:r>
              <w:rPr>
                <w:sz w:val="18"/>
              </w:rPr>
              <w:t>17/20</w:t>
            </w:r>
          </w:p>
        </w:tc>
        <w:tc>
          <w:tcPr>
            <w:tcW w:type="dxa" w:w="1984"/>
          </w:tcPr>
          <w:p>
            <w:r/>
            <w:r>
              <w:rPr>
                <w:sz w:val="18"/>
              </w:rPr>
              <w:t>8,50/10</w:t>
            </w:r>
          </w:p>
        </w:tc>
      </w:tr>
      <w:tr>
        <w:tc>
          <w:tcPr>
            <w:tcW w:type="dxa" w:w="3969"/>
          </w:tcPr>
          <w:p>
            <w:r/>
            <w:r>
              <w:rPr>
                <w:sz w:val="18"/>
              </w:rPr>
              <w:t>Démarche environnementale</w:t>
            </w:r>
          </w:p>
        </w:tc>
        <w:tc>
          <w:tcPr>
            <w:tcW w:type="dxa" w:w="1417"/>
          </w:tcPr>
          <w:p>
            <w:r/>
            <w:r>
              <w:rPr>
                <w:sz w:val="18"/>
              </w:rPr>
              <w:t>15 %</w:t>
            </w:r>
          </w:p>
        </w:tc>
        <w:tc>
          <w:tcPr>
            <w:tcW w:type="dxa" w:w="1417"/>
          </w:tcPr>
          <w:p>
            <w:r/>
            <w:r>
              <w:rPr>
                <w:sz w:val="18"/>
              </w:rPr>
              <w:t>16/20</w:t>
            </w:r>
          </w:p>
        </w:tc>
        <w:tc>
          <w:tcPr>
            <w:tcW w:type="dxa" w:w="1984"/>
          </w:tcPr>
          <w:p>
            <w:r/>
            <w:r>
              <w:rPr>
                <w:sz w:val="18"/>
              </w:rPr>
              <w:t>12,00/15</w:t>
            </w:r>
          </w:p>
        </w:tc>
      </w:tr>
      <w:tr>
        <w:tc>
          <w:tcPr>
            <w:tcW w:type="dxa" w:w="3969"/>
          </w:tcPr>
          <w:p>
            <w:r/>
            <w:r>
              <w:rPr>
                <w:sz w:val="18"/>
              </w:rPr>
              <w:t>TOTAL Critère 1 — Valeur technique</w:t>
            </w:r>
          </w:p>
        </w:tc>
        <w:tc>
          <w:tcPr>
            <w:tcW w:type="dxa" w:w="1417"/>
          </w:tcPr>
          <w:p>
            <w:r/>
            <w:r>
              <w:rPr>
                <w:sz w:val="18"/>
              </w:rPr>
              <w:t>60 %</w:t>
            </w:r>
          </w:p>
        </w:tc>
        <w:tc>
          <w:tcPr>
            <w:tcW w:type="dxa" w:w="1417"/>
          </w:tcPr>
          <w:p>
            <w:r/>
            <w:r>
              <w:rPr>
                <w:sz w:val="18"/>
              </w:rPr>
              <w:t>—</w:t>
            </w:r>
          </w:p>
        </w:tc>
        <w:tc>
          <w:tcPr>
            <w:tcW w:type="dxa" w:w="1984"/>
          </w:tcPr>
          <w:p>
            <w:r/>
            <w:r>
              <w:rPr>
                <w:sz w:val="18"/>
              </w:rPr>
              <w:t>50,50/60</w:t>
            </w:r>
          </w:p>
        </w:tc>
      </w:tr>
    </w:tbl>
    <w:p/>
    <w:p>
      <w:r>
        <w:rPr>
          <w:b w:val="0"/>
          <w:i/>
          <w:sz w:val="18"/>
        </w:rPr>
        <w:t>Le Critère 2 (Prix — 40 %) n'est pas noté ici : il relève du BPU/DPGF, document distinct du présent mémoire technique.</w:t>
      </w:r>
    </w:p>
    <w:tbl>
      <w:tblPr>
        <w:tblStyle w:val="TableGrid"/>
        <w:tblW w:type="auto" w:w="0"/>
        <w:tblLook w:firstColumn="1" w:firstRow="1" w:lastColumn="0" w:lastRow="0" w:noHBand="0" w:noVBand="1" w:val="04A0"/>
      </w:tblPr>
      <w:tblGrid>
        <w:gridCol w:w="10200"/>
      </w:tblGrid>
      <w:tr>
        <w:tc>
          <w:tcPr>
            <w:tcW w:type="dxa" w:w="10200"/>
            <w:shd w:val="clear" w:color="auto" w:fill="FDEBEA"/>
          </w:tcPr>
          <w:p>
            <w:r/>
            <w:r>
              <w:rPr>
                <w:b/>
                <w:color w:val="C00000"/>
                <w:sz w:val="19"/>
              </w:rPr>
              <w:t xml:space="preserve">NOTE CONDITIONNELLE — </w:t>
            </w:r>
            <w:r>
              <w:rPr>
                <w:color w:val="1F3A5F"/>
                <w:sz w:val="19"/>
              </w:rPr>
              <w:t>50,5/60 sur la Valeur technique est atteignable SI les 5 erreurs factuelles listées au chapitre 2 sont corrigées avant dépôt. En l'état actuel, la contradiction sur le délai global (« 5 mois » puis « 14 mois » dans le même tableau) et la mention d'un hôpital différent (« CHIPS ») dans la même page que les références clients constituent un risque de crédibilité, voire d'irrecevabilité si l'écart de qualification Qualibat se confirme.</w:t>
            </w:r>
          </w:p>
        </w:tc>
      </w:tr>
    </w:tbl>
    <w:p/>
    <w:p>
      <w:pPr>
        <w:spacing w:before="360" w:after="120"/>
        <w:pBdr>
          <w:bottom w:val="single" w:sz="8" w:space="4" w:color="2E74B5"/>
        </w:pBdr>
      </w:pPr>
      <w:r>
        <w:rPr>
          <w:b/>
          <w:color w:val="2E74B5"/>
          <w:sz w:val="28"/>
        </w:rPr>
        <w:t>2. ERREURS FACTUELLES À CORRIGER AVANT DÉPÔT (PRIORITÉ HAUTE)</w:t>
      </w:r>
    </w:p>
    <w:p>
      <w:r>
        <w:rPr>
          <w:b w:val="0"/>
          <w:i w:val="0"/>
          <w:sz w:val="21"/>
        </w:rPr>
        <w:t>Ces 5 points se trouvent tous dans la section « Présentation du candidat » ajoutée en tête de document (avant le chapitre 1), et non dans les chapitres techniques 1 à 7. Ils doivent être corrigés avant la date limite du 08 septembre 2026, 12h00.</w:t>
      </w:r>
    </w:p>
    <w:p>
      <w:pPr>
        <w:spacing w:before="160" w:after="60"/>
      </w:pPr>
      <w:r>
        <w:rPr>
          <w:b/>
          <w:i/>
          <w:color w:val="2E74B5"/>
          <w:sz w:val="21"/>
        </w:rPr>
        <w:t>2.1. Contradiction sur le délai global d'exécution</w:t>
      </w:r>
    </w:p>
    <w:p>
      <w:r>
        <w:rPr>
          <w:b w:val="0"/>
          <w:i w:val="0"/>
          <w:sz w:val="21"/>
        </w:rPr>
        <w:t>Le tableau d'identification en page de garde contient deux lignes intitulées « Délai global d'exécution » avec des valeurs contradictoires : la première indique « 5 mois, dont 1 mois de préparation de chantier », conforme à l'Acte d'Engagement et au chapitre 5 du mémoire (planning détaillé) ; la seconde indique « 14 mois », sans lien apparent avec le projet. Cette seconde ligne semble être un résidu d'un autre modèle de document non nettoyé.</w:t>
      </w:r>
    </w:p>
    <w:tbl>
      <w:tblPr>
        <w:tblStyle w:val="TableGrid"/>
        <w:tblW w:type="auto" w:w="0"/>
        <w:tblLook w:firstColumn="1" w:firstRow="1" w:lastColumn="0" w:lastRow="0" w:noHBand="0" w:noVBand="1" w:val="04A0"/>
      </w:tblPr>
      <w:tblGrid>
        <w:gridCol w:w="10200"/>
      </w:tblGrid>
      <w:tr>
        <w:tc>
          <w:tcPr>
            <w:tcW w:type="dxa" w:w="10200"/>
            <w:shd w:val="clear" w:color="auto" w:fill="FDEBEA"/>
          </w:tcPr>
          <w:p>
            <w:r/>
            <w:r>
              <w:rPr>
                <w:b/>
                <w:color w:val="C00000"/>
                <w:sz w:val="19"/>
              </w:rPr>
              <w:t xml:space="preserve">Action requise — </w:t>
            </w:r>
            <w:r>
              <w:rPr>
                <w:color w:val="1F3A5F"/>
                <w:sz w:val="19"/>
              </w:rPr>
              <w:t>Supprimer la ligne « Délai global d'exécution : 14 mois ». Ne conserver que « 5 mois, dont 1 mois de préparation ».</w:t>
            </w:r>
          </w:p>
        </w:tc>
      </w:tr>
    </w:tbl>
    <w:p/>
    <w:p>
      <w:pPr>
        <w:spacing w:before="160" w:after="60"/>
      </w:pPr>
      <w:r>
        <w:rPr>
          <w:b/>
          <w:i/>
          <w:color w:val="2E74B5"/>
          <w:sz w:val="21"/>
        </w:rPr>
        <w:t>2.2. Référence à un établissement hospitalier différent (« CHIPS »)</w:t>
      </w:r>
    </w:p>
    <w:p>
      <w:r>
        <w:rPr>
          <w:b w:val="0"/>
          <w:i w:val="0"/>
          <w:sz w:val="21"/>
        </w:rPr>
        <w:t>Dans le paragraphe de conclusion de la partie « Références similaires », le texte indique : « Ces chantiers illustrent notre capacité à intervenir dans des environnements contraints (...) directement transposable au bâtiment historique occupé du CHIPS. » Le sigle CHIPS (vraisemblablement Centre Hospitalier Intercommunal Poissy-Saint-Germain, ou un autre établissement) n'a aucun rapport avec l'opération faisant l'objet du présent marché (hôpital René Muret, AP-HP HUPSSD). Il s'agit manifestement d'un texte copié depuis un mémoire technique rédigé pour une autre consultation.</w:t>
      </w:r>
    </w:p>
    <w:tbl>
      <w:tblPr>
        <w:tblStyle w:val="TableGrid"/>
        <w:tblW w:type="auto" w:w="0"/>
        <w:tblLook w:firstColumn="1" w:firstRow="1" w:lastColumn="0" w:lastRow="0" w:noHBand="0" w:noVBand="1" w:val="04A0"/>
      </w:tblPr>
      <w:tblGrid>
        <w:gridCol w:w="10200"/>
      </w:tblGrid>
      <w:tr>
        <w:tc>
          <w:tcPr>
            <w:tcW w:type="dxa" w:w="10200"/>
            <w:shd w:val="clear" w:color="auto" w:fill="FDEBEA"/>
          </w:tcPr>
          <w:p>
            <w:r/>
            <w:r>
              <w:rPr>
                <w:b/>
                <w:color w:val="C00000"/>
                <w:sz w:val="19"/>
              </w:rPr>
              <w:t xml:space="preserve">Action requise — </w:t>
            </w:r>
            <w:r>
              <w:rPr>
                <w:color w:val="1F3A5F"/>
                <w:sz w:val="19"/>
              </w:rPr>
              <w:t>Remplacer « transposable au bâtiment historique occupé du CHIPS » par une formulation propre à l'opération (ex. « transposable au bâtiment Madeleine Brès de l'hôpital René Muret, en site hospitalier occupé »).</w:t>
            </w:r>
          </w:p>
        </w:tc>
      </w:tr>
    </w:tbl>
    <w:p/>
    <w:p>
      <w:pPr>
        <w:spacing w:before="160" w:after="60"/>
      </w:pPr>
      <w:r>
        <w:rPr>
          <w:b/>
          <w:i/>
          <w:color w:val="2E74B5"/>
          <w:sz w:val="21"/>
        </w:rPr>
        <w:t>2.3. Incohérence sur le capital social de l'entreprise</w:t>
      </w:r>
    </w:p>
    <w:p>
      <w:r>
        <w:rPr>
          <w:b w:val="0"/>
          <w:i w:val="0"/>
          <w:sz w:val="21"/>
        </w:rPr>
        <w:t>Le tableau de présentation du candidat indique « SAS au capital de 110 000 € ». Or l'Acte d'Engagement du marché (pièce officielle signée par M. Akram Waseem) mentionne un capital de « 200 000 € », valeur reprise dans l'Attestation de moyens matériels déjà produite. Le pied de page du modèle SOGED de l'entreprise indique quant à lui « 110 000 € », ce qui suggère que cette valeur est celle utilisée historiquement par l'entreprise dans ses courriers, mais qu'elle n'a pas été mise à jour après une éventuelle augmentation de capital à 200 000 €.</w:t>
      </w:r>
    </w:p>
    <w:tbl>
      <w:tblPr>
        <w:tblStyle w:val="TableGrid"/>
        <w:tblW w:type="auto" w:w="0"/>
        <w:tblLook w:firstColumn="1" w:firstRow="1" w:lastColumn="0" w:lastRow="0" w:noHBand="0" w:noVBand="1" w:val="04A0"/>
      </w:tblPr>
      <w:tblGrid>
        <w:gridCol w:w="10200"/>
      </w:tblGrid>
      <w:tr>
        <w:tc>
          <w:tcPr>
            <w:tcW w:type="dxa" w:w="10200"/>
            <w:shd w:val="clear" w:color="auto" w:fill="FDEBEA"/>
          </w:tcPr>
          <w:p>
            <w:r/>
            <w:r>
              <w:rPr>
                <w:b/>
                <w:color w:val="C00000"/>
                <w:sz w:val="19"/>
              </w:rPr>
              <w:t xml:space="preserve">Action requise — </w:t>
            </w:r>
            <w:r>
              <w:rPr>
                <w:color w:val="1F3A5F"/>
                <w:sz w:val="19"/>
              </w:rPr>
              <w:t>Vérifier le montant exact du capital social auprès du service comptable/juridique de l'entreprise (K-bis à jour) et harmoniser cette valeur dans TOUS les documents du dossier de candidature (mémoire technique, SOGED, actes d'engagement, attestations).</w:t>
            </w:r>
          </w:p>
        </w:tc>
      </w:tr>
    </w:tbl>
    <w:p/>
    <w:p>
      <w:pPr>
        <w:spacing w:before="160" w:after="60"/>
      </w:pPr>
      <w:r>
        <w:rPr>
          <w:b/>
          <w:i/>
          <w:color w:val="2E74B5"/>
          <w:sz w:val="21"/>
        </w:rPr>
        <w:t>2.4. Décalage possible entre qualification Qualibat détenue et qualification requise</w:t>
      </w:r>
    </w:p>
    <w:p>
      <w:r>
        <w:rPr>
          <w:b w:val="0"/>
          <w:i w:val="0"/>
          <w:sz w:val="21"/>
        </w:rPr>
        <w:t>La fiche d'identification indique en « Qualifications requises pour le lot » les codes « QUALIBAT 6111 - 6222 – 6611 », tandis que la présentation de l'entreprise indique que France Décoration est titulaire des codes « 6112 (Peinture) et 6222 (Revêtements résilients PVC / Revêtements de sol) ». Le code 6222 concorde, mais 6111 et 6611 (exigés) ne correspondent pas exactement au code 6112 détenu par l'entreprise — ces codes Qualibat désignent des sous-catégories précises et un écart de chiffre n'est pas anodin.</w:t>
      </w:r>
    </w:p>
    <w:tbl>
      <w:tblPr>
        <w:tblStyle w:val="TableGrid"/>
        <w:tblW w:type="auto" w:w="0"/>
        <w:tblLook w:firstColumn="1" w:firstRow="1" w:lastColumn="0" w:lastRow="0" w:noHBand="0" w:noVBand="1" w:val="04A0"/>
      </w:tblPr>
      <w:tblGrid>
        <w:gridCol w:w="10200"/>
      </w:tblGrid>
      <w:tr>
        <w:tc>
          <w:tcPr>
            <w:tcW w:type="dxa" w:w="10200"/>
            <w:shd w:val="clear" w:color="auto" w:fill="FDEBEA"/>
          </w:tcPr>
          <w:p>
            <w:r/>
            <w:r>
              <w:rPr>
                <w:b/>
                <w:color w:val="C00000"/>
                <w:sz w:val="19"/>
              </w:rPr>
              <w:t xml:space="preserve">Action requise — vérification prioritaire — </w:t>
            </w:r>
            <w:r>
              <w:rPr>
                <w:color w:val="1F3A5F"/>
                <w:sz w:val="19"/>
              </w:rPr>
              <w:t>Confirmer si « 6111 - 6222 - 6611 » (exigés par le RC) et « 6112 - 6222 » (détenus) est une simple erreur de frappe dans le mémoire, ou un réel écart de qualification. Si l'écart est réel, il convient de vérifier auprès du Règlement de Consultation quelles qualifications sont strictement exigées pour la recevabilité de la candidature, avant le dépôt.</w:t>
            </w:r>
          </w:p>
        </w:tc>
      </w:tr>
    </w:tbl>
    <w:p/>
    <w:p>
      <w:pPr>
        <w:spacing w:before="160" w:after="60"/>
      </w:pPr>
      <w:r>
        <w:rPr>
          <w:b/>
          <w:i/>
          <w:color w:val="2E74B5"/>
          <w:sz w:val="21"/>
        </w:rPr>
        <w:t>2.5. Doublon dans le tableau de présentation du candidat</w:t>
      </w:r>
    </w:p>
    <w:p>
      <w:r>
        <w:rPr>
          <w:b w:val="0"/>
          <w:i w:val="0"/>
          <w:sz w:val="21"/>
        </w:rPr>
        <w:t>Dans le même tableau, la ligne « Interlocuteur unique marché : GHOBECH ALI » apparaît deux fois de façon identique dans les deux cellules d'une même ligne (au lieu d'informations distinctes). Ceci est vraisemblablement un artefact de mise en page (copier-coller non corrigé) plutôt qu'une erreur de fond, mais nuit à la lisibilité de cette page de garde.</w:t>
      </w:r>
    </w:p>
    <w:tbl>
      <w:tblPr>
        <w:tblStyle w:val="TableGrid"/>
        <w:tblW w:type="auto" w:w="0"/>
        <w:tblLook w:firstColumn="1" w:firstRow="1" w:lastColumn="0" w:lastRow="0" w:noHBand="0" w:noVBand="1" w:val="04A0"/>
      </w:tblPr>
      <w:tblGrid>
        <w:gridCol w:w="10200"/>
      </w:tblGrid>
      <w:tr>
        <w:tc>
          <w:tcPr>
            <w:tcW w:type="dxa" w:w="10200"/>
            <w:shd w:val="clear" w:color="auto" w:fill="FDEBEA"/>
          </w:tcPr>
          <w:p>
            <w:r/>
            <w:r>
              <w:rPr>
                <w:b/>
                <w:color w:val="C00000"/>
                <w:sz w:val="19"/>
              </w:rPr>
              <w:t xml:space="preserve">Action requise — </w:t>
            </w:r>
            <w:r>
              <w:rPr>
                <w:color w:val="1F3A5F"/>
                <w:sz w:val="19"/>
              </w:rPr>
              <w:t>Corriger la mise en page du tableau pour éviter la répétition à l'identique du même contenu dans deux cellules.</w:t>
            </w:r>
          </w:p>
        </w:tc>
      </w:tr>
    </w:tbl>
    <w:p/>
    <w:p>
      <w:pPr>
        <w:spacing w:before="360" w:after="120"/>
        <w:pBdr>
          <w:bottom w:val="single" w:sz="8" w:space="4" w:color="2E74B5"/>
        </w:pBdr>
      </w:pPr>
      <w:r>
        <w:rPr>
          <w:b/>
          <w:color w:val="2E74B5"/>
          <w:sz w:val="28"/>
        </w:rPr>
        <w:t>3. POINT DE VIGILANCE COMPLÉMENTAIRE (À VÉRIFIER, NON BLOQUANT)</w:t>
      </w:r>
    </w:p>
    <w:p>
      <w:pPr>
        <w:spacing w:before="160" w:after="60"/>
      </w:pPr>
      <w:r>
        <w:rPr>
          <w:b/>
          <w:i/>
          <w:color w:val="2E74B5"/>
          <w:sz w:val="21"/>
        </w:rPr>
        <w:t>3.1. Références clients non retrouvées dans les pièces du dossier</w:t>
      </w:r>
    </w:p>
    <w:p>
      <w:r>
        <w:rPr>
          <w:b w:val="0"/>
          <w:i w:val="0"/>
          <w:sz w:val="21"/>
        </w:rPr>
        <w:t>La section « Présentation du candidat » cite des références (Hôpital Foch Suresnes, Centre Hospitalier André Mignot, Centre d'Imagerie Médicale IMEGA, EHPAD Le Parc, Hôpital et Psychiatrie de Beaumont-sur-Oise) qui ne figurent pas dans l'Annexe 9 — Référence Chantier utilisée pour construire le tableau de références du chapitre 3 (§ 3.5) du mémoire technique. Certaines se recoupent probablement avec les références déjà validées (ex. Foch, Charmilles), mais la liste de cette section n'a pas pu être vérifiée avec les mêmes pièces sources que le reste du mémoire.</w:t>
      </w:r>
    </w:p>
    <w:p>
      <w:pPr>
        <w:pStyle w:val="ListBullet"/>
      </w:pPr>
      <w:r>
        <w:t>Vérifier que chaque référence citée dans la présentation du candidat dispose bien d'une attestation de bonne exécution jointe au dossier de candidature, au même titre que les références du chapitre 3.</w:t>
      </w:r>
    </w:p>
    <w:p>
      <w:pPr>
        <w:pStyle w:val="ListBullet"/>
      </w:pPr>
      <w:r>
        <w:t>Envisager d'harmoniser les deux listes de références (présentation du candidat / chapitre 3, § 3.5) pour éviter que le jury ne recoupe deux tableaux différents pour un même candidat.</w:t>
      </w:r>
    </w:p>
    <w:p>
      <w:pPr>
        <w:spacing w:before="160" w:after="60"/>
      </w:pPr>
      <w:r>
        <w:rPr>
          <w:b/>
          <w:i/>
          <w:color w:val="2E74B5"/>
          <w:sz w:val="21"/>
        </w:rPr>
        <w:t>3.2. Ressort du Registre du Commerce et des Sociétés</w:t>
      </w:r>
    </w:p>
    <w:p>
      <w:r>
        <w:rPr>
          <w:b w:val="0"/>
          <w:i/>
          <w:sz w:val="21"/>
        </w:rPr>
        <w:t>Le tableau de présentation indique « RCS Meaux : 823 616 461 », alors que le siège social est déclaré à Livry-Gargan (93190), qui relève normalement du greffe de Bobigny. Ceci peut s'expliquer si l'immatriculation d'origine de l'entreprise a eu lieu via son autre implantation de La Houssaye-en-Brie (77, ressort de Meaux) et n'a pas été transférée depuis. À vérifier sur un extrait K-bis à jour avant dépôt, par précaution.</w:t>
      </w:r>
    </w:p>
    <w:p>
      <w:pPr>
        <w:spacing w:before="360" w:after="120"/>
        <w:pBdr>
          <w:bottom w:val="single" w:sz="8" w:space="4" w:color="2E74B5"/>
        </w:pBdr>
      </w:pPr>
      <w:r>
        <w:rPr>
          <w:b/>
          <w:color w:val="2E74B5"/>
          <w:sz w:val="28"/>
        </w:rPr>
        <w:t>4. APPRÉCIATION DÉTAILLÉE PAR SOUS-CRITÈRE (CHAPITRES 1 À 7)</w:t>
      </w:r>
    </w:p>
    <w:p>
      <w:pPr>
        <w:spacing w:before="240" w:after="80"/>
      </w:pPr>
      <w:r>
        <w:rPr>
          <w:b/>
          <w:color w:val="1F3A5F"/>
          <w:sz w:val="24"/>
        </w:rPr>
        <w:t>4.1. Organisation et méthodologie d'exécution (15 %) — 17/20</w:t>
      </w:r>
    </w:p>
    <w:p>
      <w:r>
        <w:rPr>
          <w:b/>
          <w:i w:val="0"/>
          <w:sz w:val="20"/>
        </w:rPr>
        <w:t>Points forts :</w:t>
      </w:r>
    </w:p>
    <w:p>
      <w:pPr>
        <w:pStyle w:val="ListBullet"/>
      </w:pPr>
      <w:r>
        <w:t>tableau de correspondance produits/fiches techniques/articles CCTP construit à partir du dossier de fiches techniques réel (Ecophon, Placo, Beissier, Seigneurie, Caparol, Sinto, Weber, Cegecol, Uzin, Gerflor, Dinac) ;</w:t>
      </w:r>
    </w:p>
    <w:p>
      <w:pPr>
        <w:pStyle w:val="ListBullet"/>
      </w:pPr>
      <w:r>
        <w:t>méthodologie détaillée par ouvrage (faux plafonds, peinture, sols souples), présentée sous forme de tableaux d'étapes plutôt que de texte continu, facilitant la lecture par le jury ;</w:t>
      </w:r>
    </w:p>
    <w:p>
      <w:pPr>
        <w:pStyle w:val="ListBullet"/>
      </w:pPr>
      <w:r>
        <w:t>séquençage logique des corps de métier (plafonds → peinture → sols) justifié techniquement, et cohérence systématique avec le planning du chapitre 5.</w:t>
      </w:r>
    </w:p>
    <w:p>
      <w:r>
        <w:rPr>
          <w:b/>
          <w:i w:val="0"/>
          <w:sz w:val="20"/>
        </w:rPr>
        <w:t>Point de vigilance :</w:t>
      </w:r>
    </w:p>
    <w:p>
      <w:pPr>
        <w:pStyle w:val="ListBullet"/>
      </w:pPr>
      <w:r>
        <w:t>le § 2.10 (sols souples) mentionne un effectif fixe de « 2 personnes » sans rappeler la possibilité de renfort jusqu'à 5 personnes, pourtant indiquée au chapitre 5 (§ 5.7) — gain de cohérence possible en alignant les deux mentions.</w:t>
      </w:r>
    </w:p>
    <w:p>
      <w:pPr>
        <w:spacing w:before="240" w:after="80"/>
      </w:pPr>
      <w:r>
        <w:rPr>
          <w:b/>
          <w:color w:val="1F3A5F"/>
          <w:sz w:val="24"/>
        </w:rPr>
        <w:t>4.2. Moyens matériels et effectifs affectés (5 %) — 18/20</w:t>
      </w:r>
    </w:p>
    <w:p>
      <w:r>
        <w:rPr>
          <w:b/>
          <w:i w:val="0"/>
          <w:sz w:val="20"/>
        </w:rPr>
        <w:t>Points forts :</w:t>
      </w:r>
    </w:p>
    <w:p>
      <w:pPr>
        <w:pStyle w:val="ListBullet"/>
      </w:pPr>
      <w:r>
        <w:t>organigramme nominatif complet, personnel réellement identifié (CV réels), 100% du personnel-clé certifié ou sensibilisé Amiante SS4, différenciateur fort pour un bâtiment ancien ;</w:t>
      </w:r>
    </w:p>
    <w:p>
      <w:pPr>
        <w:pStyle w:val="ListBullet"/>
      </w:pPr>
      <w:r>
        <w:t>inventaire matériel exhaustif (78 matériels/moyens recensés dans l'Attestation dédiée), 4 locaux de stockage réels et positionnés en Île-de-France ;</w:t>
      </w:r>
    </w:p>
    <w:p>
      <w:pPr>
        <w:pStyle w:val="ListBullet"/>
      </w:pPr>
      <w:r>
        <w:t>dispositif de continuité des effectifs explicite (doublement Conducteur/Chef de Chantier).</w:t>
      </w:r>
    </w:p>
    <w:p>
      <w:r>
        <w:rPr>
          <w:b/>
          <w:i w:val="0"/>
          <w:sz w:val="20"/>
        </w:rPr>
        <w:t>Point de vigilance :</w:t>
      </w:r>
    </w:p>
    <w:p>
      <w:pPr>
        <w:pStyle w:val="ListBullet"/>
      </w:pPr>
      <w:r>
        <w:t>aucun — chapitre parmi les plus solides du dossier.</w:t>
      </w:r>
    </w:p>
    <w:p>
      <w:pPr>
        <w:spacing w:before="240" w:after="80"/>
      </w:pPr>
      <w:r>
        <w:rPr>
          <w:b/>
          <w:color w:val="1F3A5F"/>
          <w:sz w:val="24"/>
        </w:rPr>
        <w:t>4.3. Qualité des matériaux et matériels employés (15 %) — 17/20</w:t>
      </w:r>
    </w:p>
    <w:p>
      <w:r>
        <w:rPr>
          <w:b/>
          <w:i w:val="0"/>
          <w:sz w:val="20"/>
        </w:rPr>
        <w:t>Points forts :</w:t>
      </w:r>
    </w:p>
    <w:p>
      <w:pPr>
        <w:pStyle w:val="ListBullet"/>
      </w:pPr>
      <w:r>
        <w:t>données produits systématiquement sourcées depuis les fiches techniques réelles (classes de réaction au feu, classements UPEC, teneurs en COV, contenu recyclé, empreinte carbone) ;</w:t>
      </w:r>
    </w:p>
    <w:p>
      <w:pPr>
        <w:pStyle w:val="ListBullet"/>
      </w:pPr>
      <w:r>
        <w:t>tableau de conformité CCTP par article (§ 4.9), qui facilite la vérification croisée par la MOE ;</w:t>
      </w:r>
    </w:p>
    <w:p>
      <w:pPr>
        <w:pStyle w:val="ListBullet"/>
      </w:pPr>
      <w:r>
        <w:t>inventaire des justificatifs disponibles (FT, FDS, PV, certificats) bien structuré en fin de chapitre.</w:t>
      </w:r>
    </w:p>
    <w:p>
      <w:r>
        <w:rPr>
          <w:b/>
          <w:i w:val="0"/>
          <w:sz w:val="20"/>
        </w:rPr>
        <w:t>Point de vigilance :</w:t>
      </w:r>
    </w:p>
    <w:p>
      <w:pPr>
        <w:pStyle w:val="ListBullet"/>
      </w:pPr>
      <w:r>
        <w:t>les données COV/environnementales de certains produits (Sintobois, Freitamétal) sont un peu moins développées que celles des produits phares (Ecophon, Gerflor, Caparol) — écart mineur, sans incidence sur la conformité.</w:t>
      </w:r>
    </w:p>
    <w:p>
      <w:pPr>
        <w:spacing w:before="240" w:after="80"/>
      </w:pPr>
      <w:r>
        <w:rPr>
          <w:b/>
          <w:color w:val="1F3A5F"/>
          <w:sz w:val="24"/>
        </w:rPr>
        <w:t>4.4. Optimisation du planning d'exécution (10 %) — 17/20</w:t>
      </w:r>
    </w:p>
    <w:p>
      <w:r>
        <w:rPr>
          <w:b/>
          <w:i w:val="0"/>
          <w:sz w:val="20"/>
        </w:rPr>
        <w:t>Points forts :</w:t>
      </w:r>
    </w:p>
    <w:p>
      <w:pPr>
        <w:pStyle w:val="ListBullet"/>
      </w:pPr>
      <w:r>
        <w:t>planning entièrement reconstruit à partir du fichier Planning.xlsx réel de l'entreprise (décodage des semaines actives par couleur de cellule) et du calendrier de la MOE ;</w:t>
      </w:r>
    </w:p>
    <w:p>
      <w:pPr>
        <w:pStyle w:val="ListBullet"/>
      </w:pPr>
      <w:r>
        <w:t>marge de sécurité de 4 semaines clairement justifiée et intégrée à la logique de gestion des aléas ;</w:t>
      </w:r>
    </w:p>
    <w:p>
      <w:pPr>
        <w:pStyle w:val="ListBullet"/>
      </w:pPr>
      <w:r>
        <w:t>dépendance vis-à-vis du Lot 1 (renfort structurel HEB220) explicitement anticipée et suivie d'une mesure de repli.</w:t>
      </w:r>
    </w:p>
    <w:p>
      <w:r>
        <w:rPr>
          <w:b/>
          <w:i w:val="0"/>
          <w:sz w:val="20"/>
        </w:rPr>
        <w:t>Point de vigilance :</w:t>
      </w:r>
    </w:p>
    <w:p>
      <w:pPr>
        <w:pStyle w:val="ListBullet"/>
      </w:pPr>
      <w:r>
        <w:t>le respect du délai contractuel de 45 jours (chapitre 5) doit rester cohérent avec le délai global de « 5 mois » réaffirmé partout ailleurs — à ce titre, la ligne parasite « 14 mois » du tableau de garde (cf. § 2.1) est d'autant plus à corriger qu'elle contredit ce chapitre entier.</w:t>
      </w:r>
    </w:p>
    <w:p>
      <w:pPr>
        <w:spacing w:before="240" w:after="80"/>
      </w:pPr>
      <w:r>
        <w:rPr>
          <w:b/>
          <w:color w:val="1F3A5F"/>
          <w:sz w:val="24"/>
        </w:rPr>
        <w:t>4.5. Démarche environnementale (15 %) — 16/20</w:t>
      </w:r>
    </w:p>
    <w:p>
      <w:r>
        <w:rPr>
          <w:b/>
          <w:i w:val="0"/>
          <w:sz w:val="20"/>
        </w:rPr>
        <w:t>Points forts :</w:t>
      </w:r>
    </w:p>
    <w:p>
      <w:pPr>
        <w:pStyle w:val="ListBullet"/>
      </w:pPr>
      <w:r>
        <w:t>mélange réussi de tableaux, graphiques (répartition des déchets par flux, taux de valorisation, courbe de production) et paragraphes chiffrés, conformément à la demande ;</w:t>
      </w:r>
    </w:p>
    <w:p>
      <w:pPr>
        <w:pStyle w:val="ListBullet"/>
      </w:pPr>
      <w:r>
        <w:t>tri en 7 flux réglementaires (loi AGEC) + flux amiante spécifique, cohérent avec la certification SS4 de l'entreprise ;</w:t>
      </w:r>
    </w:p>
    <w:p>
      <w:pPr>
        <w:pStyle w:val="ListBullet"/>
      </w:pPr>
      <w:r>
        <w:t>objectif de valorisation (82%) explicitement positionné au-dessus de l'objectif national (70%), argument de différenciation clair.</w:t>
      </w:r>
    </w:p>
    <w:p>
      <w:r>
        <w:rPr>
          <w:b/>
          <w:i w:val="0"/>
          <w:sz w:val="20"/>
        </w:rPr>
        <w:t>Point de vigilance :</w:t>
      </w:r>
    </w:p>
    <w:p>
      <w:pPr>
        <w:pStyle w:val="ListBullet"/>
      </w:pPr>
      <w:r>
        <w:t>les indicateurs chiffrés (4,0 t de déchets, consommations d'eau/électricité, réduction de 30% des rotations de véhicules) sont des estimations prévisionnelles, explicitement présentées comme telles en fin de chapitre — bonne pratique à maintenir, mais le jury peut légitimement demander sur quelle base ces estimations ont été construites : prévoir une réponse argumentée en cas de question complémentaire.</w:t>
      </w:r>
    </w:p>
    <w:p>
      <w:pPr>
        <w:spacing w:before="240" w:after="80"/>
      </w:pPr>
      <w:r>
        <w:rPr>
          <w:b/>
          <w:color w:val="1F3A5F"/>
          <w:sz w:val="24"/>
        </w:rPr>
        <w:t>4.6. Chapitre 7 — Engagements de France Décoration</w:t>
      </w:r>
    </w:p>
    <w:p>
      <w:r>
        <w:rPr>
          <w:b w:val="0"/>
          <w:i w:val="0"/>
          <w:sz w:val="21"/>
        </w:rPr>
        <w:t>Chapitre de synthèse cohérent, qui reprend fidèlement et sans contradiction les engagements chiffrés des chapitres 1 à 6. Utile au jury comme grille de lecture rapide des points clés du dossier. Aucune anomalie relevée dans ce chapitre.</w:t>
      </w:r>
    </w:p>
    <w:p>
      <w:pPr>
        <w:spacing w:before="360" w:after="120"/>
        <w:pBdr>
          <w:bottom w:val="single" w:sz="8" w:space="4" w:color="2E74B5"/>
        </w:pBdr>
      </w:pPr>
      <w:r>
        <w:rPr>
          <w:b/>
          <w:color w:val="2E74B5"/>
          <w:sz w:val="28"/>
        </w:rPr>
        <w:t>5. RECOMMANDATIONS AVANT DÉPÔT</w:t>
      </w:r>
    </w:p>
    <w:tbl>
      <w:tblPr>
        <w:tblStyle w:val="TableGrid"/>
        <w:tblW w:type="auto" w:w="0"/>
        <w:jc w:val="center"/>
        <w:tblLook w:firstColumn="1" w:firstRow="1" w:lastColumn="0" w:lastRow="0" w:noHBand="0" w:noVBand="1" w:val="04A0"/>
      </w:tblPr>
      <w:tblGrid>
        <w:gridCol w:w="3400"/>
        <w:gridCol w:w="3400"/>
        <w:gridCol w:w="3400"/>
      </w:tblGrid>
      <w:tr>
        <w:tc>
          <w:tcPr>
            <w:tcW w:type="dxa" w:w="1134"/>
            <w:shd w:val="clear" w:color="auto" w:fill="2E74B5"/>
          </w:tcPr>
          <w:p>
            <w:r/>
            <w:r>
              <w:rPr>
                <w:b/>
                <w:color w:val="FFFFFF"/>
                <w:sz w:val="18"/>
              </w:rPr>
              <w:t>Priorité</w:t>
            </w:r>
          </w:p>
        </w:tc>
        <w:tc>
          <w:tcPr>
            <w:tcW w:type="dxa" w:w="5386"/>
            <w:shd w:val="clear" w:color="auto" w:fill="2E74B5"/>
          </w:tcPr>
          <w:p>
            <w:r/>
            <w:r>
              <w:rPr>
                <w:b/>
                <w:color w:val="FFFFFF"/>
                <w:sz w:val="18"/>
              </w:rPr>
              <w:t>Action</w:t>
            </w:r>
          </w:p>
        </w:tc>
        <w:tc>
          <w:tcPr>
            <w:tcW w:type="dxa" w:w="2551"/>
            <w:shd w:val="clear" w:color="auto" w:fill="2E74B5"/>
          </w:tcPr>
          <w:p>
            <w:r/>
            <w:r>
              <w:rPr>
                <w:b/>
                <w:color w:val="FFFFFF"/>
                <w:sz w:val="18"/>
              </w:rPr>
              <w:t>Chapitre concerné</w:t>
            </w:r>
          </w:p>
        </w:tc>
      </w:tr>
      <w:tr>
        <w:tc>
          <w:tcPr>
            <w:tcW w:type="dxa" w:w="1134"/>
          </w:tcPr>
          <w:p>
            <w:r/>
            <w:r>
              <w:rPr>
                <w:sz w:val="18"/>
              </w:rPr>
              <w:t>Haute</w:t>
            </w:r>
          </w:p>
        </w:tc>
        <w:tc>
          <w:tcPr>
            <w:tcW w:type="dxa" w:w="5386"/>
          </w:tcPr>
          <w:p>
            <w:r/>
            <w:r>
              <w:rPr>
                <w:sz w:val="18"/>
              </w:rPr>
              <w:t>Supprimer la ligne « Délai global d'exécution : 14 mois » du tableau de garde</w:t>
            </w:r>
          </w:p>
        </w:tc>
        <w:tc>
          <w:tcPr>
            <w:tcW w:type="dxa" w:w="2551"/>
          </w:tcPr>
          <w:p>
            <w:r/>
            <w:r>
              <w:rPr>
                <w:sz w:val="18"/>
              </w:rPr>
              <w:t>Présentation du candidat</w:t>
            </w:r>
          </w:p>
        </w:tc>
      </w:tr>
      <w:tr>
        <w:tc>
          <w:tcPr>
            <w:tcW w:type="dxa" w:w="1134"/>
          </w:tcPr>
          <w:p>
            <w:r/>
            <w:r>
              <w:rPr>
                <w:sz w:val="18"/>
              </w:rPr>
              <w:t>Haute</w:t>
            </w:r>
          </w:p>
        </w:tc>
        <w:tc>
          <w:tcPr>
            <w:tcW w:type="dxa" w:w="5386"/>
          </w:tcPr>
          <w:p>
            <w:r/>
            <w:r>
              <w:rPr>
                <w:sz w:val="18"/>
              </w:rPr>
              <w:t>Remplacer la mention « CHIPS » par une référence à l'hôpital René Muret / bâtiment Madeleine Brès</w:t>
            </w:r>
          </w:p>
        </w:tc>
        <w:tc>
          <w:tcPr>
            <w:tcW w:type="dxa" w:w="2551"/>
          </w:tcPr>
          <w:p>
            <w:r/>
            <w:r>
              <w:rPr>
                <w:sz w:val="18"/>
              </w:rPr>
              <w:t>Présentation du candidat</w:t>
            </w:r>
          </w:p>
        </w:tc>
      </w:tr>
      <w:tr>
        <w:tc>
          <w:tcPr>
            <w:tcW w:type="dxa" w:w="1134"/>
          </w:tcPr>
          <w:p>
            <w:r/>
            <w:r>
              <w:rPr>
                <w:sz w:val="18"/>
              </w:rPr>
              <w:t>Haute</w:t>
            </w:r>
          </w:p>
        </w:tc>
        <w:tc>
          <w:tcPr>
            <w:tcW w:type="dxa" w:w="5386"/>
          </w:tcPr>
          <w:p>
            <w:r/>
            <w:r>
              <w:rPr>
                <w:sz w:val="18"/>
              </w:rPr>
              <w:t>Vérifier et harmoniser le capital social (110 000 € vs 200 000 €) dans tous les documents</w:t>
            </w:r>
          </w:p>
        </w:tc>
        <w:tc>
          <w:tcPr>
            <w:tcW w:type="dxa" w:w="2551"/>
          </w:tcPr>
          <w:p>
            <w:r/>
            <w:r>
              <w:rPr>
                <w:sz w:val="18"/>
              </w:rPr>
              <w:t>Présentation du candidat, SOGED, Attestation matériels</w:t>
            </w:r>
          </w:p>
        </w:tc>
      </w:tr>
      <w:tr>
        <w:tc>
          <w:tcPr>
            <w:tcW w:type="dxa" w:w="1134"/>
          </w:tcPr>
          <w:p>
            <w:r/>
            <w:r>
              <w:rPr>
                <w:sz w:val="18"/>
              </w:rPr>
              <w:t>Haute</w:t>
            </w:r>
          </w:p>
        </w:tc>
        <w:tc>
          <w:tcPr>
            <w:tcW w:type="dxa" w:w="5386"/>
          </w:tcPr>
          <w:p>
            <w:r/>
            <w:r>
              <w:rPr>
                <w:sz w:val="18"/>
              </w:rPr>
              <w:t>Vérifier l'écart entre qualifications Qualibat détenues (6112/6222) et exigées (6111/6222/6611)</w:t>
            </w:r>
          </w:p>
        </w:tc>
        <w:tc>
          <w:tcPr>
            <w:tcW w:type="dxa" w:w="2551"/>
          </w:tcPr>
          <w:p>
            <w:r/>
            <w:r>
              <w:rPr>
                <w:sz w:val="18"/>
              </w:rPr>
              <w:t>Présentation du candidat</w:t>
            </w:r>
          </w:p>
        </w:tc>
      </w:tr>
      <w:tr>
        <w:tc>
          <w:tcPr>
            <w:tcW w:type="dxa" w:w="1134"/>
          </w:tcPr>
          <w:p>
            <w:r/>
            <w:r>
              <w:rPr>
                <w:sz w:val="18"/>
              </w:rPr>
              <w:t>Moyenne</w:t>
            </w:r>
          </w:p>
        </w:tc>
        <w:tc>
          <w:tcPr>
            <w:tcW w:type="dxa" w:w="5386"/>
          </w:tcPr>
          <w:p>
            <w:r/>
            <w:r>
              <w:rPr>
                <w:sz w:val="18"/>
              </w:rPr>
              <w:t>Corriger le doublon de la ligne « Interlocuteur unique » dans le tableau candidat</w:t>
            </w:r>
          </w:p>
        </w:tc>
        <w:tc>
          <w:tcPr>
            <w:tcW w:type="dxa" w:w="2551"/>
          </w:tcPr>
          <w:p>
            <w:r/>
            <w:r>
              <w:rPr>
                <w:sz w:val="18"/>
              </w:rPr>
              <w:t>Présentation du candidat</w:t>
            </w:r>
          </w:p>
        </w:tc>
      </w:tr>
      <w:tr>
        <w:tc>
          <w:tcPr>
            <w:tcW w:type="dxa" w:w="1134"/>
          </w:tcPr>
          <w:p>
            <w:r/>
            <w:r>
              <w:rPr>
                <w:sz w:val="18"/>
              </w:rPr>
              <w:t>Moyenne</w:t>
            </w:r>
          </w:p>
        </w:tc>
        <w:tc>
          <w:tcPr>
            <w:tcW w:type="dxa" w:w="5386"/>
          </w:tcPr>
          <w:p>
            <w:r/>
            <w:r>
              <w:rPr>
                <w:sz w:val="18"/>
              </w:rPr>
              <w:t>Vérifier les références clients de la présentation du candidat non recoupées avec l'Annexe 9</w:t>
            </w:r>
          </w:p>
        </w:tc>
        <w:tc>
          <w:tcPr>
            <w:tcW w:type="dxa" w:w="2551"/>
          </w:tcPr>
          <w:p>
            <w:r/>
            <w:r>
              <w:rPr>
                <w:sz w:val="18"/>
              </w:rPr>
              <w:t>Présentation du candidat</w:t>
            </w:r>
          </w:p>
        </w:tc>
      </w:tr>
      <w:tr>
        <w:tc>
          <w:tcPr>
            <w:tcW w:type="dxa" w:w="1134"/>
          </w:tcPr>
          <w:p>
            <w:r/>
            <w:r>
              <w:rPr>
                <w:sz w:val="18"/>
              </w:rPr>
              <w:t>Basse</w:t>
            </w:r>
          </w:p>
        </w:tc>
        <w:tc>
          <w:tcPr>
            <w:tcW w:type="dxa" w:w="5386"/>
          </w:tcPr>
          <w:p>
            <w:r/>
            <w:r>
              <w:rPr>
                <w:sz w:val="18"/>
              </w:rPr>
              <w:t>Vérifier le ressort RCS (Meaux vs Bobigny) sur un K-bis à jour</w:t>
            </w:r>
          </w:p>
        </w:tc>
        <w:tc>
          <w:tcPr>
            <w:tcW w:type="dxa" w:w="2551"/>
          </w:tcPr>
          <w:p>
            <w:r/>
            <w:r>
              <w:rPr>
                <w:sz w:val="18"/>
              </w:rPr>
              <w:t>Présentation du candidat</w:t>
            </w:r>
          </w:p>
        </w:tc>
      </w:tr>
      <w:tr>
        <w:tc>
          <w:tcPr>
            <w:tcW w:type="dxa" w:w="1134"/>
          </w:tcPr>
          <w:p>
            <w:r/>
            <w:r>
              <w:rPr>
                <w:sz w:val="18"/>
              </w:rPr>
              <w:t>Basse</w:t>
            </w:r>
          </w:p>
        </w:tc>
        <w:tc>
          <w:tcPr>
            <w:tcW w:type="dxa" w:w="5386"/>
          </w:tcPr>
          <w:p>
            <w:r/>
            <w:r>
              <w:rPr>
                <w:sz w:val="18"/>
              </w:rPr>
              <w:t>Harmoniser la mention d'effectif du § 2.10 (sols souples) avec le renfort jusqu'à 5 personnes du chapitre 5</w:t>
            </w:r>
          </w:p>
        </w:tc>
        <w:tc>
          <w:tcPr>
            <w:tcW w:type="dxa" w:w="2551"/>
          </w:tcPr>
          <w:p>
            <w:r/>
            <w:r>
              <w:rPr>
                <w:sz w:val="18"/>
              </w:rPr>
              <w:t>Chapitre 2</w:t>
            </w:r>
          </w:p>
        </w:tc>
      </w:tr>
    </w:tbl>
    <w:p/>
    <w:p>
      <w:r>
        <w:rPr>
          <w:b w:val="0"/>
          <w:i/>
          <w:sz w:val="21"/>
        </w:rPr>
        <w:t>Sous réserve des corrections « Haute priorité » ci-dessus, le mémoire technique constitue un dossier solide, bien argumenté et bien chiffré sur l'ensemble des critères de la valeur technique, avec une note estimée de 50,5/60 sur ce critère. Les erreurs identifiées se concentrent toutes dans une section ajoutée en tête de document et sont rapidement corrigeables avant la date limite du 08 septembre 2026.</w:t>
      </w:r>
    </w:p>
    <w:p/>
    <w:p>
      <w:r>
        <w:rPr>
          <w:i/>
          <w:color w:val="595959"/>
          <w:sz w:val="17"/>
        </w:rPr>
        <w:t>Note d'évaluation établie par relecture croisée du mémoire technique consolidé avec les pièces sources du dossier de consultation (RC, CCAP, CCTP, Acte d'Engagement, Annexe 9 Référence Chantier, Planning.xlsx) et les chapitres construits au fil de la mission.</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