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FRANCE DÉCORATION</w:t>
      </w:r>
    </w:p>
    <w:p>
      <w:pPr>
        <w:spacing w:after="10"/>
      </w:pPr>
      <w:r>
        <w:rPr>
          <w:i/>
          <w:iCs/>
          <w:color w:val="595959"/>
          <w:sz w:val="18"/>
          <w:szCs w:val="18"/>
        </w:rPr>
        <w:t xml:space="preserve">Spécialiste Peinture · Revêtements de sols · Faux plafonds</w:t>
      </w:r>
    </w:p>
    <w:p>
      <w:pPr>
        <w:spacing w:after="4"/>
      </w:pPr>
      <w:r>
        <w:rPr>
          <w:color w:val="595959"/>
          <w:sz w:val="18"/>
          <w:szCs w:val="18"/>
        </w:rPr>
        <w:t xml:space="preserve">La Blanchardière – 77610 La Houssaye-en-Brie</w:t>
      </w:r>
    </w:p>
    <w:p>
      <w:pPr>
        <w:pBdr>
          <w:bottom w:val="single" w:color="1F3864" w:sz="6" w:space="4"/>
        </w:pBdr>
        <w:spacing w:after="260"/>
      </w:pPr>
      <w:r>
        <w:rPr>
          <w:color w:val="595959"/>
          <w:sz w:val="18"/>
          <w:szCs w:val="18"/>
        </w:rPr>
        <w:t xml:space="preserve">SIRET : 823 616 461 000 21 — RCS : Meaux</w:t>
      </w:r>
    </w:p>
    <w:p>
      <w:pPr>
        <w:spacing w:after="260"/>
        <w:jc w:val="right"/>
      </w:pPr>
      <w:r>
        <w:rPr>
          <w:sz w:val="21"/>
          <w:szCs w:val="21"/>
        </w:rPr>
        <w:t xml:space="preserve">La Houssaye-en-Brie, le 13 août 2026</w:t>
      </w:r>
    </w:p>
    <w:p>
      <w:pPr>
        <w:spacing w:after="20"/>
      </w:pPr>
      <w:r>
        <w:rPr>
          <w:b/>
          <w:bCs/>
          <w:sz w:val="21"/>
          <w:szCs w:val="21"/>
        </w:rPr>
        <w:t xml:space="preserve">AP-HP. Centre Université Paris Cité</w:t>
      </w:r>
    </w:p>
    <w:p>
      <w:pPr>
        <w:spacing w:after="20"/>
      </w:pPr>
      <w:r>
        <w:rPr>
          <w:sz w:val="21"/>
          <w:szCs w:val="21"/>
        </w:rPr>
        <w:t xml:space="preserve">Cellule des marchés</w:t>
      </w:r>
    </w:p>
    <w:p>
      <w:pPr>
        <w:spacing w:after="20"/>
      </w:pPr>
      <w:r>
        <w:rPr>
          <w:sz w:val="21"/>
          <w:szCs w:val="21"/>
        </w:rPr>
        <w:t xml:space="preserve">À l'attention de Monsieur Thomas WAGNER, Responsable</w:t>
      </w:r>
    </w:p>
    <w:p>
      <w:pPr>
        <w:spacing w:after="20"/>
      </w:pPr>
      <w:r>
        <w:rPr>
          <w:sz w:val="21"/>
          <w:szCs w:val="21"/>
        </w:rPr>
        <w:t xml:space="preserve">Hôpital Cochin – Port Royal</w:t>
      </w:r>
    </w:p>
    <w:p>
      <w:pPr>
        <w:spacing w:after="300"/>
      </w:pPr>
      <w:r>
        <w:rPr>
          <w:sz w:val="21"/>
          <w:szCs w:val="21"/>
        </w:rPr>
        <w:t xml:space="preserve">123 Bd de Port Royal – 75014 Paris</w:t>
      </w:r>
    </w:p>
    <w:p>
      <w:pPr>
        <w:spacing w:after="60"/>
      </w:pPr>
      <w:r>
        <w:rPr>
          <w:b/>
          <w:bCs/>
          <w:sz w:val="21"/>
          <w:szCs w:val="21"/>
        </w:rPr>
        <w:t xml:space="preserve">Objet : </w:t>
      </w:r>
      <w:r>
        <w:rPr>
          <w:sz w:val="21"/>
          <w:szCs w:val="21"/>
        </w:rPr>
        <w:t xml:space="preserve">Réponse à l'invitation à négociation écrite – Consultation n° 26-TV265BRC – Lot 3 « Peintures et Sols »</w:t>
      </w:r>
    </w:p>
    <w:p>
      <w:pPr>
        <w:spacing w:after="300"/>
      </w:pPr>
      <w:r>
        <w:rPr>
          <w:b/>
          <w:bCs/>
          <w:sz w:val="21"/>
          <w:szCs w:val="21"/>
        </w:rPr>
        <w:t xml:space="preserve">Réf. : </w:t>
      </w:r>
      <w:r>
        <w:rPr>
          <w:i/>
          <w:iCs/>
          <w:sz w:val="21"/>
          <w:szCs w:val="21"/>
        </w:rPr>
        <w:t xml:space="preserve">Votre courrier du 10/08/2026 – Humanisation des chambres d'hospitalisation du 5ème étage Aile Est – Hôpital BROCA</w:t>
      </w:r>
    </w:p>
    <w:p>
      <w:pPr>
        <w:spacing w:after="140"/>
        <w:jc w:val="both"/>
      </w:pPr>
      <w:r>
        <w:rPr>
          <w:sz w:val="21"/>
          <w:szCs w:val="21"/>
        </w:rPr>
        <w:t xml:space="preserve">Monsieur,</w:t>
      </w:r>
    </w:p>
    <w:p>
      <w:pPr>
        <w:spacing w:after="140"/>
        <w:jc w:val="both"/>
      </w:pPr>
      <w:r>
        <w:rPr>
          <w:sz w:val="21"/>
          <w:szCs w:val="21"/>
        </w:rPr>
        <w:t xml:space="preserve">Nous accusons réception de votre courrier du 10/08/2026 nous invitant à la négociation dans le cadre de la consultation citée en objet, et vous remercions de la confiance ainsi témoignée à France Décoration. Nous avons l'honneur de vous apporter ci-après l'ensemble des éléments de réponse demandés.</w:t>
      </w:r>
    </w:p>
    <w:p>
      <w:pPr>
        <w:pStyle w:val="Heading1"/>
        <w:spacing w:after="140" w:before="200"/>
      </w:pPr>
      <w:r>
        <w:rPr>
          <w:b/>
          <w:bCs/>
          <w:color w:val="1F3864"/>
          <w:sz w:val="24"/>
          <w:szCs w:val="24"/>
        </w:rPr>
        <w:t xml:space="preserve">1. Réponses aux questions techniques</w:t>
      </w:r>
    </w:p>
    <w:p>
      <w:pPr>
        <w:pBdr>
          <w:left w:val="single" w:color="1F3864" w:sz="24" w:space="8"/>
        </w:pBdr>
        <w:shd w:fill="EDF1F7" w:val="clear"/>
        <w:spacing w:after="120" w:before="260"/>
      </w:pPr>
      <w:r>
        <w:rPr>
          <w:b/>
          <w:bCs/>
          <w:color w:val="1F3864"/>
          <w:sz w:val="22"/>
          <w:szCs w:val="22"/>
        </w:rPr>
        <w:t xml:space="preserve">2.3  </w:t>
      </w:r>
      <w:r>
        <w:rPr>
          <w:b/>
          <w:bCs/>
          <w:color w:val="1F3864"/>
          <w:sz w:val="22"/>
          <w:szCs w:val="22"/>
        </w:rPr>
        <w:t xml:space="preserve">HSE / Qualité / Prise en compte de l'environnement hospitalier</w:t>
      </w:r>
    </w:p>
    <w:p>
      <w:pPr>
        <w:spacing w:after="140"/>
        <w:jc w:val="both"/>
      </w:pPr>
      <w:r>
        <w:rPr>
          <w:sz w:val="21"/>
          <w:szCs w:val="21"/>
        </w:rPr>
        <w:t xml:space="preserve">Question : Quelles seront les dispositions prises par votre entreprise pour veiller au quotidien à la propreté du chantier, sur vos zones d'intervention et sur les zones extérieures communes au chantier ?</w:t>
      </w:r>
    </w:p>
    <w:p>
      <w:pPr>
        <w:spacing w:after="140"/>
        <w:jc w:val="both"/>
      </w:pPr>
      <w:r>
        <w:rPr>
          <w:b/>
          <w:bCs/>
          <w:sz w:val="21"/>
          <w:szCs w:val="21"/>
        </w:rPr>
        <w:t xml:space="preserve">Sur nos zones d'intervention :</w:t>
      </w:r>
    </w:p>
    <w:p>
      <w:pPr>
        <w:pStyle w:val="ListParagraph"/>
        <w:numPr>
          <w:ilvl w:val="0"/>
          <w:numId w:val="2"/>
        </w:numPr>
        <w:spacing w:after="90"/>
      </w:pPr>
      <w:r>
        <w:rPr>
          <w:sz w:val="21"/>
          <w:szCs w:val="21"/>
        </w:rPr>
        <w:t xml:space="preserve">Nettoyage quotidien systématique en fin de poste, réalisé par nos compagnons à l'aide d'un aspirateur de classe M (filtration HEPA H14) et d'un nettoyage humide, de façon à ne laisser aucun résidu de poussière, de peinture ou de matériaux en fin de journée.</w:t>
      </w:r>
    </w:p>
    <w:p>
      <w:pPr>
        <w:pStyle w:val="ListParagraph"/>
        <w:numPr>
          <w:ilvl w:val="0"/>
          <w:numId w:val="2"/>
        </w:numPr>
        <w:spacing w:after="90"/>
      </w:pPr>
      <w:r>
        <w:rPr>
          <w:sz w:val="21"/>
          <w:szCs w:val="21"/>
        </w:rPr>
        <w:t xml:space="preserve">Gros nettoyage hebdomadaire chaque vendredi après-midi, conformément aux exigences du CCTP, portant sur l'ensemble des zones traitées dans la semaine, avec renouvellement des protections adhésives.</w:t>
      </w:r>
    </w:p>
    <w:p>
      <w:pPr>
        <w:pStyle w:val="ListParagraph"/>
        <w:numPr>
          <w:ilvl w:val="0"/>
          <w:numId w:val="2"/>
        </w:numPr>
        <w:spacing w:after="90"/>
      </w:pPr>
      <w:r>
        <w:rPr>
          <w:sz w:val="21"/>
          <w:szCs w:val="21"/>
        </w:rPr>
        <w:t xml:space="preserve">Aspiration à la source obligatoire sur 100 % des opérations poussiéreuses (ponçage, grattage, découpe) : aucun ponçage manuel n'est réalisé sans aspiration, complétée si nécessaire par un cyclone d'aspiration mobile pour les zones ouvertes.</w:t>
      </w:r>
    </w:p>
    <w:p>
      <w:pPr>
        <w:pStyle w:val="ListParagraph"/>
        <w:numPr>
          <w:ilvl w:val="0"/>
          <w:numId w:val="2"/>
        </w:numPr>
        <w:spacing w:after="90"/>
      </w:pPr>
      <w:r>
        <w:rPr>
          <w:sz w:val="21"/>
          <w:szCs w:val="21"/>
        </w:rPr>
        <w:t xml:space="preserve">Mise en place d'un sas de confinement à double porte à l'entrée de chaque zone de travaux, en dépression par rapport aux zones occupées (ouverture décalée des deux portes, jamais simultanée), avec film adhésif de sol renouvelé quotidiennement.</w:t>
      </w:r>
    </w:p>
    <w:p>
      <w:pPr>
        <w:pStyle w:val="ListParagraph"/>
        <w:numPr>
          <w:ilvl w:val="0"/>
          <w:numId w:val="2"/>
        </w:numPr>
        <w:spacing w:after="90"/>
      </w:pPr>
      <w:r>
        <w:rPr>
          <w:sz w:val="21"/>
          <w:szCs w:val="21"/>
        </w:rPr>
        <w:t xml:space="preserve">Humidification systématique des gravois avant conditionnement en sacs plastiques étanches, au fur et à mesure de l'avancement des travaux, conformément au protocole de lutte contre l'aspergillose.</w:t>
      </w:r>
    </w:p>
    <w:p>
      <w:pPr>
        <w:pStyle w:val="ListParagraph"/>
        <w:numPr>
          <w:ilvl w:val="0"/>
          <w:numId w:val="2"/>
        </w:numPr>
        <w:spacing w:after="90"/>
      </w:pPr>
      <w:r>
        <w:rPr>
          <w:sz w:val="21"/>
          <w:szCs w:val="21"/>
        </w:rPr>
        <w:t xml:space="preserve">Contrôle par détecteur laser de particules en fin de poste, permettant de vérifier l'absence de dispersion de poussières hors de la zone de travaux.</w:t>
      </w:r>
    </w:p>
    <w:p>
      <w:pPr>
        <w:pStyle w:val="ListParagraph"/>
        <w:numPr>
          <w:ilvl w:val="0"/>
          <w:numId w:val="2"/>
        </w:numPr>
        <w:spacing w:after="90"/>
      </w:pPr>
      <w:r>
        <w:rPr>
          <w:sz w:val="21"/>
          <w:szCs w:val="21"/>
        </w:rPr>
        <w:t xml:space="preserve">Protection systématique des ouvrages avoisinants (sols, appareils sanitaires et électriques, quincaillerie) par films adhésifs et bâches, à notre charge, avec suppression progressive des protections à la livraison de chaque zone.</w:t>
      </w:r>
    </w:p>
    <w:p>
      <w:pPr>
        <w:spacing w:after="140"/>
        <w:jc w:val="both"/>
      </w:pPr>
      <w:r>
        <w:rPr>
          <w:b/>
          <w:bCs/>
          <w:sz w:val="21"/>
          <w:szCs w:val="21"/>
        </w:rPr>
        <w:t xml:space="preserve">Sur les zones extérieures communes au chantier :</w:t>
      </w:r>
    </w:p>
    <w:p>
      <w:pPr>
        <w:pStyle w:val="ListParagraph"/>
        <w:numPr>
          <w:ilvl w:val="0"/>
          <w:numId w:val="2"/>
        </w:numPr>
        <w:spacing w:after="90"/>
      </w:pPr>
      <w:r>
        <w:rPr>
          <w:sz w:val="21"/>
          <w:szCs w:val="21"/>
        </w:rPr>
        <w:t xml:space="preserve">Nettoyage humide biquotidien des zones tampons (sas) et des circulations communes empruntées par notre personnel et nos matériels.</w:t>
      </w:r>
    </w:p>
    <w:p>
      <w:pPr>
        <w:pStyle w:val="ListParagraph"/>
        <w:numPr>
          <w:ilvl w:val="0"/>
          <w:numId w:val="2"/>
        </w:numPr>
        <w:spacing w:after="90"/>
      </w:pPr>
      <w:r>
        <w:rPr>
          <w:sz w:val="21"/>
          <w:szCs w:val="21"/>
        </w:rPr>
        <w:t xml:space="preserve">Évacuation quotidienne de nos déchets vers la benne extérieure bâchée de manière étanche, sans aucun stockage en circulation intérieure au-delà de la journée ; positionnement de la benne défini en concertation avec les Services Techniques de l'établissement, en un point ne perturbant pas le trafic ni l'activité de l'hôpital, avec environnement balisé.</w:t>
      </w:r>
    </w:p>
    <w:p>
      <w:pPr>
        <w:pStyle w:val="ListParagraph"/>
        <w:numPr>
          <w:ilvl w:val="0"/>
          <w:numId w:val="2"/>
        </w:numPr>
        <w:spacing w:after="90"/>
      </w:pPr>
      <w:r>
        <w:rPr>
          <w:sz w:val="21"/>
          <w:szCs w:val="21"/>
        </w:rPr>
        <w:t xml:space="preserve">Tenue de nos compagnons : EPI et tenues de travail propres, badge nominatif, port strict des équipements de protection dans les circulations communes.</w:t>
      </w:r>
    </w:p>
    <w:p>
      <w:pPr>
        <w:pStyle w:val="ListParagraph"/>
        <w:numPr>
          <w:ilvl w:val="0"/>
          <w:numId w:val="2"/>
        </w:numPr>
        <w:spacing w:after="90"/>
      </w:pPr>
      <w:r>
        <w:rPr>
          <w:sz w:val="21"/>
          <w:szCs w:val="21"/>
        </w:rPr>
        <w:t xml:space="preserve">Mesures d'empoussièrement de restitution réalisées par un organisme accrédité avant remise en service des zones traitées, en lien avec l'Équipe Opérationnelle d'Hygiène (EOH).</w:t>
      </w:r>
    </w:p>
    <w:p>
      <w:pPr>
        <w:pStyle w:val="ListParagraph"/>
        <w:numPr>
          <w:ilvl w:val="0"/>
          <w:numId w:val="2"/>
        </w:numPr>
        <w:spacing w:after="90"/>
      </w:pPr>
      <w:r>
        <w:rPr>
          <w:sz w:val="21"/>
          <w:szCs w:val="21"/>
        </w:rPr>
        <w:t xml:space="preserve">Notre plan de prévention et nos protocoles anti-aspergillaires seront soumis à la validation de l'EOH et du CLIN avant démarrage des travaux.</w:t>
      </w:r>
    </w:p>
    <w:p>
      <w:pPr>
        <w:pStyle w:val="ListParagraph"/>
        <w:numPr>
          <w:ilvl w:val="0"/>
          <w:numId w:val="2"/>
        </w:numPr>
        <w:spacing w:after="90"/>
      </w:pPr>
      <w:r>
        <w:rPr>
          <w:sz w:val="21"/>
          <w:szCs w:val="21"/>
        </w:rPr>
        <w:t xml:space="preserve">Nettoyage renforcé avant OPR : lavage des vitrages, sols et plinthes, nettoyage des carrelages, faïences et appareillages débarrassés de toute trace de peinture, raccords de peinture après nettoyage, afin de présenter un chantier impeccable à la réception.</w:t>
      </w:r>
    </w:p>
    <w:p>
      <w:pPr>
        <w:pBdr>
          <w:left w:val="single" w:color="1F3864" w:sz="24" w:space="8"/>
        </w:pBdr>
        <w:shd w:fill="EDF1F7" w:val="clear"/>
        <w:spacing w:after="120" w:before="260"/>
      </w:pPr>
      <w:r>
        <w:rPr>
          <w:b/>
          <w:bCs/>
          <w:color w:val="1F3864"/>
          <w:sz w:val="22"/>
          <w:szCs w:val="22"/>
        </w:rPr>
        <w:t xml:space="preserve">2.4  </w:t>
      </w:r>
      <w:r>
        <w:rPr>
          <w:b/>
          <w:bCs/>
          <w:color w:val="1F3864"/>
          <w:sz w:val="22"/>
          <w:szCs w:val="22"/>
        </w:rPr>
        <w:t xml:space="preserve">Planning et organisation de chantier</w:t>
      </w:r>
    </w:p>
    <w:p>
      <w:pPr>
        <w:spacing w:after="140"/>
        <w:jc w:val="both"/>
      </w:pPr>
      <w:r>
        <w:rPr>
          <w:sz w:val="21"/>
          <w:szCs w:val="21"/>
        </w:rPr>
        <w:t xml:space="preserve">Question : Comment prévoyez-vous les interfaces et les limites de prestations avec les autres lots ?</w:t>
      </w:r>
    </w:p>
    <w:p>
      <w:pPr>
        <w:spacing w:after="140"/>
        <w:jc w:val="both"/>
      </w:pPr>
      <w:r>
        <w:rPr>
          <w:b/>
          <w:bCs/>
          <w:sz w:val="21"/>
          <w:szCs w:val="21"/>
        </w:rPr>
        <w:t xml:space="preserve">Organisation générale :</w:t>
      </w:r>
    </w:p>
    <w:p>
      <w:pPr>
        <w:pStyle w:val="ListParagraph"/>
        <w:numPr>
          <w:ilvl w:val="0"/>
          <w:numId w:val="2"/>
        </w:numPr>
        <w:spacing w:after="90"/>
      </w:pPr>
      <w:r>
        <w:rPr>
          <w:sz w:val="21"/>
          <w:szCs w:val="21"/>
        </w:rPr>
        <w:t xml:space="preserve">Une convention inter-entreprises sera établie et ratifiée en période de préparation de chantier, conformément à l'organisation collective définie au CCTP du lot n°1 Maçonnerie, à laquelle nous participerons activement.</w:t>
      </w:r>
    </w:p>
    <w:p>
      <w:pPr>
        <w:pStyle w:val="ListParagraph"/>
        <w:numPr>
          <w:ilvl w:val="0"/>
          <w:numId w:val="2"/>
        </w:numPr>
        <w:spacing w:after="90"/>
      </w:pPr>
      <w:r>
        <w:rPr>
          <w:sz w:val="21"/>
          <w:szCs w:val="21"/>
        </w:rPr>
        <w:t xml:space="preserve">Participation systématique aux réunions de chantier hebdomadaires organisées par l'OPC, avec transmission chaque semaine d'un planning détaillé actualisé au format Gantt et remontée immédiate des aléas d'ordonnancement.</w:t>
      </w:r>
    </w:p>
    <w:p>
      <w:pPr>
        <w:pStyle w:val="ListParagraph"/>
        <w:numPr>
          <w:ilvl w:val="0"/>
          <w:numId w:val="2"/>
        </w:numPr>
        <w:spacing w:after="90"/>
      </w:pPr>
      <w:r>
        <w:rPr>
          <w:sz w:val="21"/>
          <w:szCs w:val="21"/>
        </w:rPr>
        <w:t xml:space="preserve">Réponse écrite sous 24 à 48 heures aux fiches de demande de modification émises par la Maîtrise d'œuvre, avec devis détaillé si sollicité.</w:t>
      </w:r>
    </w:p>
    <w:p>
      <w:pPr>
        <w:pStyle w:val="ListParagraph"/>
        <w:numPr>
          <w:ilvl w:val="0"/>
          <w:numId w:val="2"/>
        </w:numPr>
        <w:spacing w:after="90"/>
      </w:pPr>
      <w:r>
        <w:rPr>
          <w:sz w:val="21"/>
          <w:szCs w:val="21"/>
        </w:rPr>
        <w:t xml:space="preserve">Respect strict du phasage en 2 phases prévu au CCTP (Phase 1 : chambres 531 à 542, circulation adjacente et locaux centraux ; Phase 2 : chambres 501 à 506), avec maintien impératif à tout moment du passage vers l'Unité Cognitivo-Comportementale (UCC).</w:t>
      </w:r>
    </w:p>
    <w:p>
      <w:pPr>
        <w:spacing w:after="140"/>
        <w:jc w:val="both"/>
      </w:pPr>
      <w:r>
        <w:rPr>
          <w:b/>
          <w:bCs/>
          <w:sz w:val="21"/>
          <w:szCs w:val="21"/>
        </w:rPr>
        <w:t xml:space="preserve">Interfaces et limites de prestations avec les autres lots :</w:t>
      </w:r>
    </w:p>
    <w:p>
      <w:pPr>
        <w:pStyle w:val="ListParagraph"/>
        <w:numPr>
          <w:ilvl w:val="0"/>
          <w:numId w:val="3"/>
        </w:numPr>
        <w:spacing w:after="60"/>
      </w:pPr>
      <w:r>
        <w:rPr>
          <w:sz w:val="21"/>
          <w:szCs w:val="21"/>
        </w:rPr>
        <w:t xml:space="preserve">Lot n°1 (Gros Œuvre / Maçonnerie) : réception contradictoire, avec la Maîtrise d'œuvre, des chapes formant pente des salles de bain avant exécution du ragréage ; validation des supports béton livrés ; coordination de l'évacuation des gravois pendant la période de démolition assurée par le lot n°1.</w:t>
      </w:r>
    </w:p>
    <w:p>
      <w:pPr>
        <w:pStyle w:val="ListParagraph"/>
        <w:numPr>
          <w:ilvl w:val="0"/>
          <w:numId w:val="3"/>
        </w:numPr>
        <w:spacing w:after="60"/>
      </w:pPr>
      <w:r>
        <w:rPr>
          <w:sz w:val="21"/>
          <w:szCs w:val="21"/>
        </w:rPr>
        <w:t xml:space="preserve">Lot n°2 (Menuiseries intérieures) : réception des huisseries et blocs-portes avant mise en peinture des boiseries ; planification croisée pour la pose de nos plinthes et seuils en raccord avec les menuiseries posées.</w:t>
      </w:r>
    </w:p>
    <w:p>
      <w:pPr>
        <w:pStyle w:val="ListParagraph"/>
        <w:numPr>
          <w:ilvl w:val="0"/>
          <w:numId w:val="3"/>
        </w:numPr>
        <w:spacing w:after="60"/>
      </w:pPr>
      <w:r>
        <w:rPr>
          <w:sz w:val="21"/>
          <w:szCs w:val="21"/>
        </w:rPr>
        <w:t xml:space="preserve">Lot n°5 (Plomberie / Ventilation) : les radiateurs sont déposés et reposés par le lot Plomberie ; notre lot assure les manutentions nécessaires à la mise en peinture calorique ainsi que les raccords après repose ; coordination pour le passage des manchons d'étanchéité au droit des tuyauteries et le raccordement en sous-dalle du siphon de sol que nous posons.</w:t>
      </w:r>
    </w:p>
    <w:p>
      <w:pPr>
        <w:pStyle w:val="ListParagraph"/>
        <w:numPr>
          <w:ilvl w:val="0"/>
          <w:numId w:val="3"/>
        </w:numPr>
        <w:spacing w:after="60"/>
      </w:pPr>
      <w:r>
        <w:rPr>
          <w:sz w:val="21"/>
          <w:szCs w:val="21"/>
        </w:rPr>
        <w:t xml:space="preserve">Lots n°4 (Électricité) et n°6 (Fluides médicaux) : protection des appareillages avant peinture ; dépose et repose des plaques et goulottes assurées par leurs lots respectifs ; nettoyage final de ces appareillages débarrassés de toute trace de peinture, avec vérification de leur fonctionnement normal.</w:t>
      </w:r>
    </w:p>
    <w:p>
      <w:pPr>
        <w:pStyle w:val="ListParagraph"/>
        <w:numPr>
          <w:ilvl w:val="0"/>
          <w:numId w:val="3"/>
        </w:numPr>
        <w:spacing w:after="60"/>
      </w:pPr>
      <w:r>
        <w:rPr>
          <w:sz w:val="21"/>
          <w:szCs w:val="21"/>
        </w:rPr>
        <w:t xml:space="preserve">Maîtrise d'œuvre / OPC / SPS : application stricte du PGCSPS, remise de notre PPSPS spécifique avant démarrage et participation aux inspections communes de sécurité.</w:t>
      </w:r>
    </w:p>
    <w:p>
      <w:pPr>
        <w:spacing w:after="140"/>
        <w:jc w:val="both"/>
      </w:pPr>
      <w:r>
        <w:rPr>
          <w:sz w:val="21"/>
          <w:szCs w:val="21"/>
        </w:rPr>
        <w:t xml:space="preserve">Limite de prestation contractuelle : notre lot n'intervient qu'après réception contradictoire des supports livrés par les autres corps d'état. Toute non-conformité constatée sera notifiée par écrit à la Maîtrise d'œuvre 8 jours ouvrés avant le début de notre intervention, conformément à l'article 2.4 du CCTP ; à défaut, nous serons réputés accepter les ouvrages exécutés en amont.</w:t>
      </w:r>
    </w:p>
    <w:p>
      <w:pPr>
        <w:pStyle w:val="Heading1"/>
        <w:spacing w:after="140" w:before="260"/>
      </w:pPr>
      <w:r>
        <w:rPr>
          <w:b/>
          <w:bCs/>
          <w:color w:val="1F3864"/>
          <w:sz w:val="24"/>
          <w:szCs w:val="24"/>
        </w:rPr>
        <w:t xml:space="preserve">2. Confirmations relatives à l'effort financier demandé</w:t>
      </w:r>
    </w:p>
    <w:p>
      <w:pPr>
        <w:spacing w:after="60" w:before="160"/>
        <w:jc w:val="both"/>
      </w:pPr>
      <w:r>
        <w:rPr>
          <w:b/>
          <w:bCs/>
          <w:sz w:val="21"/>
          <w:szCs w:val="21"/>
        </w:rPr>
        <w:t xml:space="preserve">3.2.1 – Travaux préparatoires supports anciens – 973 m². </w:t>
      </w:r>
      <w:r>
        <w:rPr>
          <w:sz w:val="21"/>
          <w:szCs w:val="21"/>
        </w:rPr>
        <w:t xml:space="preserve">Nous confirmons que le chiffrage quantitatif de cette prestation est conforme à la prescription du CCTP.</w:t>
      </w:r>
    </w:p>
    <w:p>
      <w:pPr>
        <w:spacing w:after="60" w:before="160"/>
        <w:jc w:val="both"/>
      </w:pPr>
      <w:r>
        <w:rPr>
          <w:b/>
          <w:bCs/>
          <w:sz w:val="21"/>
          <w:szCs w:val="21"/>
        </w:rPr>
        <w:t xml:space="preserve">3.3.1.1 – Peinture satinée (mur) – 806 m². </w:t>
      </w:r>
      <w:r>
        <w:rPr>
          <w:sz w:val="21"/>
          <w:szCs w:val="21"/>
        </w:rPr>
        <w:t xml:space="preserve">Nous confirmons que le chiffrage quantitatif de cette prestation est conforme à la prescription du CCTP.</w:t>
      </w:r>
    </w:p>
    <w:p>
      <w:pPr>
        <w:spacing w:after="60" w:before="160"/>
        <w:jc w:val="both"/>
      </w:pPr>
      <w:r>
        <w:rPr>
          <w:b/>
          <w:bCs/>
          <w:sz w:val="21"/>
          <w:szCs w:val="21"/>
        </w:rPr>
        <w:t xml:space="preserve">3.3.3 – Peinture calorique (radiateurs) : 22 u. </w:t>
      </w:r>
      <w:r>
        <w:rPr>
          <w:sz w:val="21"/>
          <w:szCs w:val="21"/>
        </w:rPr>
        <w:t xml:space="preserve">Après analyse détaillée de ce poste suite à votre remarque, le prix unitaire initialement indiqué (35,00 € HT) s'est révélé insuffisant pour couvrir l'ensemble des sujétions de cette prestation (préparation des supports, application de 2 couches de finition brillante, manutention en coordination avec le lot Plomberie). Nous portons donc ce prix unitaire à 55,00 € HT, conformément à la décomposition ci-dessous, afin de garantir la parfaite exécution de cet ouvrage :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c>
          <w:tcPr>
            <w:tcW w:type="dxa" w:w="5500"/>
            <w:shd w:fill="1F3864" w:val="clear"/>
            <w:tcMar>
              <w:top w:type="dxa" w:w="80"/>
              <w:left w:type="dxa" w:w="120"/>
              <w:bottom w:type="dxa" w:w="80"/>
              <w:right w:type="dxa" w:w="120"/>
            </w:tcMar>
          </w:tcPr>
          <w:p>
            <w:pPr>
              <w:jc w:val="left"/>
            </w:pPr>
            <w:r>
              <w:rPr>
                <w:b/>
                <w:bCs/>
                <w:color w:val="FFFFFF"/>
                <w:sz w:val="20"/>
                <w:szCs w:val="20"/>
              </w:rPr>
              <w:t xml:space="preserve">Poste de dépense</w:t>
            </w:r>
          </w:p>
        </w:tc>
        <w:tc>
          <w:tcPr>
            <w:tcW w:type="dxa" w:w="3000"/>
            <w:shd w:fill="1F3864" w:val="clear"/>
            <w:tcMar>
              <w:top w:type="dxa" w:w="80"/>
              <w:left w:type="dxa" w:w="120"/>
              <w:bottom w:type="dxa" w:w="80"/>
              <w:right w:type="dxa" w:w="120"/>
            </w:tcMar>
          </w:tcPr>
          <w:p>
            <w:pPr>
              <w:jc w:val="center"/>
            </w:pPr>
            <w:r>
              <w:rPr>
                <w:b/>
                <w:bCs/>
                <w:color w:val="FFFFFF"/>
                <w:sz w:val="20"/>
                <w:szCs w:val="20"/>
              </w:rPr>
              <w:t xml:space="preserve">Montant € HT / u</w:t>
            </w:r>
          </w:p>
        </w:tc>
      </w:tr>
      <w:tr>
        <w:tc>
          <w:tcPr>
            <w:tcW w:type="dxa" w:w="5500"/>
            <w:tcMar>
              <w:top w:type="dxa" w:w="80"/>
              <w:left w:type="dxa" w:w="120"/>
              <w:bottom w:type="dxa" w:w="80"/>
              <w:right w:type="dxa" w:w="120"/>
            </w:tcMar>
          </w:tcPr>
          <w:p>
            <w:pPr>
              <w:jc w:val="left"/>
            </w:pPr>
            <w:r>
              <w:rPr>
                <w:b w:val="false"/>
                <w:bCs w:val="false"/>
                <w:sz w:val="20"/>
                <w:szCs w:val="20"/>
              </w:rPr>
              <w:t xml:space="preserve">Fourniture peinture calorique (2 couches, finition brillante, système TOLLENS ou équivalent)</w:t>
            </w:r>
          </w:p>
        </w:tc>
        <w:tc>
          <w:tcPr>
            <w:tcW w:type="dxa" w:w="3000"/>
            <w:tcMar>
              <w:top w:type="dxa" w:w="80"/>
              <w:left w:type="dxa" w:w="120"/>
              <w:bottom w:type="dxa" w:w="80"/>
              <w:right w:type="dxa" w:w="120"/>
            </w:tcMar>
          </w:tcPr>
          <w:p>
            <w:pPr>
              <w:jc w:val="center"/>
            </w:pPr>
            <w:r>
              <w:rPr>
                <w:b w:val="false"/>
                <w:bCs w:val="false"/>
                <w:sz w:val="20"/>
                <w:szCs w:val="20"/>
              </w:rPr>
              <w:t xml:space="preserve">15,00 €</w:t>
            </w:r>
          </w:p>
        </w:tc>
      </w:tr>
      <w:tr>
        <w:tc>
          <w:tcPr>
            <w:tcW w:type="dxa" w:w="5500"/>
            <w:tcMar>
              <w:top w:type="dxa" w:w="80"/>
              <w:left w:type="dxa" w:w="120"/>
              <w:bottom w:type="dxa" w:w="80"/>
              <w:right w:type="dxa" w:w="120"/>
            </w:tcMar>
          </w:tcPr>
          <w:p>
            <w:pPr>
              <w:jc w:val="left"/>
            </w:pPr>
            <w:r>
              <w:rPr>
                <w:b w:val="false"/>
                <w:bCs w:val="false"/>
                <w:sz w:val="20"/>
                <w:szCs w:val="20"/>
              </w:rPr>
              <w:t xml:space="preserve">Main d'œuvre : travaux préparatoires + application 2 couches</w:t>
            </w:r>
          </w:p>
        </w:tc>
        <w:tc>
          <w:tcPr>
            <w:tcW w:type="dxa" w:w="3000"/>
            <w:tcMar>
              <w:top w:type="dxa" w:w="80"/>
              <w:left w:type="dxa" w:w="120"/>
              <w:bottom w:type="dxa" w:w="80"/>
              <w:right w:type="dxa" w:w="120"/>
            </w:tcMar>
          </w:tcPr>
          <w:p>
            <w:pPr>
              <w:jc w:val="center"/>
            </w:pPr>
            <w:r>
              <w:rPr>
                <w:b w:val="false"/>
                <w:bCs w:val="false"/>
                <w:sz w:val="20"/>
                <w:szCs w:val="20"/>
              </w:rPr>
              <w:t xml:space="preserve">33,00 €</w:t>
            </w:r>
          </w:p>
        </w:tc>
      </w:tr>
      <w:tr>
        <w:tc>
          <w:tcPr>
            <w:tcW w:type="dxa" w:w="5500"/>
            <w:tcMar>
              <w:top w:type="dxa" w:w="80"/>
              <w:left w:type="dxa" w:w="120"/>
              <w:bottom w:type="dxa" w:w="80"/>
              <w:right w:type="dxa" w:w="120"/>
            </w:tcMar>
          </w:tcPr>
          <w:p>
            <w:pPr>
              <w:jc w:val="left"/>
            </w:pPr>
            <w:r>
              <w:rPr>
                <w:b w:val="false"/>
                <w:bCs w:val="false"/>
                <w:sz w:val="20"/>
                <w:szCs w:val="20"/>
              </w:rPr>
              <w:t xml:space="preserve">Manutention du radiateur, protections, petit matériel</w:t>
            </w:r>
          </w:p>
        </w:tc>
        <w:tc>
          <w:tcPr>
            <w:tcW w:type="dxa" w:w="3000"/>
            <w:tcMar>
              <w:top w:type="dxa" w:w="80"/>
              <w:left w:type="dxa" w:w="120"/>
              <w:bottom w:type="dxa" w:w="80"/>
              <w:right w:type="dxa" w:w="120"/>
            </w:tcMar>
          </w:tcPr>
          <w:p>
            <w:pPr>
              <w:jc w:val="center"/>
            </w:pPr>
            <w:r>
              <w:rPr>
                <w:b w:val="false"/>
                <w:bCs w:val="false"/>
                <w:sz w:val="20"/>
                <w:szCs w:val="20"/>
              </w:rPr>
              <w:t xml:space="preserve">7,00 €</w:t>
            </w:r>
          </w:p>
        </w:tc>
      </w:tr>
      <w:tr>
        <w:tc>
          <w:tcPr>
            <w:tcW w:type="dxa" w:w="5500"/>
            <w:shd w:fill="EDF1F7" w:val="clear"/>
            <w:tcMar>
              <w:top w:type="dxa" w:w="80"/>
              <w:left w:type="dxa" w:w="120"/>
              <w:bottom w:type="dxa" w:w="80"/>
              <w:right w:type="dxa" w:w="120"/>
            </w:tcMar>
          </w:tcPr>
          <w:p>
            <w:pPr>
              <w:jc w:val="left"/>
            </w:pPr>
            <w:r>
              <w:rPr>
                <w:b/>
                <w:bCs/>
                <w:sz w:val="20"/>
                <w:szCs w:val="20"/>
              </w:rPr>
              <w:t xml:space="preserve">Total</w:t>
            </w:r>
          </w:p>
        </w:tc>
        <w:tc>
          <w:tcPr>
            <w:tcW w:type="dxa" w:w="3000"/>
            <w:shd w:fill="EDF1F7" w:val="clear"/>
            <w:tcMar>
              <w:top w:type="dxa" w:w="80"/>
              <w:left w:type="dxa" w:w="120"/>
              <w:bottom w:type="dxa" w:w="80"/>
              <w:right w:type="dxa" w:w="120"/>
            </w:tcMar>
          </w:tcPr>
          <w:p>
            <w:pPr>
              <w:jc w:val="center"/>
            </w:pPr>
            <w:r>
              <w:rPr>
                <w:b/>
                <w:bCs/>
                <w:sz w:val="20"/>
                <w:szCs w:val="20"/>
              </w:rPr>
              <w:t xml:space="preserve">55,00 €</w:t>
            </w:r>
          </w:p>
        </w:tc>
      </w:tr>
    </w:tbl>
    <w:p>
      <w:pPr>
        <w:spacing w:before="200"/>
      </w:pPr>
      <w:r>
        <w:t xml:space="preserve"/>
      </w:r>
    </w:p>
    <w:p>
      <w:pPr>
        <w:spacing w:after="60" w:before="160"/>
        <w:jc w:val="both"/>
      </w:pPr>
      <w:r>
        <w:rPr>
          <w:b/>
          <w:bCs/>
          <w:sz w:val="21"/>
          <w:szCs w:val="21"/>
        </w:rPr>
        <w:t xml:space="preserve">4.2 – Fourniture et pose de revêtement type ID Inspiration – 215 m². </w:t>
      </w:r>
      <w:r>
        <w:rPr>
          <w:sz w:val="21"/>
          <w:szCs w:val="21"/>
        </w:rPr>
        <w:t xml:space="preserve">Nous confirmons que le chiffrage quantitatif de cette prestation est conforme à la prescription du CCTP.</w:t>
      </w:r>
    </w:p>
    <w:p>
      <w:pPr>
        <w:pStyle w:val="Heading1"/>
        <w:spacing w:after="140" w:before="300"/>
      </w:pPr>
      <w:r>
        <w:rPr>
          <w:b/>
          <w:bCs/>
          <w:color w:val="1F3864"/>
          <w:sz w:val="24"/>
          <w:szCs w:val="24"/>
        </w:rPr>
        <w:t xml:space="preserve">3. Actualisation de notre offre financière</w:t>
      </w:r>
    </w:p>
    <w:p>
      <w:pPr>
        <w:spacing w:after="140"/>
        <w:jc w:val="both"/>
      </w:pPr>
      <w:r>
        <w:rPr>
          <w:sz w:val="21"/>
          <w:szCs w:val="21"/>
        </w:rPr>
        <w:t xml:space="preserve">Conformément à votre demande, nous avons réexaminé l'ensemble des postes de dépenses de la DPGF. Cette analyse nous conduit à maintenir l'intégralité de nos prix initiaux, à l'exception du poste 3.3.3 – Peinture calorique (radiateurs), dont le prix unitaire est réévalué de 35,00 € HT à 55,00 € HT afin de garantir un chiffrage sincère couvrant l'ensemble des sujétions de cette prestation, sans dégrader le niveau de qualité décrit dans notre mémoire technique ni modifier le format de la DPGF.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1700"/>
      </w:tblGrid>
      <w:tr>
        <w:tc>
          <w:tcPr>
            <w:tcW w:type="dxa" w:w="3400"/>
            <w:shd w:fill="1F3864" w:val="clear"/>
            <w:tcMar>
              <w:top w:type="dxa" w:w="80"/>
              <w:left w:type="dxa" w:w="120"/>
              <w:bottom w:type="dxa" w:w="80"/>
              <w:right w:type="dxa" w:w="120"/>
            </w:tcMar>
          </w:tcPr>
          <w:p>
            <w:pPr>
              <w:jc w:val="center"/>
            </w:pPr>
            <w:r>
              <w:rPr>
                <w:b/>
                <w:bCs/>
                <w:color w:val="FFFFFF"/>
                <w:sz w:val="20"/>
                <w:szCs w:val="20"/>
              </w:rPr>
              <w:t xml:space="preserve">Offre initiale</w:t>
            </w:r>
          </w:p>
        </w:tc>
        <w:tc>
          <w:tcPr>
            <w:tcW w:type="dxa" w:w="3400"/>
            <w:shd w:fill="1F3864" w:val="clear"/>
            <w:tcMar>
              <w:top w:type="dxa" w:w="80"/>
              <w:left w:type="dxa" w:w="120"/>
              <w:bottom w:type="dxa" w:w="80"/>
              <w:right w:type="dxa" w:w="120"/>
            </w:tcMar>
          </w:tcPr>
          <w:p>
            <w:pPr>
              <w:jc w:val="center"/>
            </w:pPr>
            <w:r>
              <w:rPr>
                <w:b/>
                <w:bCs/>
                <w:color w:val="FFFFFF"/>
                <w:sz w:val="20"/>
                <w:szCs w:val="20"/>
              </w:rPr>
              <w:t xml:space="preserve">Offre actualisée</w:t>
            </w:r>
          </w:p>
        </w:tc>
        <w:tc>
          <w:tcPr>
            <w:tcW w:type="dxa" w:w="1700"/>
            <w:shd w:fill="1F3864" w:val="clear"/>
            <w:tcMar>
              <w:top w:type="dxa" w:w="80"/>
              <w:left w:type="dxa" w:w="120"/>
              <w:bottom w:type="dxa" w:w="80"/>
              <w:right w:type="dxa" w:w="120"/>
            </w:tcMar>
          </w:tcPr>
          <w:p>
            <w:pPr>
              <w:jc w:val="center"/>
            </w:pPr>
            <w:r>
              <w:rPr>
                <w:b/>
                <w:bCs/>
                <w:color w:val="FFFFFF"/>
                <w:sz w:val="20"/>
                <w:szCs w:val="20"/>
              </w:rPr>
              <w:t xml:space="preserve">Écart</w:t>
            </w:r>
          </w:p>
        </w:tc>
      </w:tr>
      <w:tr>
        <w:tc>
          <w:tcPr>
            <w:tcW w:type="dxa" w:w="3400"/>
            <w:tcMar>
              <w:top w:type="dxa" w:w="80"/>
              <w:left w:type="dxa" w:w="120"/>
              <w:bottom w:type="dxa" w:w="80"/>
              <w:right w:type="dxa" w:w="120"/>
            </w:tcMar>
          </w:tcPr>
          <w:p>
            <w:pPr>
              <w:jc w:val="center"/>
            </w:pPr>
            <w:r>
              <w:rPr>
                <w:b w:val="false"/>
                <w:bCs w:val="false"/>
                <w:sz w:val="20"/>
                <w:szCs w:val="20"/>
              </w:rPr>
              <w:t xml:space="preserve">55 815,95 € HT</w:t>
            </w:r>
          </w:p>
        </w:tc>
        <w:tc>
          <w:tcPr>
            <w:tcW w:type="dxa" w:w="3400"/>
            <w:tcMar>
              <w:top w:type="dxa" w:w="80"/>
              <w:left w:type="dxa" w:w="120"/>
              <w:bottom w:type="dxa" w:w="80"/>
              <w:right w:type="dxa" w:w="120"/>
            </w:tcMar>
          </w:tcPr>
          <w:p>
            <w:pPr>
              <w:jc w:val="center"/>
            </w:pPr>
            <w:r>
              <w:rPr>
                <w:b/>
                <w:bCs/>
                <w:color w:val="1F3864"/>
                <w:sz w:val="20"/>
                <w:szCs w:val="20"/>
              </w:rPr>
              <w:t xml:space="preserve">56 255,95 € HT</w:t>
            </w:r>
          </w:p>
        </w:tc>
        <w:tc>
          <w:tcPr>
            <w:tcW w:type="dxa" w:w="1700"/>
            <w:tcMar>
              <w:top w:type="dxa" w:w="80"/>
              <w:left w:type="dxa" w:w="120"/>
              <w:bottom w:type="dxa" w:w="80"/>
              <w:right w:type="dxa" w:w="120"/>
            </w:tcMar>
          </w:tcPr>
          <w:p>
            <w:pPr>
              <w:jc w:val="center"/>
            </w:pPr>
            <w:r>
              <w:rPr>
                <w:b w:val="false"/>
                <w:bCs w:val="false"/>
                <w:sz w:val="20"/>
                <w:szCs w:val="20"/>
              </w:rPr>
              <w:t xml:space="preserve">+ 440,00 € HT
(+ 0,79 %)</w:t>
            </w:r>
          </w:p>
        </w:tc>
      </w:tr>
    </w:tbl>
    <w:p>
      <w:pPr>
        <w:spacing w:before="220"/>
      </w:pPr>
    </w:p>
    <w:p>
      <w:pPr>
        <w:spacing w:after="140"/>
        <w:jc w:val="both"/>
      </w:pPr>
      <w:r>
        <w:rPr>
          <w:sz w:val="21"/>
          <w:szCs w:val="21"/>
        </w:rPr>
        <w:t xml:space="preserve">Le montant total de notre offre pour le Lot 3 « Peintures et Sols » est ainsi porté de 55 815,95 € HT à 56 255,95 € HT, cette variation résultant exclusivement de l'ajustement du poste 3.3.3 exposé ci-dessus. Vous trouverez ci-joints l'acte d'engagement et la DPGF actualisés, complétés et signés électroniquement, conformément aux modalités précisées dans votre courrier du 10/08/2026.</w:t>
      </w:r>
    </w:p>
    <w:p>
      <w:pPr>
        <w:spacing w:after="140"/>
        <w:jc w:val="both"/>
      </w:pPr>
      <w:r>
        <w:rPr>
          <w:sz w:val="21"/>
          <w:szCs w:val="21"/>
        </w:rPr>
        <w:t xml:space="preserve">Nous restons à votre entière disposition pour tout complément d'information et vous prions d'agréer, Monsieur, l'expression de nos salutations distinguées.</w:t>
      </w:r>
    </w:p>
    <w:p>
      <w:pPr>
        <w:spacing w:after="40" w:before="100"/>
      </w:pPr>
      <w:r>
        <w:rPr>
          <w:b/>
          <w:bCs/>
          <w:sz w:val="21"/>
          <w:szCs w:val="21"/>
        </w:rPr>
        <w:t xml:space="preserve">Pièces jointes :</w:t>
      </w:r>
    </w:p>
    <w:p>
      <w:pPr>
        <w:pStyle w:val="ListParagraph"/>
        <w:numPr>
          <w:ilvl w:val="0"/>
          <w:numId w:val="2"/>
        </w:numPr>
        <w:spacing w:after="90"/>
      </w:pPr>
      <w:r>
        <w:rPr>
          <w:sz w:val="21"/>
          <w:szCs w:val="21"/>
        </w:rPr>
        <w:t xml:space="preserve">Acte d'engagement négociation, signé électroniquement</w:t>
      </w:r>
    </w:p>
    <w:p>
      <w:pPr>
        <w:pStyle w:val="ListParagraph"/>
        <w:numPr>
          <w:ilvl w:val="0"/>
          <w:numId w:val="2"/>
        </w:numPr>
        <w:spacing w:after="90"/>
      </w:pPr>
      <w:r>
        <w:rPr>
          <w:sz w:val="21"/>
          <w:szCs w:val="21"/>
        </w:rPr>
        <w:t xml:space="preserve">DPGF négociation, signée électroniquement</w:t>
      </w:r>
    </w:p>
    <w:p>
      <w:pPr>
        <w:pStyle w:val="ListParagraph"/>
        <w:numPr>
          <w:ilvl w:val="0"/>
          <w:numId w:val="2"/>
        </w:numPr>
        <w:spacing w:after="90"/>
      </w:pPr>
      <w:r>
        <w:rPr>
          <w:sz w:val="21"/>
          <w:szCs w:val="21"/>
        </w:rPr>
        <w:t xml:space="preserve">DPGF négociation au format Excel</w:t>
      </w:r>
    </w:p>
    <w:p>
      <w:pPr>
        <w:spacing w:before="400"/>
        <w:jc w:val="right"/>
      </w:pPr>
      <w:r>
        <w:rPr>
          <w:sz w:val="21"/>
          <w:szCs w:val="21"/>
        </w:rPr>
        <w:t xml:space="preserve">Fait à La Houssaye-en-Brie, le 13 août 2026</w:t>
      </w:r>
    </w:p>
    <w:p>
      <w:pPr>
        <w:spacing w:before="60"/>
        <w:jc w:val="right"/>
      </w:pPr>
      <w:r>
        <w:rPr>
          <w:b/>
          <w:bCs/>
          <w:sz w:val="21"/>
          <w:szCs w:val="21"/>
        </w:rPr>
        <w:t xml:space="preserve">Akram WASEEM</w:t>
      </w:r>
    </w:p>
    <w:p>
      <w:pPr>
        <w:jc w:val="right"/>
      </w:pPr>
      <w:r>
        <w:rPr>
          <w:sz w:val="21"/>
          <w:szCs w:val="21"/>
        </w:rPr>
        <w:t xml:space="preserve">Président – FRANCE DÉCORATION</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2026-08-13T15:16:25.162Z</dcterms:created>
  <dcterms:modified xsi:type="dcterms:W3CDTF">2026-08-13T15:16:25.180Z</dcterms:modified>
</cp:coreProperties>
</file>

<file path=docProps/custom.xml><?xml version="1.0" encoding="utf-8"?>
<Properties xmlns="http://schemas.openxmlformats.org/officeDocument/2006/custom-properties" xmlns:vt="http://schemas.openxmlformats.org/officeDocument/2006/docPropsVTypes"/>
</file>