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1 — Compréhension du projet, prestations à notre charge et organisation</w:t>
      </w:r>
    </w:p>
    <w:p>
      <w:r>
        <w:rPr>
          <w:b w:val="0"/>
          <w:i/>
          <w:color w:val="595959"/>
          <w:sz w:val="19"/>
        </w:rPr>
        <w:t>Établi par France Décoration — Livry-Gargan</w:t>
      </w:r>
    </w:p>
    <w:p/>
    <w:p>
      <w:pPr>
        <w:spacing w:before="360" w:after="120"/>
        <w:pBdr>
          <w:bottom w:val="single" w:sz="8" w:space="4" w:color="2E74B5"/>
        </w:pBdr>
      </w:pPr>
      <w:r>
        <w:rPr>
          <w:b/>
          <w:color w:val="2E74B5"/>
          <w:sz w:val="28"/>
        </w:rPr>
        <w:t>1.2. Identification de l'opération et du lot 03</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2E74B5"/>
          </w:tcPr>
          <w:p>
            <w:r/>
            <w:r>
              <w:rPr>
                <w:b/>
                <w:color w:val="FFFFFF"/>
                <w:sz w:val="19"/>
              </w:rPr>
              <w:t>Élément</w:t>
            </w:r>
          </w:p>
        </w:tc>
        <w:tc>
          <w:tcPr>
            <w:tcW w:type="dxa" w:w="5669"/>
            <w:shd w:val="clear" w:color="auto" w:fill="2E74B5"/>
          </w:tcPr>
          <w:p>
            <w:r/>
            <w:r>
              <w:rPr>
                <w:b/>
                <w:color w:val="FFFFFF"/>
                <w:sz w:val="19"/>
              </w:rPr>
              <w:t>Détail</w:t>
            </w:r>
          </w:p>
        </w:tc>
      </w:tr>
      <w:tr>
        <w:tc>
          <w:tcPr>
            <w:tcW w:type="dxa" w:w="3118"/>
          </w:tcPr>
          <w:p>
            <w:r/>
            <w:r>
              <w:rPr>
                <w:sz w:val="19"/>
              </w:rPr>
              <w:t>Maître d'ouvrage</w:t>
            </w:r>
          </w:p>
        </w:tc>
        <w:tc>
          <w:tcPr>
            <w:tcW w:type="dxa" w:w="5669"/>
          </w:tcPr>
          <w:p>
            <w:r/>
            <w:r>
              <w:rPr>
                <w:sz w:val="19"/>
              </w:rPr>
              <w:t>AP-HP — Hôpitaux Universitaires Paris Seine-Saint-Denis (HUPSSD)</w:t>
            </w:r>
          </w:p>
        </w:tc>
      </w:tr>
      <w:tr>
        <w:tc>
          <w:tcPr>
            <w:tcW w:type="dxa" w:w="3118"/>
          </w:tcPr>
          <w:p>
            <w:r/>
            <w:r>
              <w:rPr>
                <w:sz w:val="19"/>
              </w:rPr>
              <w:t>Site</w:t>
            </w:r>
          </w:p>
        </w:tc>
        <w:tc>
          <w:tcPr>
            <w:tcW w:type="dxa" w:w="5669"/>
          </w:tcPr>
          <w:p>
            <w:r/>
            <w:r>
              <w:rPr>
                <w:sz w:val="19"/>
              </w:rPr>
              <w:t>Hôpital René Muret, avenue du Dr Schaeffner, 93270 Sevran (bâtiment Madeleine Brès, RDC)</w:t>
            </w:r>
          </w:p>
        </w:tc>
      </w:tr>
      <w:tr>
        <w:tc>
          <w:tcPr>
            <w:tcW w:type="dxa" w:w="3118"/>
          </w:tcPr>
          <w:p>
            <w:r/>
            <w:r>
              <w:rPr>
                <w:sz w:val="19"/>
              </w:rPr>
              <w:t>Objet de l'opération</w:t>
            </w:r>
          </w:p>
        </w:tc>
        <w:tc>
          <w:tcPr>
            <w:tcW w:type="dxa" w:w="5669"/>
          </w:tcPr>
          <w:p>
            <w:r/>
            <w:r>
              <w:rPr>
                <w:sz w:val="19"/>
              </w:rPr>
              <w:t>Création d'un nouveau scanner par réaménagement d'une ancienne zone de radiologie</w:t>
            </w:r>
          </w:p>
        </w:tc>
      </w:tr>
      <w:tr>
        <w:tc>
          <w:tcPr>
            <w:tcW w:type="dxa" w:w="3118"/>
          </w:tcPr>
          <w:p>
            <w:r/>
            <w:r>
              <w:rPr>
                <w:sz w:val="19"/>
              </w:rPr>
              <w:t>N° de consultation</w:t>
            </w:r>
          </w:p>
        </w:tc>
        <w:tc>
          <w:tcPr>
            <w:tcW w:type="dxa" w:w="5669"/>
          </w:tcPr>
          <w:p>
            <w:r/>
            <w:r>
              <w:rPr>
                <w:sz w:val="19"/>
              </w:rPr>
              <w:t>26 RMB 41 TVX</w:t>
            </w:r>
          </w:p>
        </w:tc>
      </w:tr>
      <w:tr>
        <w:tc>
          <w:tcPr>
            <w:tcW w:type="dxa" w:w="3118"/>
          </w:tcPr>
          <w:p>
            <w:r/>
            <w:r>
              <w:rPr>
                <w:sz w:val="19"/>
              </w:rPr>
              <w:t>Procédure</w:t>
            </w:r>
          </w:p>
        </w:tc>
        <w:tc>
          <w:tcPr>
            <w:tcW w:type="dxa" w:w="5669"/>
          </w:tcPr>
          <w:p>
            <w:r/>
            <w:r>
              <w:rPr>
                <w:sz w:val="19"/>
              </w:rPr>
              <w:t>Marché à procédure adaptée ouverte (art. R2123-4 à R2123-7 du CCP) — allotissement en 6 lots séparés</w:t>
            </w:r>
          </w:p>
        </w:tc>
      </w:tr>
      <w:tr>
        <w:tc>
          <w:tcPr>
            <w:tcW w:type="dxa" w:w="3118"/>
          </w:tcPr>
          <w:p>
            <w:r/>
            <w:r>
              <w:rPr>
                <w:sz w:val="19"/>
              </w:rPr>
              <w:t>Lot faisant l'objet du présent mémoire</w:t>
            </w:r>
          </w:p>
        </w:tc>
        <w:tc>
          <w:tcPr>
            <w:tcW w:type="dxa" w:w="5669"/>
          </w:tcPr>
          <w:p>
            <w:r/>
            <w:r>
              <w:rPr>
                <w:sz w:val="19"/>
              </w:rPr>
              <w:t>Lot 3 — Faux Plafonds - Peinture - Sols Souples</w:t>
            </w:r>
          </w:p>
        </w:tc>
      </w:tr>
      <w:tr>
        <w:tc>
          <w:tcPr>
            <w:tcW w:type="dxa" w:w="3118"/>
          </w:tcPr>
          <w:p>
            <w:r/>
            <w:r>
              <w:rPr>
                <w:sz w:val="19"/>
              </w:rPr>
              <w:t>Maîtrise d'œuvre</w:t>
            </w:r>
          </w:p>
        </w:tc>
        <w:tc>
          <w:tcPr>
            <w:tcW w:type="dxa" w:w="5669"/>
          </w:tcPr>
          <w:p>
            <w:r/>
            <w:r>
              <w:rPr>
                <w:sz w:val="19"/>
              </w:rPr>
              <w:t>Groupement EXAEQUO INGENIERIE (mandataire / BET) — URUK V (architecte) — EVTB (économiste)</w:t>
            </w:r>
          </w:p>
        </w:tc>
      </w:tr>
      <w:tr>
        <w:tc>
          <w:tcPr>
            <w:tcW w:type="dxa" w:w="3118"/>
          </w:tcPr>
          <w:p>
            <w:r/>
            <w:r>
              <w:rPr>
                <w:sz w:val="19"/>
              </w:rPr>
              <w:t>Contrôle technique</w:t>
            </w:r>
          </w:p>
        </w:tc>
        <w:tc>
          <w:tcPr>
            <w:tcW w:type="dxa" w:w="5669"/>
          </w:tcPr>
          <w:p>
            <w:r/>
            <w:r>
              <w:rPr>
                <w:sz w:val="19"/>
              </w:rPr>
              <w:t>ALPHA CONTROLE SAS</w:t>
            </w:r>
          </w:p>
        </w:tc>
      </w:tr>
      <w:tr>
        <w:tc>
          <w:tcPr>
            <w:tcW w:type="dxa" w:w="3118"/>
          </w:tcPr>
          <w:p>
            <w:r/>
            <w:r>
              <w:rPr>
                <w:sz w:val="19"/>
              </w:rPr>
              <w:t>Coordination Sécurité et Protection de la Santé (SPS)</w:t>
            </w:r>
          </w:p>
        </w:tc>
        <w:tc>
          <w:tcPr>
            <w:tcW w:type="dxa" w:w="5669"/>
          </w:tcPr>
          <w:p>
            <w:r/>
            <w:r>
              <w:rPr>
                <w:sz w:val="19"/>
              </w:rPr>
              <w:t>SOCOTEC Construction</w:t>
            </w:r>
          </w:p>
        </w:tc>
      </w:tr>
      <w:tr>
        <w:tc>
          <w:tcPr>
            <w:tcW w:type="dxa" w:w="3118"/>
          </w:tcPr>
          <w:p>
            <w:r/>
            <w:r>
              <w:rPr>
                <w:sz w:val="19"/>
              </w:rPr>
              <w:t>Coordination SSI</w:t>
            </w:r>
          </w:p>
        </w:tc>
        <w:tc>
          <w:tcPr>
            <w:tcW w:type="dxa" w:w="5669"/>
          </w:tcPr>
          <w:p>
            <w:r/>
            <w:r>
              <w:rPr>
                <w:sz w:val="19"/>
              </w:rPr>
              <w:t>CS INGENIERIE</w:t>
            </w:r>
          </w:p>
        </w:tc>
      </w:tr>
      <w:tr>
        <w:tc>
          <w:tcPr>
            <w:tcW w:type="dxa" w:w="3118"/>
          </w:tcPr>
          <w:p>
            <w:r/>
            <w:r>
              <w:rPr>
                <w:sz w:val="19"/>
              </w:rPr>
              <w:t>Candidat</w:t>
            </w:r>
          </w:p>
        </w:tc>
        <w:tc>
          <w:tcPr>
            <w:tcW w:type="dxa" w:w="5669"/>
          </w:tcPr>
          <w:p>
            <w:r/>
            <w:r>
              <w:rPr>
                <w:sz w:val="19"/>
              </w:rPr>
              <w:t>France Décoration — SIRET 823 616 461 00021 — 53 avenue de la gare de Gargan, 93190 Livry-Gargan</w:t>
            </w:r>
          </w:p>
        </w:tc>
      </w:tr>
      <w:tr>
        <w:tc>
          <w:tcPr>
            <w:tcW w:type="dxa" w:w="3118"/>
          </w:tcPr>
          <w:p>
            <w:r/>
            <w:r>
              <w:rPr>
                <w:sz w:val="19"/>
              </w:rPr>
              <w:t>Qualifications requises pour le lot</w:t>
            </w:r>
          </w:p>
        </w:tc>
        <w:tc>
          <w:tcPr>
            <w:tcW w:type="dxa" w:w="5669"/>
          </w:tcPr>
          <w:p>
            <w:r/>
            <w:r>
              <w:rPr>
                <w:sz w:val="19"/>
              </w:rPr>
              <w:t>QUALIBAT 6111 - 6222 - 6611 (ou équivalence démontrée)</w:t>
            </w:r>
          </w:p>
        </w:tc>
      </w:tr>
      <w:tr>
        <w:tc>
          <w:tcPr>
            <w:tcW w:type="dxa" w:w="3118"/>
          </w:tcPr>
          <w:p>
            <w:r/>
            <w:r>
              <w:rPr>
                <w:sz w:val="19"/>
              </w:rPr>
              <w:t>Date limite de remise des offres</w:t>
            </w:r>
          </w:p>
        </w:tc>
        <w:tc>
          <w:tcPr>
            <w:tcW w:type="dxa" w:w="5669"/>
          </w:tcPr>
          <w:p>
            <w:r/>
            <w:r>
              <w:rPr>
                <w:sz w:val="19"/>
              </w:rPr>
              <w:t>08 septembre 2026, 12h00 (plateforme marches-publics.gouv.fr)</w:t>
            </w:r>
          </w:p>
        </w:tc>
      </w:tr>
      <w:tr>
        <w:tc>
          <w:tcPr>
            <w:tcW w:type="dxa" w:w="3118"/>
          </w:tcPr>
          <w:p>
            <w:r/>
            <w:r>
              <w:rPr>
                <w:sz w:val="19"/>
              </w:rPr>
              <w:t>Délai global d'exécution de l'opération</w:t>
            </w:r>
          </w:p>
        </w:tc>
        <w:tc>
          <w:tcPr>
            <w:tcW w:type="dxa" w:w="5669"/>
          </w:tcPr>
          <w:p>
            <w:r/>
            <w:r>
              <w:rPr>
                <w:sz w:val="19"/>
              </w:rPr>
              <w:t>5 mois, dont 1 mois de préparation de chantier</w:t>
            </w:r>
          </w:p>
        </w:tc>
      </w:tr>
    </w:tbl>
    <w:p>
      <w:r>
        <w:br w:type="page"/>
      </w:r>
    </w:p>
    <w:p>
      <w:pPr>
        <w:spacing w:before="360" w:after="120"/>
        <w:pBdr>
          <w:bottom w:val="single" w:sz="8" w:space="4" w:color="2E74B5"/>
        </w:pBdr>
      </w:pPr>
      <w:r>
        <w:rPr>
          <w:b/>
          <w:color w:val="2E74B5"/>
          <w:sz w:val="28"/>
        </w:rPr>
        <w:t>1.3. Compréhension du projet de création du nouveau scanner</w:t>
      </w:r>
    </w:p>
    <w:p>
      <w:r>
        <w:rPr>
          <w:b w:val="0"/>
          <w:i w:val="0"/>
          <w:sz w:val="21"/>
        </w:rPr>
        <w:t>Le projet consiste à réaménager une ancienne zone de radiologie, au rez-de-chaussée du bâtiment Madeleine Brès de l'hôpital René Muret, afin d'y installer un nouvel équipement d'imagerie de type scanner (salle d'examen, salle de contrôle, locaux annexes : accueil, secrétariat, sanitaires, déshabilloirs, locaux techniques). L'opération s'inscrit dans un établissement recevant du public en activité, classé type U (locaux de soins) et L, de 3ᵉ catégorie, comportant des locaux à sommeil et doté d'un Système de Sécurité Incendie de catégorie A.</w:t>
      </w:r>
    </w:p>
    <w:p>
      <w:r>
        <w:rPr>
          <w:b w:val="0"/>
          <w:i w:val="0"/>
          <w:sz w:val="21"/>
        </w:rPr>
        <w:t>L'opération est allotie en six lots séparés, coordonnés par le groupement de maîtrise d'œuvre EXAEQUO INGENIERIE / URUK V / EVTB : (1) Démolitions - Maçonnerie - Cloisonnement - Plâtrerie, (2) Menuiseries intérieures - Meubles spéciaux, (3) Faux Plafonds - Peinture - Sols Souples (notre lot), (4) Électricité CFO-CFA, (5) Chauffage - Plomberie - Climatisation, (6) Fluides médicaux. Le Lot 3 intervient en fin de chaîne technique, après le gros œuvre et le cloisonnement, en parallèle des lots techniques (électricité, CVC) dont les réseaux transitent notamment par les plénums de faux plafonds que nous mettons en œuvre.</w:t>
      </w:r>
    </w:p>
    <w:p>
      <w:r>
        <w:rPr>
          <w:b w:val="0"/>
          <w:i w:val="0"/>
          <w:sz w:val="21"/>
        </w:rPr>
        <w:t>Deux enjeux structurent notre compréhension du projet : d'une part, un enjeu de continuité d'exploitation — l'hôpital reste en fonctionnement pendant toute la durée du chantier, ce qui impose une organisation respectueuse des circuits patients, du calme et de la sécurité incendie ; d'autre part, un enjeu de performance hygiénique et technique propre à un plateau d'imagerie médicale, qui se traduit dans le CCTP par des exigences précises sur les matériaux (faux plafonds « Hygiène » classés A2-s1,d0, sols classés UPEC U3P3E2/3C2, peintures à très faible émission de C.O.V. certifiées Ecolabel).</w:t>
      </w:r>
    </w:p>
    <w:p>
      <w:r>
        <w:rPr>
          <w:b w:val="0"/>
          <w:i w:val="0"/>
          <w:sz w:val="21"/>
        </w:rPr>
        <w:t>Un diagnostic structurel réalisé par GEOTEC a par ailleurs mis en évidence un déficit de portance du plancher et de la poutre supportant la future salle d'examen (charge du statif scanner estimée à 875 daN/m²). Un renforcement par profilés métalliques (HEB 220), à la charge du Lot 1, est donc un préalable indispensable à notre intervention sur cette zone : ce point conditionne directement notre organisation de chantier et notre planning (cf. § 1.5 et 1.6).</w:t>
      </w:r>
    </w:p>
    <w:p>
      <w:r>
        <w:rPr>
          <w:b w:val="0"/>
          <w:i w:val="0"/>
          <w:sz w:val="21"/>
        </w:rPr>
        <w:t>Le démarrage des travaux est prévu au second semestre 2026, pour un délai global de 5 mois (dont 1 mois de préparation) ; notre lot est positionné en fin de séquence (autour des mois 4-5) sur une fenêtre resserrée de 45 jours.</w:t>
      </w:r>
    </w:p>
    <w:p>
      <w:r>
        <w:br w:type="page"/>
      </w:r>
    </w:p>
    <w:p>
      <w:pPr>
        <w:spacing w:before="360" w:after="120"/>
        <w:pBdr>
          <w:bottom w:val="single" w:sz="8" w:space="4" w:color="2E74B5"/>
        </w:pBdr>
      </w:pPr>
      <w:r>
        <w:rPr>
          <w:b/>
          <w:color w:val="2E74B5"/>
          <w:sz w:val="28"/>
        </w:rPr>
        <w:t>1.4. Analyse des prestations à notre charge</w:t>
      </w:r>
    </w:p>
    <w:p>
      <w:r>
        <w:rPr>
          <w:b w:val="0"/>
          <w:i w:val="0"/>
          <w:sz w:val="21"/>
        </w:rPr>
        <w:t>Le CCTP du Lot 3 confie à France Décoration trois familles de prestations, décrites ci-après, réalisées suivant les prescriptions techniques du Maître d'Œuvre et selon les DTU en vigueur.</w:t>
      </w:r>
    </w:p>
    <w:p>
      <w:pPr>
        <w:spacing w:before="200" w:after="80"/>
      </w:pPr>
      <w:r>
        <w:rPr>
          <w:b/>
          <w:color w:val="1F3A5F"/>
          <w:sz w:val="23"/>
        </w:rPr>
        <w:t>1.4.1. Faux plafonds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2E74B5"/>
          </w:tcPr>
          <w:p>
            <w:r/>
            <w:r>
              <w:rPr>
                <w:b/>
                <w:color w:val="FFFFFF"/>
                <w:sz w:val="19"/>
              </w:rPr>
              <w:t>Ouvrage</w:t>
            </w:r>
          </w:p>
        </w:tc>
        <w:tc>
          <w:tcPr>
            <w:tcW w:type="dxa" w:w="2438"/>
            <w:shd w:val="clear" w:color="auto" w:fill="2E74B5"/>
          </w:tcPr>
          <w:p>
            <w:r/>
            <w:r>
              <w:rPr>
                <w:b/>
                <w:color w:val="FFFFFF"/>
                <w:sz w:val="19"/>
              </w:rPr>
              <w:t>Produit prescrit</w:t>
            </w:r>
          </w:p>
        </w:tc>
        <w:tc>
          <w:tcPr>
            <w:tcW w:type="dxa" w:w="2381"/>
            <w:shd w:val="clear" w:color="auto" w:fill="2E74B5"/>
          </w:tcPr>
          <w:p>
            <w:r/>
            <w:r>
              <w:rPr>
                <w:b/>
                <w:color w:val="FFFFFF"/>
                <w:sz w:val="19"/>
              </w:rPr>
              <w:t>Caractéristiques</w:t>
            </w:r>
          </w:p>
        </w:tc>
        <w:tc>
          <w:tcPr>
            <w:tcW w:type="dxa" w:w="2608"/>
            <w:shd w:val="clear" w:color="auto" w:fill="2E74B5"/>
          </w:tcPr>
          <w:p>
            <w:r/>
            <w:r>
              <w:rPr>
                <w:b/>
                <w:color w:val="FFFFFF"/>
                <w:sz w:val="19"/>
              </w:rPr>
              <w:t>Localisation (extrait)</w:t>
            </w:r>
          </w:p>
        </w:tc>
      </w:tr>
      <w:tr>
        <w:tc>
          <w:tcPr>
            <w:tcW w:type="dxa" w:w="1928"/>
          </w:tcPr>
          <w:p>
            <w:r/>
            <w:r>
              <w:rPr>
                <w:sz w:val="19"/>
              </w:rPr>
              <w:t>Faux plafond Hygiène Performance A</w:t>
            </w:r>
          </w:p>
        </w:tc>
        <w:tc>
          <w:tcPr>
            <w:tcW w:type="dxa" w:w="2438"/>
          </w:tcPr>
          <w:p>
            <w:r/>
            <w:r>
              <w:rPr>
                <w:sz w:val="19"/>
              </w:rPr>
              <w:t>Ecophon Hygiène Performance A (Akutex HS) ou équiv.</w:t>
            </w:r>
          </w:p>
        </w:tc>
        <w:tc>
          <w:tcPr>
            <w:tcW w:type="dxa" w:w="2381"/>
          </w:tcPr>
          <w:p>
            <w:r/>
            <w:r>
              <w:rPr>
                <w:sz w:val="19"/>
              </w:rPr>
              <w:t>600x600, ép. 20mm, classement A, EN13501-1 A2-s1,d0</w:t>
            </w:r>
          </w:p>
        </w:tc>
        <w:tc>
          <w:tcPr>
            <w:tcW w:type="dxa" w:w="2608"/>
          </w:tcPr>
          <w:p>
            <w:r/>
            <w:r>
              <w:rPr>
                <w:sz w:val="19"/>
              </w:rPr>
              <w:t>Sanitaires, LT électrique, WC, salle de détente, secrétariat…</w:t>
            </w:r>
          </w:p>
        </w:tc>
      </w:tr>
      <w:tr>
        <w:tc>
          <w:tcPr>
            <w:tcW w:type="dxa" w:w="1928"/>
          </w:tcPr>
          <w:p>
            <w:r/>
            <w:r>
              <w:rPr>
                <w:sz w:val="19"/>
              </w:rPr>
              <w:t>Faux plafond Hygiène Protect Air A</w:t>
            </w:r>
          </w:p>
        </w:tc>
        <w:tc>
          <w:tcPr>
            <w:tcW w:type="dxa" w:w="2438"/>
          </w:tcPr>
          <w:p>
            <w:r/>
            <w:r>
              <w:rPr>
                <w:sz w:val="19"/>
              </w:rPr>
              <w:t>Ecophon Hygiène Protect Air A (Akutex HP) ou équiv.</w:t>
            </w:r>
          </w:p>
        </w:tc>
        <w:tc>
          <w:tcPr>
            <w:tcW w:type="dxa" w:w="2381"/>
          </w:tcPr>
          <w:p>
            <w:r/>
            <w:r>
              <w:rPr>
                <w:sz w:val="19"/>
              </w:rPr>
              <w:t>600x600, ép. 20mm, classement B, A2-s1,d0</w:t>
            </w:r>
          </w:p>
        </w:tc>
        <w:tc>
          <w:tcPr>
            <w:tcW w:type="dxa" w:w="2608"/>
          </w:tcPr>
          <w:p>
            <w:r/>
            <w:r>
              <w:rPr>
                <w:sz w:val="19"/>
              </w:rPr>
              <w:t>Scanner, salle claire, accès accueil radio, déshabilloirs</w:t>
            </w:r>
          </w:p>
        </w:tc>
      </w:tr>
      <w:tr>
        <w:tc>
          <w:tcPr>
            <w:tcW w:type="dxa" w:w="1928"/>
          </w:tcPr>
          <w:p>
            <w:r/>
            <w:r>
              <w:rPr>
                <w:sz w:val="19"/>
              </w:rPr>
              <w:t>Jouées</w:t>
            </w:r>
          </w:p>
        </w:tc>
        <w:tc>
          <w:tcPr>
            <w:tcW w:type="dxa" w:w="2438"/>
          </w:tcPr>
          <w:p>
            <w:r/>
            <w:r>
              <w:rPr>
                <w:sz w:val="19"/>
              </w:rPr>
              <w:t>Placostil BA13</w:t>
            </w:r>
          </w:p>
        </w:tc>
        <w:tc>
          <w:tcPr>
            <w:tcW w:type="dxa" w:w="2381"/>
          </w:tcPr>
          <w:p>
            <w:r/>
            <w:r>
              <w:rPr>
                <w:sz w:val="19"/>
              </w:rPr>
              <w:t>Provision 20 ml x 0,60 m hauteur</w:t>
            </w:r>
          </w:p>
        </w:tc>
        <w:tc>
          <w:tcPr>
            <w:tcW w:type="dxa" w:w="2608"/>
          </w:tcPr>
          <w:p>
            <w:r/>
            <w:r>
              <w:rPr>
                <w:sz w:val="19"/>
              </w:rPr>
              <w:t>Liaisons entre niveaux de plafonds</w:t>
            </w:r>
          </w:p>
        </w:tc>
      </w:tr>
      <w:tr>
        <w:tc>
          <w:tcPr>
            <w:tcW w:type="dxa" w:w="1928"/>
          </w:tcPr>
          <w:p>
            <w:r/>
            <w:r>
              <w:rPr>
                <w:sz w:val="19"/>
              </w:rPr>
              <w:t>Grilles de ventilation plénum</w:t>
            </w:r>
          </w:p>
        </w:tc>
        <w:tc>
          <w:tcPr>
            <w:tcW w:type="dxa" w:w="2438"/>
          </w:tcPr>
          <w:p>
            <w:r/>
            <w:r>
              <w:rPr>
                <w:sz w:val="19"/>
              </w:rPr>
              <w:t>Aluminium laqué</w:t>
            </w:r>
          </w:p>
        </w:tc>
        <w:tc>
          <w:tcPr>
            <w:tcW w:type="dxa" w:w="2381"/>
          </w:tcPr>
          <w:p>
            <w:r/>
            <w:r>
              <w:rPr>
                <w:sz w:val="19"/>
              </w:rPr>
              <w:t>Provision 5 unités</w:t>
            </w:r>
          </w:p>
        </w:tc>
        <w:tc>
          <w:tcPr>
            <w:tcW w:type="dxa" w:w="2608"/>
          </w:tcPr>
          <w:p>
            <w:r/>
            <w:r>
              <w:rPr>
                <w:sz w:val="19"/>
              </w:rPr>
              <w:t>Selon présence de fluides médicaux en plénum</w:t>
            </w:r>
          </w:p>
        </w:tc>
      </w:tr>
      <w:tr>
        <w:tc>
          <w:tcPr>
            <w:tcW w:type="dxa" w:w="1928"/>
          </w:tcPr>
          <w:p>
            <w:r/>
            <w:r>
              <w:rPr>
                <w:sz w:val="19"/>
              </w:rPr>
              <w:t>Dépose/repose plafonds existants</w:t>
            </w:r>
          </w:p>
        </w:tc>
        <w:tc>
          <w:tcPr>
            <w:tcW w:type="dxa" w:w="2438"/>
          </w:tcPr>
          <w:p>
            <w:r/>
            <w:r>
              <w:rPr>
                <w:sz w:val="19"/>
              </w:rPr>
              <w:t>—</w:t>
            </w:r>
          </w:p>
        </w:tc>
        <w:tc>
          <w:tcPr>
            <w:tcW w:type="dxa" w:w="2381"/>
          </w:tcPr>
          <w:p>
            <w:r/>
            <w:r>
              <w:rPr>
                <w:sz w:val="19"/>
              </w:rPr>
              <w:t>Provision 67 m², constat contradictoire avant dépose</w:t>
            </w:r>
          </w:p>
        </w:tc>
        <w:tc>
          <w:tcPr>
            <w:tcW w:type="dxa" w:w="2608"/>
          </w:tcPr>
          <w:p>
            <w:r/>
            <w:r>
              <w:rPr>
                <w:sz w:val="19"/>
              </w:rPr>
              <w:t>—</w:t>
            </w:r>
          </w:p>
        </w:tc>
      </w:tr>
    </w:tbl>
    <w:p>
      <w:pPr>
        <w:spacing w:before="200" w:after="80"/>
      </w:pPr>
      <w:r>
        <w:rPr>
          <w:b/>
          <w:color w:val="1F3A5F"/>
          <w:sz w:val="23"/>
        </w:rPr>
        <w:t>1.4.2. Peinture</w:t>
      </w:r>
    </w:p>
    <w:p>
      <w:r>
        <w:rPr>
          <w:b w:val="0"/>
          <w:i w:val="0"/>
          <w:sz w:val="21"/>
        </w:rPr>
        <w:t>Système CAPAROL Indeko (Fix + Satin, faible C.O.V., Ecolabel) ou équivalent, en finition A (murs/plafonds) et B (métaux/PVC) — garantie particulière de 10 ans sur les peintures appliquées sur maçonnerie, enduits et serrurerie.</w:t>
      </w:r>
    </w:p>
    <w:p>
      <w:r>
        <w:rPr>
          <w:b w:val="0"/>
          <w:i w:val="0"/>
          <w:sz w:val="21"/>
        </w:rPr>
        <w:t>Provision spécifique : reprise de peinture en circulation N°5 — 70 m². Ensemble des locaux du projet traités (accueil, sanitaires, box, scanner, déshabilloirs, locaux techniques…).</w:t>
      </w:r>
    </w:p>
    <w:p>
      <w:pPr>
        <w:spacing w:before="200" w:after="80"/>
      </w:pPr>
      <w:r>
        <w:rPr>
          <w:b/>
          <w:color w:val="1F3A5F"/>
          <w:sz w:val="23"/>
        </w:rPr>
        <w:t>1.4.3. Sols souples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1"/>
            <w:shd w:val="clear" w:color="auto" w:fill="2E74B5"/>
          </w:tcPr>
          <w:p>
            <w:r/>
            <w:r>
              <w:rPr>
                <w:b/>
                <w:color w:val="FFFFFF"/>
                <w:sz w:val="19"/>
              </w:rPr>
              <w:t>Ouvrage</w:t>
            </w:r>
          </w:p>
        </w:tc>
        <w:tc>
          <w:tcPr>
            <w:tcW w:type="dxa" w:w="2494"/>
            <w:shd w:val="clear" w:color="auto" w:fill="2E74B5"/>
          </w:tcPr>
          <w:p>
            <w:r/>
            <w:r>
              <w:rPr>
                <w:b/>
                <w:color w:val="FFFFFF"/>
                <w:sz w:val="19"/>
              </w:rPr>
              <w:t>Produit prescrit</w:t>
            </w:r>
          </w:p>
        </w:tc>
        <w:tc>
          <w:tcPr>
            <w:tcW w:type="dxa" w:w="2438"/>
            <w:shd w:val="clear" w:color="auto" w:fill="2E74B5"/>
          </w:tcPr>
          <w:p>
            <w:r/>
            <w:r>
              <w:rPr>
                <w:b/>
                <w:color w:val="FFFFFF"/>
                <w:sz w:val="19"/>
              </w:rPr>
              <w:t>Caractéristiques</w:t>
            </w:r>
          </w:p>
        </w:tc>
        <w:tc>
          <w:tcPr>
            <w:tcW w:type="dxa" w:w="2551"/>
            <w:shd w:val="clear" w:color="auto" w:fill="2E74B5"/>
          </w:tcPr>
          <w:p>
            <w:r/>
            <w:r>
              <w:rPr>
                <w:b/>
                <w:color w:val="FFFFFF"/>
                <w:sz w:val="19"/>
              </w:rPr>
              <w:t>Localisation</w:t>
            </w:r>
          </w:p>
        </w:tc>
      </w:tr>
      <w:tr>
        <w:tc>
          <w:tcPr>
            <w:tcW w:type="dxa" w:w="1871"/>
          </w:tcPr>
          <w:p>
            <w:r/>
            <w:r>
              <w:rPr>
                <w:sz w:val="19"/>
              </w:rPr>
              <w:t>Sol PVC compact imprimé</w:t>
            </w:r>
          </w:p>
        </w:tc>
        <w:tc>
          <w:tcPr>
            <w:tcW w:type="dxa" w:w="2494"/>
          </w:tcPr>
          <w:p>
            <w:r/>
            <w:r>
              <w:rPr>
                <w:sz w:val="19"/>
              </w:rPr>
              <w:t>Gerflor Taralay Impression Compact ou équiv.</w:t>
            </w:r>
          </w:p>
        </w:tc>
        <w:tc>
          <w:tcPr>
            <w:tcW w:type="dxa" w:w="2438"/>
          </w:tcPr>
          <w:p>
            <w:r/>
            <w:r>
              <w:rPr>
                <w:sz w:val="19"/>
              </w:rPr>
              <w:t>2,00mm (usure 0,70mm), classt 33-42, UPEC U3P3E2/3C2, Bfl-s1, R10</w:t>
            </w:r>
          </w:p>
        </w:tc>
        <w:tc>
          <w:tcPr>
            <w:tcW w:type="dxa" w:w="2551"/>
          </w:tcPr>
          <w:p>
            <w:r/>
            <w:r>
              <w:rPr>
                <w:sz w:val="19"/>
              </w:rPr>
              <w:t>Locaux courants / sanitaires / secrétariat / LT élec.</w:t>
            </w:r>
          </w:p>
        </w:tc>
      </w:tr>
      <w:tr>
        <w:tc>
          <w:tcPr>
            <w:tcW w:type="dxa" w:w="1871"/>
          </w:tcPr>
          <w:p>
            <w:r/>
            <w:r>
              <w:rPr>
                <w:sz w:val="19"/>
              </w:rPr>
              <w:t>Sol homogène compact</w:t>
            </w:r>
          </w:p>
        </w:tc>
        <w:tc>
          <w:tcPr>
            <w:tcW w:type="dxa" w:w="2494"/>
          </w:tcPr>
          <w:p>
            <w:r/>
            <w:r>
              <w:rPr>
                <w:sz w:val="19"/>
              </w:rPr>
              <w:t>Gerflor Taralay Mipolam Planet ou équiv.</w:t>
            </w:r>
          </w:p>
        </w:tc>
        <w:tc>
          <w:tcPr>
            <w:tcW w:type="dxa" w:w="2438"/>
          </w:tcPr>
          <w:p>
            <w:r/>
            <w:r>
              <w:rPr>
                <w:sz w:val="19"/>
              </w:rPr>
              <w:t>2,00mm, classt 34-43, UPEC U3P3E2/3C2, Bfl-s1, R9</w:t>
            </w:r>
          </w:p>
        </w:tc>
        <w:tc>
          <w:tcPr>
            <w:tcW w:type="dxa" w:w="2551"/>
          </w:tcPr>
          <w:p>
            <w:r/>
            <w:r>
              <w:rPr>
                <w:sz w:val="19"/>
              </w:rPr>
              <w:t>Scanner, salle claire, accès accueil radio, déshabilloirs</w:t>
            </w:r>
          </w:p>
        </w:tc>
      </w:tr>
      <w:tr>
        <w:tc>
          <w:tcPr>
            <w:tcW w:type="dxa" w:w="1871"/>
          </w:tcPr>
          <w:p>
            <w:r/>
            <w:r>
              <w:rPr>
                <w:sz w:val="19"/>
              </w:rPr>
              <w:t>Ragréage</w:t>
            </w:r>
          </w:p>
        </w:tc>
        <w:tc>
          <w:tcPr>
            <w:tcW w:type="dxa" w:w="2494"/>
          </w:tcPr>
          <w:p>
            <w:r/>
            <w:r>
              <w:rPr>
                <w:sz w:val="19"/>
              </w:rPr>
              <w:t>Weber &amp; Broutin Nivdur S (P3) ou équiv.</w:t>
            </w:r>
          </w:p>
        </w:tc>
        <w:tc>
          <w:tcPr>
            <w:tcW w:type="dxa" w:w="2438"/>
          </w:tcPr>
          <w:p>
            <w:r/>
            <w:r>
              <w:rPr>
                <w:sz w:val="19"/>
              </w:rPr>
              <w:t>Épaisseur mini 3mm</w:t>
            </w:r>
          </w:p>
        </w:tc>
        <w:tc>
          <w:tcPr>
            <w:tcW w:type="dxa" w:w="2551"/>
          </w:tcPr>
          <w:p>
            <w:r/>
            <w:r>
              <w:rPr>
                <w:sz w:val="19"/>
              </w:rPr>
              <w:t>Sur toute la surface des aires de pose</w:t>
            </w:r>
          </w:p>
        </w:tc>
      </w:tr>
      <w:tr>
        <w:tc>
          <w:tcPr>
            <w:tcW w:type="dxa" w:w="1871"/>
          </w:tcPr>
          <w:p>
            <w:r/>
            <w:r>
              <w:rPr>
                <w:sz w:val="19"/>
              </w:rPr>
              <w:t>Plinthes / barres de seuil</w:t>
            </w:r>
          </w:p>
        </w:tc>
        <w:tc>
          <w:tcPr>
            <w:tcW w:type="dxa" w:w="2494"/>
          </w:tcPr>
          <w:p>
            <w:r/>
            <w:r>
              <w:rPr>
                <w:sz w:val="19"/>
              </w:rPr>
              <w:t>Profil Gerflor réf. 0488 / seuils laiton 35mm</w:t>
            </w:r>
          </w:p>
        </w:tc>
        <w:tc>
          <w:tcPr>
            <w:tcW w:type="dxa" w:w="2438"/>
          </w:tcPr>
          <w:p>
            <w:r/>
            <w:r>
              <w:rPr>
                <w:sz w:val="19"/>
              </w:rPr>
              <w:t>Remontée en plinthe 0,10m</w:t>
            </w:r>
          </w:p>
        </w:tc>
        <w:tc>
          <w:tcPr>
            <w:tcW w:type="dxa" w:w="2551"/>
          </w:tcPr>
          <w:p>
            <w:r/>
            <w:r>
              <w:rPr>
                <w:sz w:val="19"/>
              </w:rPr>
              <w:t>Selon calepinage</w:t>
            </w:r>
          </w:p>
        </w:tc>
      </w:tr>
    </w:tbl>
    <w:p>
      <w:r>
        <w:rPr>
          <w:b w:val="0"/>
          <w:i/>
          <w:sz w:val="21"/>
        </w:rPr>
        <w:t>Garantie décennale d'indécollabilité exigée sur les revêtements de sols souples.</w:t>
      </w:r>
    </w:p>
    <w:p>
      <w:r>
        <w:br w:type="page"/>
      </w:r>
    </w:p>
    <w:p>
      <w:pPr>
        <w:spacing w:before="360" w:after="120"/>
        <w:pBdr>
          <w:bottom w:val="single" w:sz="8" w:space="4" w:color="2E74B5"/>
        </w:pBdr>
      </w:pPr>
      <w:r>
        <w:rPr>
          <w:b/>
          <w:color w:val="2E74B5"/>
          <w:sz w:val="28"/>
        </w:rPr>
        <w:t>1.5. Identification des contraintes spécifiques du site hospitalier</w:t>
      </w:r>
    </w:p>
    <w:p>
      <w:r>
        <w:rPr>
          <w:b w:val="0"/>
          <w:i w:val="0"/>
          <w:sz w:val="21"/>
        </w:rPr>
        <w:t>L'intervention en établissement de soins en activité impose d'identifier, en amont, l'ensemble des contraintes techniques, organisationnelles, sécuritaires et environnementales du chantier, et d'y apporter une réponse organisationnelle précise. Le tableau ci-dessous constitue la matrice de référence de notre organisation de chantier.</w:t>
      </w:r>
    </w:p>
    <w:p>
      <w:pPr>
        <w:spacing w:before="200" w:after="80"/>
      </w:pPr>
      <w:r>
        <w:rPr>
          <w:b/>
          <w:color w:val="1F3A5F"/>
          <w:sz w:val="23"/>
        </w:rPr>
        <w:t>1.5.1. Contraintes liées à la compréhension du projet et aux enjeux techniques</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Réaménagement d'une ancienne zone de radiologie en salle de scanner (RDC, bâtiment Madeleine Brès), en établissement hospitalier en activité.</w:t>
            </w:r>
          </w:p>
        </w:tc>
        <w:tc>
          <w:tcPr>
            <w:tcW w:type="dxa" w:w="4422"/>
          </w:tcPr>
          <w:p>
            <w:r/>
            <w:r>
              <w:rPr>
                <w:sz w:val="19"/>
              </w:rPr>
              <w:t>Désignation d'un conducteur de travaux référent unique pour le lot, présent régulièrement sur site ; visite préalable approfondie pour lever toute ambiguïté avant chiffrage ; participation active aux réunions de la période de préparation.</w:t>
            </w:r>
          </w:p>
        </w:tc>
      </w:tr>
      <w:tr>
        <w:tc>
          <w:tcPr>
            <w:tcW w:type="dxa" w:w="4365"/>
          </w:tcPr>
          <w:p>
            <w:r/>
            <w:r>
              <w:rPr>
                <w:sz w:val="19"/>
              </w:rPr>
              <w:t>Ouvrages à forte exigence hygiène/technique : faux plafonds « Hygiène » (classement A2-s1,d0), sols UPEC U3P3E2/3C2, peintures faible C.O.V. certifiées Ecolabel.</w:t>
            </w:r>
          </w:p>
        </w:tc>
        <w:tc>
          <w:tcPr>
            <w:tcW w:type="dxa" w:w="4422"/>
          </w:tcPr>
          <w:p>
            <w:r/>
            <w:r>
              <w:rPr>
                <w:sz w:val="19"/>
              </w:rPr>
              <w:t>Mise en œuvre strictement conforme aux DTU et fiches techniques fabricants (Ecophon, Caparol, Gerflor) ; contrôle qualité interne à chaque étape ; validation d'échantillons et de locaux témoins avec le Maître d'Œuvre avant généralisation.</w:t>
            </w:r>
          </w:p>
        </w:tc>
      </w:tr>
      <w:tr>
        <w:tc>
          <w:tcPr>
            <w:tcW w:type="dxa" w:w="4365"/>
          </w:tcPr>
          <w:p>
            <w:r/>
            <w:r>
              <w:rPr>
                <w:sz w:val="19"/>
              </w:rPr>
              <w:t>Équipements lourds à supporter (statif scanner ≈2 676 daN, table patiente, armoires) nécessitant un plancher renforcé.</w:t>
            </w:r>
          </w:p>
        </w:tc>
        <w:tc>
          <w:tcPr>
            <w:tcW w:type="dxa" w:w="4422"/>
          </w:tcPr>
          <w:p>
            <w:r/>
            <w:r>
              <w:rPr>
                <w:sz w:val="19"/>
              </w:rPr>
              <w:t>Point d'arrêt formalisé avant intervention : constat contradictoire de réception du renfort structurel (poutrelles HEB220, Lot 1) avant toute pose de sol ou de faux plafond dans la zone concernée.</w:t>
            </w:r>
          </w:p>
        </w:tc>
      </w:tr>
      <w:tr>
        <w:tc>
          <w:tcPr>
            <w:tcW w:type="dxa" w:w="4365"/>
          </w:tcPr>
          <w:p>
            <w:r/>
            <w:r>
              <w:rPr>
                <w:sz w:val="19"/>
              </w:rPr>
              <w:t>Lot en toute fin de chaîne technique du chantier (après gros œuvre, cloisonnement, réseaux) — bonne compréhension des interfaces avec les lots 1, 2, 4, 5, 6 indispensable.</w:t>
            </w:r>
          </w:p>
        </w:tc>
        <w:tc>
          <w:tcPr>
            <w:tcW w:type="dxa" w:w="4422"/>
          </w:tcPr>
          <w:p>
            <w:r/>
            <w:r>
              <w:rPr>
                <w:sz w:val="19"/>
              </w:rPr>
              <w:t>Analyse des interfaces en phase de préparation (plans d'exécution visés, réservations, coordination réseaux/plénum) ; réunion de calage technique avec chaque corps d'état concerné avant démarrage.</w:t>
            </w:r>
          </w:p>
        </w:tc>
      </w:tr>
    </w:tbl>
    <w:p/>
    <w:p>
      <w:pPr>
        <w:spacing w:before="200" w:after="80"/>
      </w:pPr>
      <w:r>
        <w:rPr>
          <w:b/>
          <w:color w:val="1F3A5F"/>
          <w:sz w:val="23"/>
        </w:rPr>
        <w:t>1.5.2. Contraintes organisationnelles et de planning</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Fenêtre d'intervention courte (45 jours) et dépendante de l'avancement des lots amont (1, 2, 4, 5) — risque de glissement de planning.</w:t>
            </w:r>
          </w:p>
        </w:tc>
        <w:tc>
          <w:tcPr>
            <w:tcW w:type="dxa" w:w="4422"/>
          </w:tcPr>
          <w:p>
            <w:r/>
            <w:r>
              <w:rPr>
                <w:sz w:val="19"/>
              </w:rPr>
              <w:t>Planning d'exécution détaillé en sous-tâches par local, avec jalons de réception intermédiaires des supports ; anticipation des délais de fabrication/livraison (faux plafonds, sols, peintures) dès la notification ; réserve de capacité (équipes mobilisables en renfort) en cas de rattrapage nécessaire.</w:t>
            </w:r>
          </w:p>
        </w:tc>
      </w:tr>
      <w:tr>
        <w:tc>
          <w:tcPr>
            <w:tcW w:type="dxa" w:w="4365"/>
          </w:tcPr>
          <w:p>
            <w:r/>
            <w:r>
              <w:rPr>
                <w:sz w:val="19"/>
              </w:rPr>
              <w:t>Délai global contraint (5 mois dont 1 mois de préparation) et régime de pénalités sans mise en demeure préalable (retard, documents, RDV chantier, sous-traitants...).</w:t>
            </w:r>
          </w:p>
        </w:tc>
        <w:tc>
          <w:tcPr>
            <w:tcW w:type="dxa" w:w="4422"/>
          </w:tcPr>
          <w:p>
            <w:r/>
            <w:r>
              <w:rPr>
                <w:sz w:val="19"/>
              </w:rPr>
              <w:t>Cadencement hebdomadaire du chantier avec compte-rendu formalisé ; alerte anticipée écrite au Maître d'Œuvre dès qu'un retard d'un lot amont est identifié comme menaçant la fenêtre du Lot 3, pour purger la responsabilité de France Décoration.</w:t>
            </w:r>
          </w:p>
        </w:tc>
      </w:tr>
      <w:tr>
        <w:tc>
          <w:tcPr>
            <w:tcW w:type="dxa" w:w="4365"/>
          </w:tcPr>
          <w:p>
            <w:r/>
            <w:r>
              <w:rPr>
                <w:sz w:val="19"/>
              </w:rPr>
              <w:t>Engagement contractuel à souscrire : continuité des travaux et effectifs constants en période estivale (juin à août).</w:t>
            </w:r>
          </w:p>
        </w:tc>
        <w:tc>
          <w:tcPr>
            <w:tcW w:type="dxa" w:w="4422"/>
          </w:tcPr>
          <w:p>
            <w:r/>
            <w:r>
              <w:rPr>
                <w:sz w:val="19"/>
              </w:rPr>
              <w:t>Planification des congés des équipes affectées au chantier en dehors de la période juin-août ; identification d'un binôme/équipe de suppléance pour garantir la continuité.</w:t>
            </w:r>
          </w:p>
        </w:tc>
      </w:tr>
      <w:tr>
        <w:tc>
          <w:tcPr>
            <w:tcW w:type="dxa" w:w="4365"/>
          </w:tcPr>
          <w:p>
            <w:r/>
            <w:r>
              <w:rPr>
                <w:sz w:val="19"/>
              </w:rPr>
              <w:t>Coordination technique avec les autres corps d'état : réservations/découpes en faux plafond (électricité, CVC, fluides médicaux), pose de plinthes après sols, raccords après jeux des menuiseries.</w:t>
            </w:r>
          </w:p>
        </w:tc>
        <w:tc>
          <w:tcPr>
            <w:tcW w:type="dxa" w:w="4422"/>
          </w:tcPr>
          <w:p>
            <w:r/>
            <w:r>
              <w:rPr>
                <w:sz w:val="19"/>
              </w:rPr>
              <w:t>Participation systématique aux réunions de coordination technique hebdomadaires ; visa croisé des plans d'exécution avant pose ; désignation d'un référent coordination interfaces au sein de l'équipe chantier.</w:t>
            </w:r>
          </w:p>
        </w:tc>
      </w:tr>
      <w:tr>
        <w:tc>
          <w:tcPr>
            <w:tcW w:type="dxa" w:w="4365"/>
          </w:tcPr>
          <w:p>
            <w:r/>
            <w:r>
              <w:rPr>
                <w:sz w:val="19"/>
              </w:rPr>
              <w:t>Sous-traitance éventuelle à déclarer et faire agréer (délais compatibles avec le PPSPS du sous-traitant).</w:t>
            </w:r>
          </w:p>
        </w:tc>
        <w:tc>
          <w:tcPr>
            <w:tcW w:type="dxa" w:w="4422"/>
          </w:tcPr>
          <w:p>
            <w:r/>
            <w:r>
              <w:rPr>
                <w:sz w:val="19"/>
              </w:rPr>
              <w:t>Anticipation des demandes d'agrément sous-traitant dès la notification du marché, avec constitution des pièces (déclarations, attestations) en parallèle du démarrage de chantier.</w:t>
            </w:r>
          </w:p>
        </w:tc>
      </w:tr>
    </w:tbl>
    <w:p/>
    <w:p>
      <w:pPr>
        <w:spacing w:before="200" w:after="80"/>
      </w:pPr>
      <w:r>
        <w:rPr>
          <w:b/>
          <w:color w:val="1F3A5F"/>
          <w:sz w:val="23"/>
        </w:rPr>
        <w:t>1.5.3. Contraintes de sécurité du chantier et coordination SSI/SPS</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Coordination SPS assurée par SOCOTEC Construction ; PPSPS à établir et remettre sous 30 jours à compter du début de la période de préparation.</w:t>
            </w:r>
          </w:p>
        </w:tc>
        <w:tc>
          <w:tcPr>
            <w:tcW w:type="dxa" w:w="4422"/>
          </w:tcPr>
          <w:p>
            <w:r/>
            <w:r>
              <w:rPr>
                <w:sz w:val="19"/>
              </w:rPr>
              <w:t>Élaboration et transmission du PPSPS dans les délais impartis, après inspection commune ; mise à jour immédiate en cas de modification des conditions d'intervention ou de sous-traitance.</w:t>
            </w:r>
          </w:p>
        </w:tc>
      </w:tr>
      <w:tr>
        <w:tc>
          <w:tcPr>
            <w:tcW w:type="dxa" w:w="4365"/>
          </w:tcPr>
          <w:p>
            <w:r/>
            <w:r>
              <w:rPr>
                <w:sz w:val="19"/>
              </w:rPr>
              <w:t>Obligations générales de sécurité chantier : port permanent d'un badge d'identification (personne + employeur), tenue d'un registre exhaustif du personnel présent, respect des consignes du coordonnateur SPS.</w:t>
            </w:r>
          </w:p>
        </w:tc>
        <w:tc>
          <w:tcPr>
            <w:tcW w:type="dxa" w:w="4422"/>
          </w:tcPr>
          <w:p>
            <w:r/>
            <w:r>
              <w:rPr>
                <w:sz w:val="19"/>
              </w:rPr>
              <w:t>Fourniture et contrôle du port du badge pour toute personne intervenant (y compris sous-traitants) ; tenue à jour du registre du personnel, transmis sur demande sans délai.</w:t>
            </w:r>
          </w:p>
        </w:tc>
      </w:tr>
      <w:tr>
        <w:tc>
          <w:tcPr>
            <w:tcW w:type="dxa" w:w="4365"/>
          </w:tcPr>
          <w:p>
            <w:r/>
            <w:r>
              <w:rPr>
                <w:sz w:val="19"/>
              </w:rPr>
              <w:t>Établissement classé ERP type U (soins) / L, 3ᵉ catégorie, avec locaux à sommeil — SSI de catégorie A ; le Lot 3 n'est pas prescripteur SSI mais doit maintenir le niveau de sécurité incendie pendant toute la durée des travaux.</w:t>
            </w:r>
          </w:p>
        </w:tc>
        <w:tc>
          <w:tcPr>
            <w:tcW w:type="dxa" w:w="4422"/>
          </w:tcPr>
          <w:p>
            <w:r/>
            <w:r>
              <w:rPr>
                <w:sz w:val="19"/>
              </w:rPr>
              <w:t>Coordination avec le lot SSI dédié (CS Ingénierie) pour toute intervention à proximité de cloisons coupe-feu ou de plénums de faux plafonds ; respect du classement au feu M0/A2-s1,d0 imposé en circulations et locaux à sommeil ; aucune intervention sur DAS sans validation du coordonnateur SSI.</w:t>
            </w:r>
          </w:p>
        </w:tc>
      </w:tr>
      <w:tr>
        <w:tc>
          <w:tcPr>
            <w:tcW w:type="dxa" w:w="4365"/>
          </w:tcPr>
          <w:p>
            <w:r/>
            <w:r>
              <w:rPr>
                <w:sz w:val="19"/>
              </w:rPr>
              <w:t>Intervention en établissement de soins en activité : circulation de patients/personnel, contraintes d'accès et de nuisances (bruit, poussières, odeurs).</w:t>
            </w:r>
          </w:p>
        </w:tc>
        <w:tc>
          <w:tcPr>
            <w:tcW w:type="dxa" w:w="4422"/>
          </w:tcPr>
          <w:p>
            <w:r/>
            <w:r>
              <w:rPr>
                <w:sz w:val="19"/>
              </w:rPr>
              <w:t>Cloisonnement de chantier étanche et signalétique dédiée ; plages d'intervention bruyantes convenues à l'avance avec l'exploitant ; procédure d'accès chantier formalisée avec la loge/sécurité de l'hôpital.</w:t>
            </w:r>
          </w:p>
        </w:tc>
      </w:tr>
    </w:tbl>
    <w:p/>
    <w:p>
      <w:pPr>
        <w:spacing w:before="200" w:after="80"/>
      </w:pPr>
      <w:r>
        <w:rPr>
          <w:b/>
          <w:color w:val="1F3A5F"/>
          <w:sz w:val="23"/>
        </w:rPr>
        <w:t>1.5.4. Risques identifiés et mesures associées</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Risque structurel : déficit de portance du plancher/poutre en zone scanner mis en évidence par le diagnostic GEOTEC (renfort HEB220 à réaliser par le Lot 1 avant intervention du Lot 3).</w:t>
            </w:r>
          </w:p>
        </w:tc>
        <w:tc>
          <w:tcPr>
            <w:tcW w:type="dxa" w:w="4422"/>
          </w:tcPr>
          <w:p>
            <w:r/>
            <w:r>
              <w:rPr>
                <w:sz w:val="19"/>
              </w:rPr>
              <w:t>Point d'arrêt contractuel : aucune pose de sol ou de faux plafond dans la zone concernée avant réception écrite (PV contradictoire) du renfort structurel ; clause de report d'activité sans pénalité en cas de non-disponibilité du support à la date prévue.</w:t>
            </w:r>
          </w:p>
        </w:tc>
      </w:tr>
      <w:tr>
        <w:tc>
          <w:tcPr>
            <w:tcW w:type="dxa" w:w="4365"/>
          </w:tcPr>
          <w:p>
            <w:r/>
            <w:r>
              <w:rPr>
                <w:sz w:val="19"/>
              </w:rPr>
              <w:t>Risque de coactivité avec les lots 1/2/4/5/6 intervenant en parallèle ou juste avant (salissures, dégradation d'ouvrages finis).</w:t>
            </w:r>
          </w:p>
        </w:tc>
        <w:tc>
          <w:tcPr>
            <w:tcW w:type="dxa" w:w="4422"/>
          </w:tcPr>
          <w:p>
            <w:r/>
            <w:r>
              <w:rPr>
                <w:sz w:val="19"/>
              </w:rPr>
              <w:t>Phasage des interventions du lot (peinture puis sols en toute fin de séquence par local) ; protection systématique des ouvrages finis (bâches, films, plaques de protection de sol) ; constat contradictoire d'état des lieux à chaque prise et remise de zone.</w:t>
            </w:r>
          </w:p>
        </w:tc>
      </w:tr>
      <w:tr>
        <w:tc>
          <w:tcPr>
            <w:tcW w:type="dxa" w:w="4365"/>
          </w:tcPr>
          <w:p>
            <w:r/>
            <w:r>
              <w:rPr>
                <w:sz w:val="19"/>
              </w:rPr>
              <w:t>Risque sanitaire/environnemental : poussières et émissions de COV liées à la peinture et au ponçage, à proximité de zones de soins en activité.</w:t>
            </w:r>
          </w:p>
        </w:tc>
        <w:tc>
          <w:tcPr>
            <w:tcW w:type="dxa" w:w="4422"/>
          </w:tcPr>
          <w:p>
            <w:r/>
            <w:r>
              <w:rPr>
                <w:sz w:val="19"/>
              </w:rPr>
              <w:t>Emploi systématique des peintures à très faible émission de C.O.V. certifiées Ecolabel prescrites (Caparol Indeko) ; confinement de la zone de travaux (bâches, sas) ; aspiration à la source lors des opérations de ponçage.</w:t>
            </w:r>
          </w:p>
        </w:tc>
      </w:tr>
      <w:tr>
        <w:tc>
          <w:tcPr>
            <w:tcW w:type="dxa" w:w="4365"/>
          </w:tcPr>
          <w:p>
            <w:r/>
            <w:r>
              <w:rPr>
                <w:sz w:val="19"/>
              </w:rPr>
              <w:t>Risque lié aux ouvrages existants à déposer (faux plafonds ~67 m², revêtements muraux) dans un bâtiment ancien : présence possible de matériaux amiantés/plombés non purgée par le CCTP.</w:t>
            </w:r>
          </w:p>
        </w:tc>
        <w:tc>
          <w:tcPr>
            <w:tcW w:type="dxa" w:w="4422"/>
          </w:tcPr>
          <w:p>
            <w:r/>
            <w:r>
              <w:rPr>
                <w:sz w:val="19"/>
              </w:rPr>
              <w:t>Demande formelle au Maître d'Ouvrage/MOE du diagnostic amiante-avant-travaux (DAAT) et du repérage plomb applicables à la zone, avant tout commencement de dépose ; procédure de retrait adaptée par une entreprise habilitée si nécessaire, avec suspension du chantier dans l'attente.</w:t>
            </w:r>
          </w:p>
        </w:tc>
      </w:tr>
      <w:tr>
        <w:tc>
          <w:tcPr>
            <w:tcW w:type="dxa" w:w="4365"/>
          </w:tcPr>
          <w:p>
            <w:r/>
            <w:r>
              <w:rPr>
                <w:sz w:val="19"/>
              </w:rPr>
              <w:t>Risque financier : pénalités cumulables et sans mise en demeure préalable (bruit 500€/j, hygiène/sécurité 200€/j, gravois 200€/infraction, RDV manqué 200€...).</w:t>
            </w:r>
          </w:p>
        </w:tc>
        <w:tc>
          <w:tcPr>
            <w:tcW w:type="dxa" w:w="4422"/>
          </w:tcPr>
          <w:p>
            <w:r/>
            <w:r>
              <w:rPr>
                <w:sz w:val="19"/>
              </w:rPr>
              <w:t>Auto-contrôle hebdomadaire des points sensibles (propreté, sécurité, stockage gravois) formalisé par une check-list interne ; anticipation systématique des rendez-vous de coordination pour éviter les absences.</w:t>
            </w:r>
          </w:p>
        </w:tc>
      </w:tr>
    </w:tbl>
    <w:p/>
    <w:p>
      <w:pPr>
        <w:spacing w:before="200" w:after="80"/>
      </w:pPr>
      <w:r>
        <w:rPr>
          <w:b/>
          <w:color w:val="1F3A5F"/>
          <w:sz w:val="23"/>
        </w:rPr>
        <w:t>1.5.5. Contraintes de nettoyage, propreté et gestion des déchets</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Nettoyages multiples à la charge du lot en fin de chantier : sols, revêtements verticaux, quincaillerie, appareils sanitaires/électriques, vitres, menuiseries — non rémunérés dans le prix de la peinture mais inclus au prix global forfaitaire (CCTP III.3.03 / IV.7).</w:t>
            </w:r>
          </w:p>
        </w:tc>
        <w:tc>
          <w:tcPr>
            <w:tcW w:type="dxa" w:w="4422"/>
          </w:tcPr>
          <w:p>
            <w:r/>
            <w:r>
              <w:rPr>
                <w:sz w:val="19"/>
              </w:rPr>
              <w:t>Équipe dédiée au nettoyage de fin de chantier ; planning de nettoyage journalier des zones d'intervention (balayage, évacuation des déchets/sciure) en plus du nettoyage général avant réception, pour ne jamais gêner la poursuite des autres lots.</w:t>
            </w:r>
          </w:p>
        </w:tc>
      </w:tr>
      <w:tr>
        <w:tc>
          <w:tcPr>
            <w:tcW w:type="dxa" w:w="4365"/>
          </w:tcPr>
          <w:p>
            <w:r/>
            <w:r>
              <w:rPr>
                <w:sz w:val="19"/>
              </w:rPr>
              <w:t>Interdiction de ponçage sur revêtements émaillés/stratifiés/lamifiés et appareils sanitaires ; produits de nettoyage à adapter pour ne pas altérer les surfaces.</w:t>
            </w:r>
          </w:p>
        </w:tc>
        <w:tc>
          <w:tcPr>
            <w:tcW w:type="dxa" w:w="4422"/>
          </w:tcPr>
          <w:p>
            <w:r/>
            <w:r>
              <w:rPr>
                <w:sz w:val="19"/>
              </w:rPr>
              <w:t>Sélection des produits et procédés de nettoyage selon prescriptions fabricants, avec fiche produit disponible sur site ; formation des équipes aux surfaces sensibles avant intervention.</w:t>
            </w:r>
          </w:p>
        </w:tc>
      </w:tr>
      <w:tr>
        <w:tc>
          <w:tcPr>
            <w:tcW w:type="dxa" w:w="4365"/>
          </w:tcPr>
          <w:p>
            <w:r/>
            <w:r>
              <w:rPr>
                <w:sz w:val="19"/>
              </w:rPr>
              <w:t>Gestion et traçabilité des déchets de chantier : le titulaire est « détenteur » de ses déchets pendant la durée du chantier et responsable de leur collecte/transport/évacuation conformes.</w:t>
            </w:r>
          </w:p>
        </w:tc>
        <w:tc>
          <w:tcPr>
            <w:tcW w:type="dxa" w:w="4422"/>
          </w:tcPr>
          <w:p>
            <w:r/>
            <w:r>
              <w:rPr>
                <w:sz w:val="19"/>
              </w:rPr>
              <w:t>Tri sélectif sur site par filière (DIB, DEEE, déchets dangereux le cas échéant) ; bordereaux de suivi de déchets (BSD) conservés et transmis ; recours à des filières agréées — éléments repris dans le volet environnemental du mémoire technique (indicateurs de suivi, économie circulaire).</w:t>
            </w:r>
          </w:p>
        </w:tc>
      </w:tr>
      <w:tr>
        <w:tc>
          <w:tcPr>
            <w:tcW w:type="dxa" w:w="4365"/>
          </w:tcPr>
          <w:p>
            <w:r/>
            <w:r>
              <w:rPr>
                <w:sz w:val="19"/>
              </w:rPr>
              <w:t>Dépôt des gravois autorisé uniquement dans les zones prescrites (pénalité de 200 €/infraction) ; retard d'évacuation pénalisé (200 €/j).</w:t>
            </w:r>
          </w:p>
        </w:tc>
        <w:tc>
          <w:tcPr>
            <w:tcW w:type="dxa" w:w="4422"/>
          </w:tcPr>
          <w:p>
            <w:r/>
            <w:r>
              <w:rPr>
                <w:sz w:val="19"/>
              </w:rPr>
              <w:t>Zone de stockage déchets/gravois définie avec le Maître d'Œuvre dès la période de préparation ; rotation d'évacuation planifiée pour éviter toute accumulation.</w:t>
            </w:r>
          </w:p>
        </w:tc>
      </w:tr>
    </w:tbl>
    <w:p/>
    <w:p>
      <w:pPr>
        <w:spacing w:before="200" w:after="80"/>
      </w:pPr>
      <w:r>
        <w:rPr>
          <w:b/>
          <w:color w:val="1F3A5F"/>
          <w:sz w:val="23"/>
        </w:rPr>
        <w:t>1.5.6. Contraintes de garanties et de suivi qualité</w:t>
      </w:r>
    </w:p>
    <w:tbl>
      <w:tblPr>
        <w:tblStyle w:val="TableGrid"/>
        <w:tblW w:type="auto" w:w="0"/>
        <w:jc w:val="center"/>
        <w:tblLook w:firstColumn="1" w:firstRow="1" w:lastColumn="0" w:lastRow="0" w:noHBand="0" w:noVBand="1" w:val="04A0"/>
      </w:tblPr>
      <w:tblGrid>
        <w:gridCol w:w="4986"/>
        <w:gridCol w:w="4986"/>
      </w:tblGrid>
      <w:tr>
        <w:tc>
          <w:tcPr>
            <w:tcW w:type="dxa" w:w="4365"/>
            <w:shd w:val="clear" w:color="auto" w:fill="2E74B5"/>
          </w:tcPr>
          <w:p>
            <w:r/>
            <w:r>
              <w:rPr>
                <w:b/>
                <w:color w:val="FFFFFF"/>
                <w:sz w:val="19"/>
              </w:rPr>
              <w:t>Contrainte identifiée dans le DCE</w:t>
            </w:r>
          </w:p>
        </w:tc>
        <w:tc>
          <w:tcPr>
            <w:tcW w:type="dxa" w:w="4422"/>
            <w:shd w:val="clear" w:color="auto" w:fill="2E74B5"/>
          </w:tcPr>
          <w:p>
            <w:r/>
            <w:r>
              <w:rPr>
                <w:b/>
                <w:color w:val="FFFFFF"/>
                <w:sz w:val="19"/>
              </w:rPr>
              <w:t>Organisation prévue par France Décoration</w:t>
            </w:r>
          </w:p>
        </w:tc>
      </w:tr>
      <w:tr>
        <w:tc>
          <w:tcPr>
            <w:tcW w:type="dxa" w:w="4365"/>
          </w:tcPr>
          <w:p>
            <w:r/>
            <w:r>
              <w:rPr>
                <w:sz w:val="19"/>
              </w:rPr>
              <w:t>Garantie particulière de 10 ans sur les systèmes de peinture appliqués sur maçonnerie, enduits et serrurerie.</w:t>
            </w:r>
          </w:p>
        </w:tc>
        <w:tc>
          <w:tcPr>
            <w:tcW w:type="dxa" w:w="4422"/>
          </w:tcPr>
          <w:p>
            <w:r/>
            <w:r>
              <w:rPr>
                <w:sz w:val="19"/>
              </w:rPr>
              <w:t>Mise en œuvre strictement conforme aux préconisations du fabricant (préparation des supports, nombre de couches) ; contrôle qualité formalisé par local ; engagement écrit du fournisseur de peinture sur la tenue du système.</w:t>
            </w:r>
          </w:p>
        </w:tc>
      </w:tr>
      <w:tr>
        <w:tc>
          <w:tcPr>
            <w:tcW w:type="dxa" w:w="4365"/>
          </w:tcPr>
          <w:p>
            <w:r/>
            <w:r>
              <w:rPr>
                <w:sz w:val="19"/>
              </w:rPr>
              <w:t>Garantie décennale d'indécollabilité des revêtements de sols souples.</w:t>
            </w:r>
          </w:p>
        </w:tc>
        <w:tc>
          <w:tcPr>
            <w:tcW w:type="dxa" w:w="4422"/>
          </w:tcPr>
          <w:p>
            <w:r/>
            <w:r>
              <w:rPr>
                <w:sz w:val="19"/>
              </w:rPr>
              <w:t>Contrôle systématique du taux d'humidité des supports avant pose, ragréage conforme (Nivdur S ou équivalent, ≥3mm), respect des préconisations de pose du fabricant, procès-verbal de contrôle conservé au dossier.</w:t>
            </w:r>
          </w:p>
        </w:tc>
      </w:tr>
      <w:tr>
        <w:tc>
          <w:tcPr>
            <w:tcW w:type="dxa" w:w="4365"/>
          </w:tcPr>
          <w:p>
            <w:r/>
            <w:r>
              <w:rPr>
                <w:sz w:val="19"/>
              </w:rPr>
              <w:t>Obligation d'entretien à la charge de l'entreprise pendant le délai de garantie d'un an (parfait achèvement).</w:t>
            </w:r>
          </w:p>
        </w:tc>
        <w:tc>
          <w:tcPr>
            <w:tcW w:type="dxa" w:w="4422"/>
          </w:tcPr>
          <w:p>
            <w:r/>
            <w:r>
              <w:rPr>
                <w:sz w:val="19"/>
              </w:rPr>
              <w:t>Levée des réserves organisée sous délai court après réception ; astreinte/point de contact dédié pendant la période de garantie.</w:t>
            </w:r>
          </w:p>
        </w:tc>
      </w:tr>
    </w:tbl>
    <w:p/>
    <w:p>
      <w:r>
        <w:br w:type="page"/>
      </w:r>
    </w:p>
    <w:p>
      <w:pPr>
        <w:spacing w:before="360" w:after="120"/>
        <w:pBdr>
          <w:bottom w:val="single" w:sz="8" w:space="4" w:color="2E74B5"/>
        </w:pBdr>
      </w:pPr>
      <w:r>
        <w:rPr>
          <w:b/>
          <w:color w:val="2E74B5"/>
          <w:sz w:val="28"/>
        </w:rPr>
        <w:t>1.6. Engagements de France Décoration pour l'opération</w:t>
      </w:r>
    </w:p>
    <w:p>
      <w:r>
        <w:rPr>
          <w:b w:val="0"/>
          <w:i w:val="0"/>
          <w:sz w:val="21"/>
        </w:rPr>
        <w:t>En réponse aux enjeux et contraintes identifiés ci-dessus, France Décoration prend les engagements suivants pour l'exécution du Lot 3, qui structureront la suite du présent mémoire technique.</w:t>
      </w:r>
    </w:p>
    <w:p>
      <w:pPr>
        <w:pStyle w:val="ListBullet"/>
      </w:pPr>
      <w:r>
        <w:t>Engagement de continuité d'exploitation : organisation de chantier compatible avec le maintien de l'activité hospitalière (accès, circuits patients, nuisances maîtrisées), en coordination permanente avec l'exploitant et le Maître d'Œuvre.</w:t>
      </w:r>
    </w:p>
    <w:p>
      <w:pPr>
        <w:pStyle w:val="ListBullet"/>
      </w:pPr>
      <w:r>
        <w:t>Engagement de sécurité : respect strict des consignes du coordonnateur SPS (SOCOTEC) et du coordonnateur SSI (CS Ingénierie), remise du PPSPS dans les délais, port du badge et tenue du registre du personnel pour l'ensemble de nos équipes et sous-traitants.</w:t>
      </w:r>
    </w:p>
    <w:p>
      <w:pPr>
        <w:pStyle w:val="ListBullet"/>
      </w:pPr>
      <w:r>
        <w:t>Engagement qualité et garanties : mise en œuvre conforme aux DTU et aux prescriptions fabricants (Ecophon, Caparol, Gerflor), respect des garanties particulières de 10 ans sur la peinture et de la garantie décennale sur les sols souples.</w:t>
      </w:r>
    </w:p>
    <w:p>
      <w:pPr>
        <w:pStyle w:val="ListBullet"/>
      </w:pPr>
      <w:r>
        <w:t>Engagement de planning : anticipation des approvisionnements, point d'arrêt formalisé avant intervention sur les zones nécessitant un renfort structurel préalable, alerte anticipée en cas de dérive des lots amont, et respect de la fenêtre d'exécution du lot.</w:t>
      </w:r>
    </w:p>
    <w:p>
      <w:pPr>
        <w:pStyle w:val="ListBullet"/>
      </w:pPr>
      <w:r>
        <w:t>Engagement de continuité en période estivale : maintien des effectifs et absence d'interruption des travaux entre juin et août, conformément aux exigences du Règlement de Consultation.</w:t>
      </w:r>
    </w:p>
    <w:p>
      <w:pPr>
        <w:pStyle w:val="ListBullet"/>
      </w:pPr>
      <w:r>
        <w:t>Engagement environnemental : usage de matériaux à très faible émission de C.O.V., tri sélectif et traçabilité des déchets (BSD), démarche de réduction des impacts et de suivi par indicateurs, détaillée au chapitre dédié du mémoire technique.</w:t>
      </w:r>
    </w:p>
    <w:p>
      <w:pPr>
        <w:pStyle w:val="ListBullet"/>
      </w:pPr>
      <w:r>
        <w:t>Engagement de propreté : nettoyage quotidien des zones d'intervention et nettoyage complet avant réception, sans gêne pour les autres corps d'état ni pour l'activité de l'établissement.</w:t>
      </w:r>
    </w:p>
    <w:p/>
    <w:p>
      <w:r>
        <w:rPr>
          <w:i/>
          <w:color w:val="595959"/>
          <w:sz w:val="17"/>
        </w:rPr>
        <w:t>Chapitre établi à partir des pièces du DCE fournies : RC, CCAP, CCTP Lot 3, plan de zoning, calendrier des travaux, diagnostic structurel GEOTEC et projet d'acte d'engagement Lot 3.</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