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25438"/>
          <w:spacing w:val="30"/>
          <w:sz w:val="20"/>
          <w:szCs w:val="20"/>
        </w:rPr>
        <w:t xml:space="preserve">PROJET 10</w:t>
      </w:r>
    </w:p>
    <w:p>
      <w:pPr>
        <w:spacing w:after="50"/>
      </w:pPr>
      <w:r>
        <w:rPr>
          <w:rFonts w:ascii="Calibri" w:cs="Calibri" w:eastAsia="Calibri" w:hAnsi="Calibri"/>
          <w:b/>
          <w:bCs/>
          <w:color w:val="0E5A66"/>
          <w:sz w:val="30"/>
          <w:szCs w:val="30"/>
        </w:rPr>
        <w:t xml:space="preserve">Transformer un notebook existant en analyse fiable, auditable et reproductible avec l'IA</w:t>
      </w:r>
    </w:p>
    <w:p>
      <w:pPr>
        <w:spacing w:after="40"/>
      </w:pPr>
      <w:r>
        <w:rPr>
          <w:rFonts w:ascii="Calibri" w:cs="Calibri" w:eastAsia="Calibri" w:hAnsi="Calibri"/>
          <w:color w:val="1E2A2E"/>
          <w:sz w:val="20"/>
          <w:szCs w:val="20"/>
        </w:rPr>
        <w:t xml:space="preserve">Un socle qualité et quatre améliorations complémentaires, chacune comparée avant d'être retenue — et une documentation qui permet à un tiers de relancer l'analyse sans son auteur.</w:t>
      </w:r>
    </w:p>
    <w:p>
      <w:pPr>
        <w:spacing w:after="160"/>
      </w:pPr>
      <w:r>
        <w:rPr>
          <w:rFonts w:ascii="Calibri" w:cs="Calibri" w:eastAsia="Calibri" w:hAnsi="Calibri"/>
          <w:color w:val="6C7B7E"/>
          <w:sz w:val="17"/>
          <w:szCs w:val="17"/>
        </w:rPr>
        <w:t xml:space="preserve">Python · Pandera · Great Expectations · Profiling · Cahier des charges · Gestion de projet · Journal des expérimentations IA</w:t>
      </w:r>
    </w:p>
    <w:p>
      <w:pPr>
        <w:spacing w:after="70" w:before="260"/>
      </w:pPr>
      <w:r>
        <w:rPr>
          <w:rFonts w:ascii="Calibri" w:cs="Calibri" w:eastAsia="Calibri" w:hAnsi="Calibri"/>
          <w:b/>
          <w:bCs/>
          <w:color w:val="0E5A66"/>
          <w:sz w:val="24"/>
          <w:szCs w:val="24"/>
        </w:rPr>
        <w:t xml:space="preserve">1. Synthèse exécutive</w:t>
      </w:r>
    </w:p>
    <w:p>
      <w:pPr>
        <w:spacing w:after="110"/>
      </w:pPr>
      <w:r>
        <w:rPr>
          <w:rFonts w:ascii="Calibri" w:cs="Calibri" w:eastAsia="Calibri" w:hAnsi="Calibri"/>
          <w:i/>
          <w:iCs/>
          <w:color w:val="6C7B7E"/>
          <w:sz w:val="17"/>
          <w:szCs w:val="17"/>
        </w:rPr>
        <w:t xml:space="preserve">Lecture recruteur / manager en moins d'une minute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816"/>
        <w:gridCol w:w="1800"/>
        <w:gridCol w:w="816"/>
        <w:gridCol w:w="1800"/>
        <w:gridCol w:w="816"/>
        <w:gridCol w:w="1800"/>
        <w:gridCol w:w="816"/>
        <w:gridCol w:w="1800"/>
      </w:tblGrid>
      <w:tr>
        <w:tc>
          <w:tcPr>
            <w:tcW w:type="dxa" w:w="816"/>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Période</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1er – 20 juillet 2026 (14 jours ouvrés)</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Cadre</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Certification Business Intelligence (RNCP37837) — projet 10</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Secteur</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E-commerce vins &amp; spiritueux</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Client</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Bottleneck Fine Wine &amp; Spirit (3ᵉ mission)</w:t>
            </w:r>
          </w:p>
        </w:tc>
      </w:tr>
      <w:tr>
        <w:tc>
          <w:tcPr>
            <w:tcW w:type="dxa" w:w="816"/>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Données</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3 sources · 825 ERP · 1 513 lignes Web · 825 liaisons</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Analyse</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Socle qualité sur 3 sources · 20 règles · 2 moteurs comparés</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Livrables</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Notebook amélioré · 00 index de conformité · 01 veille métier et technologique · 02 cahier des charges fonctionnel · 03 pilotage et journal IA (+ classeur Gantt et backlog) · 04 documentation de la démarche · 05 guide méthodologique et mode d'emploi · 06 mini-plan de formation</w:t>
            </w:r>
          </w:p>
        </w:tc>
        <w:tc>
          <w:tcPr>
            <w:tcW w:type="dxa" w:w="81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Posture</w:t>
            </w:r>
          </w:p>
        </w:tc>
        <w:tc>
          <w:tcPr>
            <w:tcW w:type="dxa" w:w="180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Consultante : je propose, je compare, j'assume mes refus</w:t>
            </w:r>
          </w:p>
        </w:tc>
      </w:tr>
    </w:tbl>
    <w:p>
      <w:pPr>
        <w:spacing w:after="110"/>
      </w:pPr>
    </w:p>
    <w:tbl>
      <w:tblPr>
        <w:tblW w:type="dxa" w:w="10466"/>
        <w:tblBorders>
          <w:top w:val="single" w:color="DCE6E7" w:sz="4"/>
          <w:left w:val="single" w:color="DCE6E7" w:sz="4"/>
          <w:bottom w:val="single" w:color="DCE6E7" w:sz="4"/>
          <w:right w:val="single" w:color="DCE6E7" w:sz="4"/>
          <w:insideH w:val="single" w:color="auto" w:sz="4"/>
          <w:insideV w:val="single" w:color="auto" w:sz="4"/>
        </w:tblBorders>
      </w:tblPr>
      <w:tblGrid>
        <w:gridCol w:w="10466"/>
      </w:tblGrid>
      <w:tr>
        <w:tc>
          <w:tcPr>
            <w:tcW w:type="dxa" w:w="10466"/>
            <w:tcBorders>
              <w:top w:val="single" w:color="DCE6E7" w:sz="4"/>
              <w:left w:val="single" w:color="DCE6E7" w:sz="4"/>
              <w:bottom w:val="single" w:color="DCE6E7" w:sz="4"/>
              <w:right w:val="single" w:color="DCE6E7" w:sz="4"/>
            </w:tcBorders>
            <w:shd w:fill="E8F2F3" w:val="clear"/>
            <w:tcMar>
              <w:top w:type="dxa" w:w="80"/>
              <w:left w:type="dxa" w:w="110"/>
              <w:bottom w:type="dxa" w:w="80"/>
              <w:right w:type="dxa" w:w="110"/>
            </w:tcMar>
          </w:tcPr>
          <w:p>
            <w:pPr>
              <w:spacing w:after="40"/>
            </w:pPr>
            <w:r>
              <w:rPr>
                <w:rFonts w:ascii="Calibri" w:cs="Calibri" w:eastAsia="Calibri" w:hAnsi="Calibri"/>
                <w:b/>
                <w:bCs/>
                <w:color w:val="0E5A66"/>
                <w:spacing w:val="20"/>
                <w:sz w:val="18"/>
                <w:szCs w:val="18"/>
              </w:rPr>
              <w:t xml:space="preserve">MA VALEUR AJOUTÉE</w:t>
            </w:r>
          </w:p>
          <w:p>
            <w:pPr>
              <w:spacing w:after="0" w:line="250"/>
            </w:pPr>
            <w:r>
              <w:rPr>
                <w:rFonts w:ascii="Calibri" w:cs="Calibri" w:eastAsia="Calibri" w:hAnsi="Calibri"/>
                <w:color w:val="0E5A66"/>
                <w:sz w:val="18"/>
                <w:szCs w:val="18"/>
              </w:rPr>
              <w:t xml:space="preserve">J'ai refusé la facilité qui consiste à empiler des librairies pour faire moderne. J'ai d'abord audité mon propre notebook et constaté que le problème n'était pas l'absence de contrôles, mais leur dispersion. J'ai donc formalisé dix règles de qualité et je les ai implémentées deux fois, avec deux bibliothèques différentes, sur le même périmètre : elles détectent exactement les mêmes quatorze anomalies. L'arbitrage ne pouvait donc pas porter sur la performance, mais sur le coût d'usage — et je l'ai écrit avant de tester. Résultat : un quart de code en moins et deux fois plus de contrôles.</w:t>
            </w:r>
          </w:p>
        </w:tc>
      </w:tr>
    </w:tbl>
    <w:p>
      <w:pPr>
        <w:spacing w:after="110"/>
      </w:pPr>
    </w:p>
    <w:p>
      <w:pPr>
        <w:spacing w:after="90" w:line="250"/>
      </w:pPr>
      <w:r>
        <w:rPr>
          <w:rFonts w:ascii="Calibri" w:cs="Calibri" w:eastAsia="Calibri" w:hAnsi="Calibri"/>
          <w:b/>
          <w:bCs/>
          <w:color w:val="1E2A2E"/>
          <w:sz w:val="18"/>
          <w:szCs w:val="18"/>
        </w:rPr>
        <w:t xml:space="preserve">Question directrice — comment passer d'un notebook qui donne les bons chiffres à un notebook dont chaque chiffre peut être audité, sur des données qui changent tous les mois ?</w:t>
      </w:r>
    </w:p>
    <w:p>
      <w:pPr>
        <w:spacing w:after="90" w:line="250"/>
      </w:pPr>
      <w:r>
        <w:rPr>
          <w:rFonts w:ascii="Calibri" w:cs="Calibri" w:eastAsia="Calibri" w:hAnsi="Calibri"/>
          <w:b/>
          <w:bCs/>
          <w:color w:val="1E2A2E"/>
          <w:sz w:val="18"/>
          <w:szCs w:val="18"/>
        </w:rPr>
        <w:t xml:space="preserve">4 enjeux — supprimer le risque d'oubli à chaque relance, rendre les anomalies lisibles par un métier sans compétence technique, justifier chaque choix d'outil plutôt que de le subir, et transmettre l'analyse à un tiers capable de la relancer sans moi.</w:t>
      </w:r>
    </w:p>
    <w:p>
      <w:pPr>
        <w:spacing w:after="90" w:line="250"/>
      </w:pPr>
      <w:r>
        <w:rPr>
          <w:rFonts w:ascii="Calibri" w:cs="Calibri" w:eastAsia="Calibri" w:hAnsi="Calibri"/>
          <w:b/>
          <w:bCs/>
          <w:color w:val="1E2A2E"/>
          <w:sz w:val="18"/>
          <w:szCs w:val="18"/>
        </w:rPr>
        <w:t xml:space="preserve">Réponse apportée — un catalogue unique de dix règles, écrites une seule fois et exécutées avant tout nettoyage, toute jointure et toute analyse. Deux bibliothèques comparées à périmètre égal avant de trancher, une décision datée sur six critères, et un rapport en feu tricolore qui traduit chaque règle en langage métier. Aucune donnée n'est jamais corrigée automatiquement.</w:t>
      </w:r>
    </w:p>
    <w:p>
      <w:pPr>
        <w:spacing w:after="70" w:before="260"/>
      </w:pPr>
      <w:r>
        <w:rPr>
          <w:rFonts w:ascii="Calibri" w:cs="Calibri" w:eastAsia="Calibri" w:hAnsi="Calibri"/>
          <w:b/>
          <w:bCs/>
          <w:color w:val="0E5A66"/>
          <w:sz w:val="24"/>
          <w:szCs w:val="24"/>
        </w:rPr>
        <w:t xml:space="preserve">2. Données : sources, qualité et limites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89"/>
        <w:gridCol w:w="8477"/>
      </w:tblGrid>
      <w:tr>
        <w:tc>
          <w:tcPr>
            <w:tcW w:type="dxa" w:w="198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Sources fournies</w:t>
            </w:r>
          </w:p>
        </w:tc>
        <w:tc>
          <w:tcPr>
            <w:tcW w:type="dxa" w:w="8477"/>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Trois extractions du système d'information du client : l'ERP (825 références, avec prix de vente, prix d'achat, quantité en stock et statut de publication), l'export du site marchand (1 513 lignes — 716 produits, 714 SKU exploitables) et une table de liaison de 825 correspondances entre les deux jeux d'identifiants.</w:t>
            </w:r>
          </w:p>
        </w:tc>
      </w:tr>
      <w:tr>
        <w:tc>
          <w:tcPr>
            <w:tcW w:type="dxa" w:w="198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Base de travail</w:t>
            </w:r>
          </w:p>
        </w:tc>
        <w:tc>
          <w:tcPr>
            <w:tcW w:type="dxa" w:w="8477"/>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notebook livré à la mission précédente : 249 cellules, dont 216 de code. Il couvre tout le cycle, du chargement à l'export, et repérait déjà les trous, les doublons et les incohérences — c'est lui qui sert de référence de contrôle.</w:t>
            </w:r>
          </w:p>
        </w:tc>
      </w:tr>
      <w:tr>
        <w:tc>
          <w:tcPr>
            <w:tcW w:type="dxa" w:w="198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Qualité</w:t>
            </w:r>
          </w:p>
        </w:tc>
        <w:tc>
          <w:tcPr>
            <w:tcW w:type="dxa" w:w="8477"/>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Périmètre complet et continu sur les trois sources, clés de jointure présentes, audit manuel préalable disponible. C'est cet audit qui a permis de vérifier que l'outil retenu ne manquait ni n'inventait aucune anomalie : quatorze détectées automatiquement, quatorze à la main, zéro écart.</w:t>
            </w:r>
          </w:p>
        </w:tc>
      </w:tr>
      <w:tr>
        <w:tc>
          <w:tcPr>
            <w:tcW w:type="dxa" w:w="198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Limites des données</w:t>
            </w:r>
          </w:p>
        </w:tc>
        <w:tc>
          <w:tcPr>
            <w:tcW w:type="dxa" w:w="8477"/>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Une seule extraction : aucune dérive dans le temps n'est mesurable — c'est précisément pourquoi un outil de surveillance de dérive a été écarté. À 825 lignes, la volumétrie reste faible pour une méthode d'apprentissage, d'où le maintien de la détection multivariée au stade du POC.</w:t>
            </w:r>
          </w:p>
        </w:tc>
      </w:tr>
      <w:tr>
        <w:tc>
          <w:tcPr>
            <w:tcW w:type="dxa" w:w="198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Hypothèses assumées</w:t>
            </w:r>
          </w:p>
        </w:tc>
        <w:tc>
          <w:tcPr>
            <w:tcW w:type="dxa" w:w="8477"/>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taux de TVA appliqué au chiffre d'affaires et la période couverte par la colonne des ventes ne sont pas documentés à la source. Ils sont isolés en paramètres en tête de notebook et signalés comme des hypothèses : tant que la période n'est pas confirmée, la couverture de stock en mois n'est pas publiée.</w:t>
            </w:r>
          </w:p>
        </w:tc>
      </w:tr>
    </w:tbl>
    <w:p>
      <w:pPr>
        <w:spacing w:after="70" w:before="260"/>
      </w:pPr>
      <w:r>
        <w:rPr>
          <w:rFonts w:ascii="Calibri" w:cs="Calibri" w:eastAsia="Calibri" w:hAnsi="Calibri"/>
          <w:b/>
          <w:bCs/>
          <w:color w:val="0E5A66"/>
          <w:sz w:val="24"/>
          <w:szCs w:val="24"/>
        </w:rPr>
        <w:t xml:space="preserve">3. Démarche STAR</w:t>
      </w:r>
    </w:p>
    <w:p>
      <w:pPr>
        <w:spacing w:after="110"/>
      </w:pPr>
      <w:r>
        <w:rPr>
          <w:rFonts w:ascii="Calibri" w:cs="Calibri" w:eastAsia="Calibri" w:hAnsi="Calibri"/>
          <w:i/>
          <w:iCs/>
          <w:color w:val="6C7B7E"/>
          <w:sz w:val="17"/>
          <w:szCs w:val="17"/>
        </w:rPr>
        <w:t xml:space="preserve">Une narration orientée recruteur / client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23"/>
        <w:gridCol w:w="9943"/>
      </w:tblGrid>
      <w:tr>
        <w:tc>
          <w:tcPr>
            <w:tcW w:type="dxa" w:w="52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S</w:t>
            </w:r>
          </w:p>
        </w:tc>
        <w:tc>
          <w:tcPr>
            <w:tcW w:type="dxa" w:w="994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SITUATION</w:t>
            </w:r>
          </w:p>
          <w:p>
            <w:pPr>
              <w:spacing w:after="0" w:line="240"/>
            </w:pPr>
            <w:r>
              <w:rPr>
                <w:rFonts w:ascii="Calibri" w:cs="Calibri" w:eastAsia="Calibri" w:hAnsi="Calibri"/>
                <w:color w:val="33454A"/>
                <w:sz w:val="16"/>
                <w:szCs w:val="16"/>
              </w:rPr>
              <w:t xml:space="preserve">BottleNeck, marchand de vin prestigieux, dispose depuis la mission précédente d'une analyse de son stock : un notebook Python qui traite trois exports — 825 références à l'ERP, 1 513 lignes côté Web (716 produits, 714 SKU exploitables) et 825 correspondances de liaison. L'outil donne les bons chiffres, mais reste opaque : 29 contrôles qualité dispersés dans 216 cellules de code, aucune jointure sous contrat, une narration réduite et une relance qui dépend de son auteur.</w:t>
            </w:r>
          </w:p>
        </w:tc>
      </w:tr>
      <w:tr>
        <w:tc>
          <w:tcPr>
            <w:tcW w:type="dxa" w:w="52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T</w:t>
            </w:r>
          </w:p>
        </w:tc>
        <w:tc>
          <w:tcPr>
            <w:tcW w:type="dxa" w:w="994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TÂCHE</w:t>
            </w:r>
          </w:p>
          <w:p>
            <w:pPr>
              <w:spacing w:after="0" w:line="240"/>
            </w:pPr>
            <w:r>
              <w:rPr>
                <w:rFonts w:ascii="Calibri" w:cs="Calibri" w:eastAsia="Calibri" w:hAnsi="Calibri"/>
                <w:color w:val="33454A"/>
                <w:sz w:val="16"/>
                <w:szCs w:val="16"/>
              </w:rPr>
              <w:t xml:space="preserve">Améliorer le notebook du projet 5 du portfolio avec l'IA, de manière critique et documentée : tester plusieurs options, comparer les résultats, justifier les choix et conserver les preuves. Quatre exigences imposées par la commande — une veille, un cahier des charges fonctionnel, une gestion de projet outillée et une documentation traçant les essais, les limites et la reproductibilité — auxquelles s'ajoute la formation des utilisateurs métier. Consigne explicite : aucune correction automatique de donnée, et pas de mise en production.</w:t>
            </w:r>
          </w:p>
        </w:tc>
      </w:tr>
      <w:tr>
        <w:tc>
          <w:tcPr>
            <w:tcW w:type="dxa" w:w="52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A</w:t>
            </w:r>
          </w:p>
        </w:tc>
        <w:tc>
          <w:tcPr>
            <w:tcW w:type="dxa" w:w="994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ACTIONS</w:t>
            </w:r>
          </w:p>
          <w:p>
            <w:pPr>
              <w:spacing w:after="0" w:line="240"/>
            </w:pPr>
            <w:r>
              <w:rPr>
                <w:rFonts w:ascii="Calibri" w:cs="Calibri" w:eastAsia="Calibri" w:hAnsi="Calibri"/>
                <w:color w:val="33454A"/>
                <w:sz w:val="16"/>
                <w:szCs w:val="16"/>
              </w:rPr>
              <w:t xml:space="preserve">Sept étapes, une par attendu de méthode, et un pilotage transversal.</w:t>
            </w:r>
          </w:p>
          <w:p>
            <w:pPr>
              <w:spacing w:after="0" w:line="240"/>
            </w:pPr>
            <w:r>
              <w:rPr>
                <w:rFonts w:ascii="Calibri" w:cs="Calibri" w:eastAsia="Calibri" w:hAnsi="Calibri"/>
                <w:color w:val="33454A"/>
                <w:sz w:val="16"/>
                <w:szCs w:val="16"/>
              </w:rPr>
              <w:t xml:space="preserve">1. Auditer l'existant — un notebook déjà riche, mais des contrôles dispersés et une réutilisation risquée.</w:t>
            </w:r>
          </w:p>
          <w:p>
            <w:pPr>
              <w:spacing w:after="0" w:line="240"/>
            </w:pPr>
            <w:r>
              <w:rPr>
                <w:rFonts w:ascii="Calibri" w:cs="Calibri" w:eastAsia="Calibri" w:hAnsi="Calibri"/>
                <w:color w:val="33454A"/>
                <w:sz w:val="16"/>
                <w:szCs w:val="16"/>
              </w:rPr>
              <w:t xml:space="preserve">2. Cadrer — cahier des charges fonctionnel : périmètre, contraintes, dix-sept exigences priorisées MoSCoW.</w:t>
            </w:r>
          </w:p>
          <w:p>
            <w:pPr>
              <w:spacing w:after="0" w:line="240"/>
            </w:pPr>
            <w:r>
              <w:rPr>
                <w:rFonts w:ascii="Calibri" w:cs="Calibri" w:eastAsia="Calibri" w:hAnsi="Calibri"/>
                <w:color w:val="33454A"/>
                <w:sz w:val="16"/>
                <w:szCs w:val="16"/>
              </w:rPr>
              <w:t xml:space="preserve">3. Veiller — plusieurs options par amélioration, évaluées sur des critères définis avant le test.</w:t>
            </w:r>
          </w:p>
          <w:p>
            <w:pPr>
              <w:spacing w:after="0" w:line="240"/>
            </w:pPr>
            <w:r>
              <w:rPr>
                <w:rFonts w:ascii="Calibri" w:cs="Calibri" w:eastAsia="Calibri" w:hAnsi="Calibri"/>
                <w:color w:val="33454A"/>
                <w:sz w:val="16"/>
                <w:szCs w:val="16"/>
              </w:rPr>
              <w:t xml:space="preserve">4. Bâtir le socle qualité — diagnostic automatisé des trois sources, puis référentiel de règles ; le moteur est choisi par POC comparatif.</w:t>
            </w:r>
          </w:p>
          <w:p>
            <w:pPr>
              <w:spacing w:after="0" w:line="240"/>
            </w:pPr>
            <w:r>
              <w:rPr>
                <w:rFonts w:ascii="Calibri" w:cs="Calibri" w:eastAsia="Calibri" w:hAnsi="Calibri"/>
                <w:color w:val="33454A"/>
                <w:sz w:val="16"/>
                <w:szCs w:val="16"/>
              </w:rPr>
              <w:t xml:space="preserve">5. Traiter les quatre améliorations complémentaires — nettoyage, jointures, détection d'anomalies, visualisations.</w:t>
            </w:r>
          </w:p>
          <w:p>
            <w:pPr>
              <w:spacing w:after="0" w:line="240"/>
            </w:pPr>
            <w:r>
              <w:rPr>
                <w:rFonts w:ascii="Calibri" w:cs="Calibri" w:eastAsia="Calibri" w:hAnsi="Calibri"/>
                <w:color w:val="33454A"/>
                <w:sz w:val="16"/>
                <w:szCs w:val="16"/>
              </w:rPr>
              <w:t xml:space="preserve">6. Restituer et documenter — six sorties produites par le notebook, dossier documentaire de dix pièces.</w:t>
            </w:r>
          </w:p>
          <w:p>
            <w:pPr>
              <w:spacing w:after="0" w:line="240"/>
            </w:pPr>
            <w:r>
              <w:rPr>
                <w:rFonts w:ascii="Calibri" w:cs="Calibri" w:eastAsia="Calibri" w:hAnsi="Calibri"/>
                <w:color w:val="33454A"/>
                <w:sz w:val="16"/>
                <w:szCs w:val="16"/>
              </w:rPr>
              <w:t xml:space="preserve">7. Former les utilisateurs métier — mini-plan d'une heure trente et mémo d'une page.</w:t>
            </w:r>
          </w:p>
          <w:p>
            <w:pPr>
              <w:spacing w:after="0" w:line="240"/>
            </w:pPr>
            <w:r>
              <w:rPr>
                <w:rFonts w:ascii="Calibri" w:cs="Calibri" w:eastAsia="Calibri" w:hAnsi="Calibri"/>
                <w:color w:val="33454A"/>
                <w:sz w:val="16"/>
                <w:szCs w:val="16"/>
              </w:rPr>
              <w:t xml:space="preserve">+ Piloter — sept lots, vingt-sept tâches, quatre jalons adossés à un livrable, quinze risques cotés.</w:t>
            </w:r>
          </w:p>
        </w:tc>
      </w:tr>
      <w:tr>
        <w:tc>
          <w:tcPr>
            <w:tcW w:type="dxa" w:w="52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R</w:t>
            </w:r>
          </w:p>
        </w:tc>
        <w:tc>
          <w:tcPr>
            <w:tcW w:type="dxa" w:w="994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RÉSULTATS</w:t>
            </w:r>
          </w:p>
          <w:p>
            <w:pPr>
              <w:spacing w:after="0" w:line="240"/>
            </w:pPr>
            <w:r>
              <w:rPr>
                <w:rFonts w:ascii="Calibri" w:cs="Calibri" w:eastAsia="Calibri" w:hAnsi="Calibri"/>
                <w:color w:val="33454A"/>
                <w:sz w:val="16"/>
                <w:szCs w:val="16"/>
              </w:rPr>
              <w:t xml:space="preserve">Mêmes 825 références et mêmes analyses métier, mais un niveau de contrôle et de traçabilité supérieur. Le référentiel compte vingt règles écrites une seule fois et appliquées aux trois sources ; les contrôles automatiques passent de 19 à 41 ; deux contrats de cardinalité sécurisent les jointures ; la narration passe de 13 % à 60 % et le volume de code recule de 12 762 à 9 402 lignes. Le notebook produit désormais six sorties — quatre rapports de profiling, un rapport métier HTML et un classeur d'analyse. Aucune donnée n'est corrigée automatiquement. Le gain n'est pas d'avoir produit plus d'analyses, mais de pouvoir refaire la même et obtenir un résultat fiable.</w:t>
            </w:r>
          </w:p>
        </w:tc>
      </w:tr>
    </w:tbl>
    <w:p>
      <w:pPr>
        <w:spacing w:after="110"/>
      </w:pPr>
    </w:p>
    <w:p>
      <w:pPr>
        <w:spacing w:after="90" w:line="250"/>
      </w:pPr>
      <w:r>
        <w:rPr>
          <w:rFonts w:ascii="Calibri" w:cs="Calibri" w:eastAsia="Calibri" w:hAnsi="Calibri"/>
          <w:b/>
          <w:bCs/>
          <w:color w:val="1E2A2E"/>
          <w:sz w:val="18"/>
          <w:szCs w:val="18"/>
        </w:rPr>
        <w:t xml:space="preserve">Fil conducteur — je n'ajoute pas d'analyses, je fiabilise celles qui existent déjà.</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44"/>
        <w:gridCol w:w="1744"/>
        <w:gridCol w:w="1744"/>
        <w:gridCol w:w="1744"/>
        <w:gridCol w:w="1744"/>
        <w:gridCol w:w="1744"/>
      </w:tblGrid>
      <w:tr>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1</w:t>
            </w:r>
          </w:p>
          <w:p>
            <w:pPr>
              <w:spacing w:after="0" w:line="240"/>
            </w:pPr>
            <w:r>
              <w:rPr>
                <w:rFonts w:ascii="Calibri" w:cs="Calibri" w:eastAsia="Calibri" w:hAnsi="Calibri"/>
                <w:color w:val="33454A"/>
                <w:sz w:val="16"/>
                <w:szCs w:val="16"/>
              </w:rPr>
              <w:t xml:space="preserve">Auditer</w:t>
            </w:r>
          </w:p>
          <w:p>
            <w:pPr>
              <w:spacing w:after="0" w:line="240"/>
            </w:pPr>
            <w:r>
              <w:rPr>
                <w:rFonts w:ascii="Calibri" w:cs="Calibri" w:eastAsia="Calibri" w:hAnsi="Calibri"/>
                <w:color w:val="33454A"/>
                <w:sz w:val="16"/>
                <w:szCs w:val="16"/>
              </w:rPr>
              <w:t xml:space="preserve">l'existant, sans complaisance</w:t>
            </w:r>
          </w:p>
        </w:tc>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2</w:t>
            </w:r>
          </w:p>
          <w:p>
            <w:pPr>
              <w:spacing w:after="0" w:line="240"/>
            </w:pPr>
            <w:r>
              <w:rPr>
                <w:rFonts w:ascii="Calibri" w:cs="Calibri" w:eastAsia="Calibri" w:hAnsi="Calibri"/>
                <w:color w:val="33454A"/>
                <w:sz w:val="16"/>
                <w:szCs w:val="16"/>
              </w:rPr>
              <w:t xml:space="preserve">Cadrer</w:t>
            </w:r>
          </w:p>
          <w:p>
            <w:pPr>
              <w:spacing w:after="0" w:line="240"/>
            </w:pPr>
            <w:r>
              <w:rPr>
                <w:rFonts w:ascii="Calibri" w:cs="Calibri" w:eastAsia="Calibri" w:hAnsi="Calibri"/>
                <w:color w:val="33454A"/>
                <w:sz w:val="16"/>
                <w:szCs w:val="16"/>
              </w:rPr>
              <w:t xml:space="preserve">5 publics · 17 exigences</w:t>
            </w:r>
          </w:p>
        </w:tc>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3</w:t>
            </w:r>
          </w:p>
          <w:p>
            <w:pPr>
              <w:spacing w:after="0" w:line="240"/>
            </w:pPr>
            <w:r>
              <w:rPr>
                <w:rFonts w:ascii="Calibri" w:cs="Calibri" w:eastAsia="Calibri" w:hAnsi="Calibri"/>
                <w:color w:val="33454A"/>
                <w:sz w:val="16"/>
                <w:szCs w:val="16"/>
              </w:rPr>
              <w:t xml:space="preserve">Veiller</w:t>
            </w:r>
          </w:p>
          <w:p>
            <w:pPr>
              <w:spacing w:after="0" w:line="240"/>
            </w:pPr>
            <w:r>
              <w:rPr>
                <w:rFonts w:ascii="Calibri" w:cs="Calibri" w:eastAsia="Calibri" w:hAnsi="Calibri"/>
                <w:color w:val="33454A"/>
                <w:sz w:val="16"/>
                <w:szCs w:val="16"/>
              </w:rPr>
              <w:t xml:space="preserve">4 questions · 2 flux</w:t>
            </w:r>
          </w:p>
        </w:tc>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4</w:t>
            </w:r>
          </w:p>
          <w:p>
            <w:pPr>
              <w:spacing w:after="0" w:line="240"/>
            </w:pPr>
            <w:r>
              <w:rPr>
                <w:rFonts w:ascii="Calibri" w:cs="Calibri" w:eastAsia="Calibri" w:hAnsi="Calibri"/>
                <w:color w:val="33454A"/>
                <w:sz w:val="16"/>
                <w:szCs w:val="16"/>
              </w:rPr>
              <w:t xml:space="preserve">Comparer</w:t>
            </w:r>
          </w:p>
          <w:p>
            <w:pPr>
              <w:spacing w:after="0" w:line="240"/>
            </w:pPr>
            <w:r>
              <w:rPr>
                <w:rFonts w:ascii="Calibri" w:cs="Calibri" w:eastAsia="Calibri" w:hAnsi="Calibri"/>
                <w:color w:val="33454A"/>
                <w:sz w:val="16"/>
                <w:szCs w:val="16"/>
              </w:rPr>
              <w:t xml:space="preserve">2 outils · même périmètre</w:t>
            </w:r>
          </w:p>
        </w:tc>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5</w:t>
            </w:r>
          </w:p>
          <w:p>
            <w:pPr>
              <w:spacing w:after="0" w:line="240"/>
            </w:pPr>
            <w:r>
              <w:rPr>
                <w:rFonts w:ascii="Calibri" w:cs="Calibri" w:eastAsia="Calibri" w:hAnsi="Calibri"/>
                <w:color w:val="33454A"/>
                <w:sz w:val="16"/>
                <w:szCs w:val="16"/>
              </w:rPr>
              <w:t xml:space="preserve">Intégrer</w:t>
            </w:r>
          </w:p>
          <w:p>
            <w:pPr>
              <w:spacing w:after="0" w:line="240"/>
            </w:pPr>
            <w:r>
              <w:rPr>
                <w:rFonts w:ascii="Calibri" w:cs="Calibri" w:eastAsia="Calibri" w:hAnsi="Calibri"/>
                <w:color w:val="33454A"/>
                <w:sz w:val="16"/>
                <w:szCs w:val="16"/>
              </w:rPr>
              <w:t xml:space="preserve">10 règles · 9 contrats</w:t>
            </w:r>
          </w:p>
        </w:tc>
        <w:tc>
          <w:tcPr>
            <w:tcW w:type="dxa" w:w="174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6</w:t>
            </w:r>
          </w:p>
          <w:p>
            <w:pPr>
              <w:spacing w:after="0" w:line="240"/>
            </w:pPr>
            <w:r>
              <w:rPr>
                <w:rFonts w:ascii="Calibri" w:cs="Calibri" w:eastAsia="Calibri" w:hAnsi="Calibri"/>
                <w:color w:val="33454A"/>
                <w:sz w:val="16"/>
                <w:szCs w:val="16"/>
              </w:rPr>
              <w:t xml:space="preserve">Documenter</w:t>
            </w:r>
          </w:p>
          <w:p>
            <w:pPr>
              <w:spacing w:after="0" w:line="240"/>
            </w:pPr>
            <w:r>
              <w:rPr>
                <w:rFonts w:ascii="Calibri" w:cs="Calibri" w:eastAsia="Calibri" w:hAnsi="Calibri"/>
                <w:color w:val="33454A"/>
                <w:sz w:val="16"/>
                <w:szCs w:val="16"/>
              </w:rPr>
              <w:t xml:space="preserve">journal IA · guide</w:t>
            </w:r>
          </w:p>
        </w:tc>
      </w:tr>
    </w:tbl>
    <w:p>
      <w:pPr>
        <w:spacing w:after="70" w:before="260"/>
      </w:pPr>
      <w:r>
        <w:rPr>
          <w:rFonts w:ascii="Calibri" w:cs="Calibri" w:eastAsia="Calibri" w:hAnsi="Calibri"/>
          <w:b/>
          <w:bCs/>
          <w:color w:val="0E5A66"/>
          <w:sz w:val="24"/>
          <w:szCs w:val="24"/>
        </w:rPr>
        <w:t xml:space="preserve">4. Le cadre — ce que dit la veille</w:t>
      </w:r>
    </w:p>
    <w:p>
      <w:pPr>
        <w:spacing w:after="110"/>
      </w:pPr>
      <w:r>
        <w:rPr>
          <w:rFonts w:ascii="Calibri" w:cs="Calibri" w:eastAsia="Calibri" w:hAnsi="Calibri"/>
          <w:i/>
          <w:iCs/>
          <w:color w:val="6C7B7E"/>
          <w:sz w:val="17"/>
          <w:szCs w:val="17"/>
        </w:rPr>
        <w:t xml:space="preserve">Quatre questions ouvertes, au moins deux options par question, des critères posés avant le test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512"/>
        <w:gridCol w:w="3140"/>
        <w:gridCol w:w="4814"/>
      </w:tblGrid>
      <w:tr>
        <w:trPr>
          <w:tblHeader/>
        </w:trPr>
        <w:tc>
          <w:tcPr>
            <w:tcW w:type="dxa" w:w="2512"/>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Question de veille</w:t>
            </w:r>
          </w:p>
        </w:tc>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Options comparées</w:t>
            </w:r>
          </w:p>
        </w:tc>
        <w:tc>
          <w:tcPr>
            <w:tcW w:type="dxa" w:w="4814"/>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Décision et critère décisif</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Comment centraliser et automatiser les contrôles qualité ?</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Assertions Python · Pandera · Great Expectations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 À détection équivalente, le coût d'usage tranche : un import natif contre un environnement dédié et une centaine de dépendances.</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Comment détecter des atypiques que le prix seul ne montre pas ?</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IQR · Z-score · Isolation Forest · LOF</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IQR en méthode de décision car explicable à un métier ; la détection multivariée reste un POC exploratoire, jamais décisionnel.</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Comment accélérer l'analyse exploratoire ?</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Profiling automatisé · analyse manuelle</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Les deux. Le profiling produit quatre rapports d'audit en quelques secondes, mais il ignore les règles métier et les jointures : il complète, il ne remplace pas.</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Faut-il changer de moteur de calcul ?</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pandas · Polars · DuckDB</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Statu quo. À 825 lignes, aucun gain de performance mesurable ne justifie le coût d'apprentissage — critère de sobriété numérique posé au cahier des charges.</w:t>
            </w:r>
          </w:p>
        </w:tc>
      </w:tr>
    </w:tbl>
    <w:p>
      <w:pPr>
        <w:spacing w:after="110"/>
      </w:pPr>
    </w:p>
    <w:p>
      <w:pPr>
        <w:spacing w:after="90" w:line="250"/>
      </w:pPr>
      <w:r>
        <w:rPr>
          <w:rFonts w:ascii="Calibri" w:cs="Calibri" w:eastAsia="Calibri" w:hAnsi="Calibri"/>
          <w:b/>
          <w:bCs/>
          <w:color w:val="C25438"/>
          <w:sz w:val="18"/>
          <w:szCs w:val="18"/>
        </w:rPr>
        <w:t xml:space="preserve">La preuve par l'usage — pendant le POC, un avertissement a signalé que la bibliothèque retenue déplaçait son interface pandas dans un sous-module. J'ai migré l'import : une ligne, zéro régression. Sans veille automatisée, je l'aurais découvert le jour où le notebook aurait cessé de s'exécuter.</w:t>
      </w:r>
    </w:p>
    <w:p>
      <w:pPr>
        <w:spacing w:after="70" w:before="260"/>
      </w:pPr>
      <w:r>
        <w:rPr>
          <w:rFonts w:ascii="Calibri" w:cs="Calibri" w:eastAsia="Calibri" w:hAnsi="Calibri"/>
          <w:b/>
          <w:bCs/>
          <w:color w:val="0E5A66"/>
          <w:sz w:val="24"/>
          <w:szCs w:val="24"/>
        </w:rPr>
        <w:t xml:space="preserve">5. Les six comparaisons — du besoin à la décision</w:t>
      </w:r>
    </w:p>
    <w:p>
      <w:pPr>
        <w:spacing w:after="110"/>
      </w:pPr>
      <w:r>
        <w:rPr>
          <w:rFonts w:ascii="Calibri" w:cs="Calibri" w:eastAsia="Calibri" w:hAnsi="Calibri"/>
          <w:i/>
          <w:iCs/>
          <w:color w:val="6C7B7E"/>
          <w:sz w:val="17"/>
          <w:szCs w:val="17"/>
        </w:rPr>
        <w:t xml:space="preserve">Chaque question ouverte a reçu au moins deux options testées, jamais un avis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303"/>
        <w:gridCol w:w="3349"/>
        <w:gridCol w:w="4814"/>
      </w:tblGrid>
      <w:tr>
        <w:trPr>
          <w:tblHeader/>
        </w:trPr>
        <w:tc>
          <w:tcPr>
            <w:tcW w:type="dxa" w:w="230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Besoin</w:t>
            </w:r>
          </w:p>
        </w:tc>
        <w:tc>
          <w:tcPr>
            <w:tcW w:type="dxa" w:w="334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Ce que le test a montré</w:t>
            </w:r>
          </w:p>
        </w:tc>
        <w:tc>
          <w:tcPr>
            <w:tcW w:type="dxa" w:w="4814"/>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Décision</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Contrôles qualité</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 et Great Expectations détectent exactement les mêmes 14 anomalies sur les mêmes 10 règles.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 retenu. Great Expectations documenté comme le bon choix en environnement industrialisé avec reporting qualité partagé.</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Nettoyage du stock négatif</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Trois traitements comparés ; remplacer la valeur par zéro détruit l'information d'origine.</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Solution hybride : valeur source conservée, valeur analytique sécurisée, écart tracé. Le métier peut toujours revenir en arrière.</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Détection des atypiques</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36 atypiques par l'écart interquartile, 17 par le Z-score, 17 par la méthode multivariée — 8 produits communs seulement, indice de Jaccard 0,18.</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IQR en méthode de décision, multivarié en POC exploratoire. L'écart est précisément ce qui rend le POC intéressant.</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Jointures et reproductibilité</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contrôle manuel du volume après fusion ne protège ni des pertes ni des duplications.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Contrôle d'unicité, contrat de cardinalité et indicateur de fusion : les 825 références ERP sont conservées, vérifié à l'exécution.</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Visualisation</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L'interactif nomme le produit au survol mais devient illisible imprimé ; le statique est exportable mais muet.</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Double sortie : interactif à l'écran pour retrouver un produit, statique pour le rapport imprimable — contrainte d'accessibilité.</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Analyse exploratoire</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profiling automatisé produit quatre rapports d'audit en quelques secondes, mais ne voit ni les jointures ni les règles métier.</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Conservé comme filet de sécurité en entrée et en sortie de chaîne, sans jamais se substituer à la validation.</w:t>
            </w:r>
          </w:p>
        </w:tc>
      </w:tr>
    </w:tbl>
    <w:p>
      <w:pPr>
        <w:spacing w:after="70" w:before="260"/>
      </w:pPr>
      <w:r>
        <w:rPr>
          <w:rFonts w:ascii="Calibri" w:cs="Calibri" w:eastAsia="Calibri" w:hAnsi="Calibri"/>
          <w:b/>
          <w:bCs/>
          <w:color w:val="0E5A66"/>
          <w:sz w:val="24"/>
          <w:szCs w:val="24"/>
        </w:rPr>
        <w:t xml:space="preserve">6. Le POC : Pandera contre Great Expectations</w:t>
      </w:r>
    </w:p>
    <w:p>
      <w:pPr>
        <w:spacing w:after="110"/>
      </w:pPr>
      <w:r>
        <w:rPr>
          <w:rFonts w:ascii="Calibri" w:cs="Calibri" w:eastAsia="Calibri" w:hAnsi="Calibri"/>
          <w:i/>
          <w:iCs/>
          <w:color w:val="6C7B7E"/>
          <w:sz w:val="17"/>
          <w:szCs w:val="17"/>
        </w:rPr>
        <w:t xml:space="preserve">Même périmètre, mêmes règles, critères d'arbitrage écrits avant le test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721"/>
        <w:gridCol w:w="3140"/>
        <w:gridCol w:w="3140"/>
        <w:gridCol w:w="1465"/>
      </w:tblGrid>
      <w:tr>
        <w:trPr>
          <w:tblHeader/>
        </w:trPr>
        <w:tc>
          <w:tcPr>
            <w:tcW w:type="dxa" w:w="2721"/>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Critère</w:t>
            </w:r>
          </w:p>
        </w:tc>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Pandera</w:t>
            </w:r>
          </w:p>
        </w:tc>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Great Expectations</w:t>
            </w:r>
          </w:p>
        </w:tc>
        <w:tc>
          <w:tcPr>
            <w:tcW w:type="dxa" w:w="1465"/>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Avantage</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Anomalies détectées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14</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14</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Égalité</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Installation et poids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Import natif pandas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Environnement dédié, ~107 dépendances</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Lisibilité du code</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Schéma compact, proche du tableau de données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Vocabulaire propre à apprendre</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Règles inter-colonnes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Fonctions Python intégrées au schéma</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Colonnes de contrôle temporaires à créer</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Exécution</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Une validation groupée collectant toutes les violations</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Contrôles exécutés un par un</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Pandera</w:t>
            </w:r>
          </w:p>
        </w:tc>
      </w:tr>
      <w:tr>
        <w:tc>
          <w:tcPr>
            <w:tcW w:type="dxa" w:w="272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Restitution métier</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Sortie technique, compensée par une couche maison</w:t>
            </w:r>
          </w:p>
        </w:tc>
        <w:tc>
          <w:tcPr>
            <w:tcW w:type="dxa" w:w="314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Métriques structurées, documentation partageable</w:t>
            </w:r>
          </w:p>
        </w:tc>
        <w:tc>
          <w:tcPr>
            <w:tcW w:type="dxa" w:w="146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Great Exp.</w:t>
            </w:r>
          </w:p>
        </w:tc>
      </w:tr>
    </w:tbl>
    <w:p>
      <w:pPr>
        <w:spacing w:after="110"/>
      </w:pPr>
    </w:p>
    <w:p>
      <w:pPr>
        <w:spacing w:after="90" w:line="250"/>
      </w:pPr>
      <w:r>
        <w:rPr>
          <w:rFonts w:ascii="Calibri" w:cs="Calibri" w:eastAsia="Calibri" w:hAnsi="Calibri"/>
          <w:b/>
          <w:bCs/>
          <w:color w:val="C25438"/>
          <w:sz w:val="18"/>
          <w:szCs w:val="18"/>
        </w:rPr>
        <w:t xml:space="preserve">Point de transparence méthodologique — puisque les deux bibliothèques trouvent rigoureusement la même chose, l'arbitrage ne peut pas porter sur la performance. Il porte sur le coût d'usage au regard du besoin réel, et cette règle a été posée avant d'ouvrir le premier fichier. Great Expectations n'a pas été « éliminé » : il a été poussé jusqu'au POC complet, puis écarté pour ce périmètre, motif écrit.</w:t>
      </w:r>
    </w:p>
    <w:p>
      <w:pPr>
        <w:spacing w:after="70" w:before="260"/>
      </w:pPr>
      <w:r>
        <w:rPr>
          <w:rFonts w:ascii="Calibri" w:cs="Calibri" w:eastAsia="Calibri" w:hAnsi="Calibri"/>
          <w:b/>
          <w:bCs/>
          <w:color w:val="0E5A66"/>
          <w:sz w:val="24"/>
          <w:szCs w:val="24"/>
        </w:rPr>
        <w:t xml:space="preserve">7. Le catalogue de règles et la restitution métier</w:t>
      </w:r>
    </w:p>
    <w:p>
      <w:pPr>
        <w:spacing w:after="110"/>
      </w:pPr>
      <w:r>
        <w:rPr>
          <w:rFonts w:ascii="Calibri" w:cs="Calibri" w:eastAsia="Calibri" w:hAnsi="Calibri"/>
          <w:i/>
          <w:iCs/>
          <w:color w:val="6C7B7E"/>
          <w:sz w:val="17"/>
          <w:szCs w:val="17"/>
        </w:rPr>
        <w:t xml:space="preserve">Sept règles de format, trois règles de gestion — et une traduction lisible sans savoir coder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675"/>
        <w:gridCol w:w="4186"/>
        <w:gridCol w:w="1361"/>
        <w:gridCol w:w="1151"/>
        <w:gridCol w:w="2093"/>
      </w:tblGrid>
      <w:tr>
        <w:trPr>
          <w:tblHeader/>
        </w:trPr>
        <w:tc>
          <w:tcPr>
            <w:tcW w:type="dxa" w:w="1675"/>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Règle</w:t>
            </w:r>
          </w:p>
        </w:tc>
        <w:tc>
          <w:tcPr>
            <w:tcW w:type="dxa" w:w="4186"/>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Ce qu'elle exprime</w:t>
            </w:r>
          </w:p>
        </w:tc>
        <w:tc>
          <w:tcPr>
            <w:tcW w:type="dxa" w:w="1361"/>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Nature</w:t>
            </w:r>
          </w:p>
        </w:tc>
        <w:tc>
          <w:tcPr>
            <w:tcW w:type="dxa" w:w="1151"/>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Gravité</w:t>
            </w:r>
          </w:p>
        </w:tc>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Lignes signalées</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E01 · E02</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L'identifiant produit est renseigné et unique</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Technique</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Bloquant</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0 — conforme</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E03 · E06</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Les modalités appartiennent à la liste autorisée</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Technique</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Erreur</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0 — conforme</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E04 · E05 · E07</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Prix de vente, stock et prix d'achat ne sont pas négatifs</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Technique</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Erreur</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5 — à corriger</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E08</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Un produit en vente sur le Web a un prix strictement positif</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Gestion</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Erreur</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0 — conforme</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E09</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statut de stock est cohérent avec la quantité</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Gestion</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Alerte</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2 — à examiner</w:t>
            </w:r>
          </w:p>
        </w:tc>
      </w:tr>
      <w:tr>
        <w:tc>
          <w:tcPr>
            <w:tcW w:type="dxa" w:w="167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E10</w:t>
            </w:r>
          </w:p>
        </w:tc>
        <w:tc>
          <w:tcPr>
            <w:tcW w:type="dxa" w:w="418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prix de vente couvre le prix d'achat</w:t>
            </w:r>
          </w:p>
        </w:tc>
        <w:tc>
          <w:tcPr>
            <w:tcW w:type="dxa" w:w="13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Gestion</w:t>
            </w:r>
          </w:p>
        </w:tc>
        <w:tc>
          <w:tcPr>
            <w:tcW w:type="dxa" w:w="115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Alerte</w:t>
            </w:r>
          </w:p>
        </w:tc>
        <w:tc>
          <w:tcPr>
            <w:tcW w:type="dxa" w:w="209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7 — à examiner</w:t>
            </w:r>
          </w:p>
        </w:tc>
      </w:tr>
    </w:tbl>
    <w:p>
      <w:pPr>
        <w:spacing w:after="110"/>
      </w:pPr>
    </w:p>
    <w:p>
      <w:pPr>
        <w:spacing w:after="90" w:line="250"/>
      </w:pPr>
      <w:r>
        <w:rPr>
          <w:rFonts w:ascii="Calibri" w:cs="Calibri" w:eastAsia="Calibri" w:hAnsi="Calibri"/>
          <w:color w:val="33454A"/>
          <w:sz w:val="17"/>
          <w:szCs w:val="17"/>
        </w:rPr>
        <w:t xml:space="preserve">Les trois règles de gestion sont le cœur du catalogue : aucun contrôle de format ne les trouve, puisque chaque colonne prise isolément est parfaitement valide. Et elles ne se corrigent pas de la même façon — une marge négative peut être un déstockage volontaire. Le notebook la signale, la qualifie en alerte et laisse le métier trancher.</w:t>
      </w:r>
    </w:p>
    <w:p>
      <w:pPr>
        <w:spacing w:after="90" w:line="250"/>
      </w:pPr>
      <w:r>
        <w:rPr>
          <w:rFonts w:ascii="Calibri" w:cs="Calibri" w:eastAsia="Calibri" w:hAnsi="Calibri"/>
          <w:color w:val="33454A"/>
          <w:sz w:val="17"/>
          <w:szCs w:val="17"/>
        </w:rPr>
        <w:t xml:space="preserve">La sortie brute de l'outil retenu étant illisible pour un non-technicien, une couche de restitution traduit chaque règle en langage clair : vert pour conforme, orange pour une décision métier à prendre, rouge pour une correction à faire à la source. Chaque ligne indique la réaction attendue et la personne à alerter. Un mini-plan de formation d'1 h 30, en trois modules et avec un volet accessibilité, accompagne cette restitution auprès des cinq publics identifiés.</w:t>
      </w:r>
    </w:p>
    <w:p>
      <w:pPr>
        <w:spacing w:after="60"/>
      </w:pPr>
    </w:p>
    <w:p>
      <w:pPr>
        <w:spacing w:after="90" w:line="250"/>
      </w:pPr>
      <w:r>
        <w:rPr>
          <w:rFonts w:ascii="Calibri" w:cs="Calibri" w:eastAsia="Calibri" w:hAnsi="Calibri"/>
          <w:b/>
          <w:bCs/>
          <w:color w:val="1E2A2E"/>
          <w:sz w:val="18"/>
          <w:szCs w:val="18"/>
        </w:rPr>
        <w:t xml:space="preserve">Le contrôle du contrôle — les six règles qui ne signalent rien ont été vérifiées sur un jeu de données volontairement dégradé : elles se déclenchent bien. Ni faux positif, ni faux négatif. Le silence d'une règle est prouvé, pas supposé.</w:t>
      </w:r>
    </w:p>
    <w:p>
      <w:pPr>
        <w:spacing w:after="70" w:before="260"/>
      </w:pPr>
      <w:r>
        <w:rPr>
          <w:rFonts w:ascii="Calibri" w:cs="Calibri" w:eastAsia="Calibri" w:hAnsi="Calibri"/>
          <w:b/>
          <w:bCs/>
          <w:color w:val="0E5A66"/>
          <w:sz w:val="24"/>
          <w:szCs w:val="24"/>
        </w:rPr>
        <w:t xml:space="preserve">8. Le pilotage du projet</w:t>
      </w:r>
    </w:p>
    <w:p>
      <w:pPr>
        <w:spacing w:after="110"/>
      </w:pPr>
      <w:r>
        <w:rPr>
          <w:rFonts w:ascii="Calibri" w:cs="Calibri" w:eastAsia="Calibri" w:hAnsi="Calibri"/>
          <w:i/>
          <w:iCs/>
          <w:color w:val="6C7B7E"/>
          <w:sz w:val="17"/>
          <w:szCs w:val="17"/>
        </w:rPr>
        <w:t xml:space="preserve">Un projet data se pilote comme un projet, pas comme un notebook</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093"/>
        <w:gridCol w:w="8373"/>
      </w:tblGrid>
      <w:tr>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Découpage</w:t>
            </w:r>
          </w:p>
        </w:tc>
        <w:tc>
          <w:tcPr>
            <w:tcW w:type="dxa" w:w="837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Six lots : cadrage et veille, audit de l'existant, qualité des données, améliorations complémentaires, restitution et documentation, pilotage et vérification.</w:t>
            </w:r>
          </w:p>
        </w:tc>
      </w:tr>
      <w:tr>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Backlog</w:t>
            </w:r>
          </w:p>
        </w:tc>
        <w:tc>
          <w:tcPr>
            <w:tcW w:type="dxa" w:w="837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27 tâches estimées en jours-homme, avec leurs dépendances et une définition de « terminé » vérifiable — une tâche n'est close que si son critère d'acceptation est démontrable.</w:t>
            </w:r>
          </w:p>
        </w:tc>
      </w:tr>
      <w:tr>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Planning</w:t>
            </w:r>
          </w:p>
        </w:tc>
        <w:tc>
          <w:tcPr>
            <w:tcW w:type="dxa" w:w="837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Diagramme de Gantt sur 14 jours ouvrés, 4 jalons et 6 points de contrôle, chacun assorti de la décision prise. Charge réelle : 14 jours contre 8 à 10 estimés — l'écart vient de deux lots prévus mais non chiffrés à l'origine, et il est documenté.</w:t>
            </w:r>
          </w:p>
        </w:tc>
      </w:tr>
      <w:tr>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Risques</w:t>
            </w:r>
          </w:p>
        </w:tc>
        <w:tc>
          <w:tcPr>
            <w:tcW w:type="dxa" w:w="837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15 risques cotés (probabilité × impact) couvrant les six familles attendues : fuite de données, biais, dérive, métriques instables, temps de calcul, données insuffisantes. Chacun a une mesure préventive et un plan de réaction.</w:t>
            </w:r>
          </w:p>
        </w:tc>
      </w:tr>
      <w:tr>
        <w:tc>
          <w:tcPr>
            <w:tcW w:type="dxa" w:w="209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Versioning</w:t>
            </w:r>
          </w:p>
        </w:tc>
        <w:tc>
          <w:tcPr>
            <w:tcW w:type="dxa" w:w="837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projet n'étant pas hébergé sur un dépôt Git, la traçabilité repose sur cinq versions datées et conservées, chacune avec son motif de passage de version, et une convention de nommage plaçant la date en tête pour que le tri alphabétique soit chronologique.</w:t>
            </w:r>
          </w:p>
        </w:tc>
      </w:tr>
    </w:tbl>
    <w:p>
      <w:pPr>
        <w:spacing w:after="110"/>
      </w:pPr>
    </w:p>
    <w:p>
      <w:pPr>
        <w:spacing w:after="90" w:line="250"/>
      </w:pPr>
      <w:r>
        <w:rPr>
          <w:rFonts w:ascii="Calibri" w:cs="Calibri" w:eastAsia="Calibri" w:hAnsi="Calibri"/>
          <w:b/>
          <w:bCs/>
          <w:color w:val="C25438"/>
          <w:sz w:val="18"/>
          <w:szCs w:val="18"/>
        </w:rPr>
        <w:t xml:space="preserve">Le risque qui est survenu — au test de relance à froid, les graphiques ne s'affichaient plus alors qu'aucune erreur n'était levée : le bloc de profiling avait laissé le moteur d'affichage inactif. Enseignement conservé au registre : un notebook peut être « sans erreur » et silencieusement incomplet. Un contrôle de sortie explicite a été ajouté.</w:t>
      </w:r>
    </w:p>
    <w:p>
      <w:pPr>
        <w:spacing w:after="70" w:before="260"/>
      </w:pPr>
      <w:r>
        <w:rPr>
          <w:rFonts w:ascii="Calibri" w:cs="Calibri" w:eastAsia="Calibri" w:hAnsi="Calibri"/>
          <w:b/>
          <w:bCs/>
          <w:color w:val="0E5A66"/>
          <w:sz w:val="24"/>
          <w:szCs w:val="24"/>
        </w:rPr>
        <w:t xml:space="preserve">9. Limites et prochaines pistes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4605"/>
        <w:gridCol w:w="5861"/>
      </w:tblGrid>
      <w:tr>
        <w:trPr>
          <w:tblHeader/>
        </w:trPr>
        <w:tc>
          <w:tcPr>
            <w:tcW w:type="dxa" w:w="4605"/>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Limite assumée</w:t>
            </w:r>
          </w:p>
        </w:tc>
        <w:tc>
          <w:tcPr>
            <w:tcW w:type="dxa" w:w="5861"/>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Ce que j'en fais</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Les dix règles ont d'abord été éprouvées sur l'ERP, puis étendues au Web et à la liaison</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catalogue est désormais appliqué aux trois sources. La suite est l'industrialisation : relance mensuelle outillée et tests automatisés.</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Une seule extraction : aucune dérive mesurable</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Aucune conclusion n'est tirée sur une évolution dans le temps. C'est aussi le motif écrit du refus d'un outil de surveillance de dérive.</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825 lignes, volumétrie faible pour l'apprentissage</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La détection multivariée reste un POC exploratoire, jamais une décision. Le seuil qui pilote le nombre d'anomalies est aligné, borné et tracé.</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Deux hypothèses de calcul non confirmées</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taux de TVA et la période des ventes sont isolés en paramètres et signalés comme hypothèses. La couverture de stock en mois n'est pas publiée tant que la période n'est pas validée.</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Périmètre local, non industrialisé</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Choix assumé et écrit au cahier des charges. Great Expectations resterait le bon outil si le projet passait en production avec un reporting qualité partagé.</w:t>
            </w:r>
          </w:p>
        </w:tc>
      </w:tr>
      <w:tr>
        <w:tc>
          <w:tcPr>
            <w:tcW w:type="dxa" w:w="4605"/>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Traçabilité sans dépôt Git</w:t>
            </w:r>
          </w:p>
        </w:tc>
        <w:tc>
          <w:tcPr>
            <w:tcW w:type="dxa" w:w="5861"/>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Cinq versions datées et une convention de nommage remplacent l'historique de commits : même finalité, moyens réellement employés.</w:t>
            </w:r>
          </w:p>
        </w:tc>
      </w:tr>
    </w:tbl>
    <w:p>
      <w:pPr>
        <w:spacing w:after="70" w:before="260"/>
      </w:pPr>
      <w:r>
        <w:rPr>
          <w:rFonts w:ascii="Calibri" w:cs="Calibri" w:eastAsia="Calibri" w:hAnsi="Calibri"/>
          <w:b/>
          <w:bCs/>
          <w:color w:val="0E5A66"/>
          <w:sz w:val="24"/>
          <w:szCs w:val="24"/>
        </w:rPr>
        <w:t xml:space="preserve">10. Sélection hiérarchisée des preuves</w:t>
      </w:r>
    </w:p>
    <w:p>
      <w:pPr>
        <w:spacing w:after="110"/>
      </w:pPr>
      <w:r>
        <w:rPr>
          <w:rFonts w:ascii="Calibri" w:cs="Calibri" w:eastAsia="Calibri" w:hAnsi="Calibri"/>
          <w:i/>
          <w:iCs/>
          <w:color w:val="6C7B7E"/>
          <w:sz w:val="17"/>
          <w:szCs w:val="17"/>
        </w:rPr>
        <w:t xml:space="preserve">Ce qu'un recruteur peut ouvrir et vérifier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3140"/>
        <w:gridCol w:w="7326"/>
      </w:tblGrid>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notebook amélioré</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livrable technique : catalogue de règles, deux POC, jointures sous contrat, analyses métier. Il fait foi en cas de contradiction entre deux documents.</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La documentation de la démarche</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Six pages : besoin, veille, hypothèses, tests, résultats, décisions, limites — et une annexe qui dit où trouver quoi.</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cahier des charges fonctionnel</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Périmètre traité et non traité, cinq parties prenantes, dix-sept exigences priorisées MoSCoW, critères d'acceptation.</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document de veille</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Comparaison des options, sources datées, dispositif automatisé et ses captures d'abonnement en annexe.</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pilotage et le journal IA</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Lots, backlog, Gantt, jalons, points de contrôle, registre des risques — et six fiches d'expérimentation avec les prompts verbatim.</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guide d'exécution</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Arborescence, procédure de relance en cinq étapes, paramètres à vérifier, contrôles de sortie, pannes connues et leur remède.</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Le mini-plan de formation</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Publics et décisions associées, programme en trois modules, supports, évaluation à chaud et à froid, volet accessibilité.</w:t>
            </w:r>
          </w:p>
        </w:tc>
      </w:tr>
      <w:tr>
        <w:tc>
          <w:tcPr>
            <w:tcW w:type="dxa" w:w="314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L'index de conformité</w:t>
            </w:r>
          </w:p>
        </w:tc>
        <w:tc>
          <w:tcPr>
            <w:tcW w:type="dxa" w:w="7326"/>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Le document d'entrée du dossier : ordre de lecture, matrice de couverture des attendus et tableau des valeurs de référence à utiliser partout.</w:t>
            </w:r>
          </w:p>
        </w:tc>
      </w:tr>
    </w:tbl>
    <w:p>
      <w:pPr>
        <w:spacing w:after="70" w:before="260"/>
      </w:pPr>
      <w:r>
        <w:rPr>
          <w:rFonts w:ascii="Calibri" w:cs="Calibri" w:eastAsia="Calibri" w:hAnsi="Calibri"/>
          <w:b/>
          <w:bCs/>
          <w:color w:val="0E5A66"/>
          <w:sz w:val="24"/>
          <w:szCs w:val="24"/>
        </w:rPr>
        <w:t xml:space="preserve">11. Exemple de démarche critique sur les prompts</w:t>
      </w:r>
    </w:p>
    <w:p>
      <w:pPr>
        <w:spacing w:after="110"/>
      </w:pPr>
      <w:r>
        <w:rPr>
          <w:rFonts w:ascii="Calibri" w:cs="Calibri" w:eastAsia="Calibri" w:hAnsi="Calibri"/>
          <w:i/>
          <w:iCs/>
          <w:color w:val="6C7B7E"/>
          <w:sz w:val="17"/>
          <w:szCs w:val="17"/>
        </w:rPr>
        <w:t xml:space="preserve">Le premier prompt échoue toujours pour la même raison : il ne dit pas selon quel critère juger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512"/>
        <w:gridCol w:w="2512"/>
        <w:gridCol w:w="2930"/>
        <w:gridCol w:w="2512"/>
      </w:tblGrid>
      <w:tr>
        <w:trPr>
          <w:tblHeader/>
        </w:trPr>
        <w:tc>
          <w:tcPr>
            <w:tcW w:type="dxa" w:w="2512"/>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Prompt trop vague</w:t>
            </w:r>
          </w:p>
        </w:tc>
        <w:tc>
          <w:tcPr>
            <w:tcW w:type="dxa" w:w="2512"/>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Problème constaté</w:t>
            </w:r>
          </w:p>
        </w:tc>
        <w:tc>
          <w:tcPr>
            <w:tcW w:type="dxa" w:w="2930"/>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Prompt recadré</w:t>
            </w:r>
          </w:p>
        </w:tc>
        <w:tc>
          <w:tcPr>
            <w:tcW w:type="dxa" w:w="2512"/>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Décision</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 Ajoute du machine learning à mon analyse des prix atypiques. »</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La technologie est demandée sans besoin ni critère : risque de sur-outillage sur 825 lignes.</w:t>
            </w:r>
          </w:p>
        </w:tc>
        <w:tc>
          <w:tcPr>
            <w:tcW w:type="dxa" w:w="293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Tester si certains produits sont atypiques par combinaison de variables. Comparer une méthode multivariée à l'écart interquartile, puis évaluer explicabilité et stabilité.</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Méthode multivariée conservée en POC exploratoire ; l'écart interquartile reste la méthode de décision.</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 Améliore mon boxplot des prix atypiques. »</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L'IA retravaille les couleurs : le graphique est plus joli, il ne dit toujours pas quel produit se cache derrière le point extrême.</w:t>
            </w:r>
          </w:p>
        </w:tc>
        <w:tc>
          <w:tcPr>
            <w:tcW w:type="dxa" w:w="293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Comparer deux options pour cet usage, critère prioritaire : le responsable e-commerce doit pouvoir nommer un produit sans écrire de code.</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Double sortie : interactif à l'écran, statique pour le rapport imprimable.</w:t>
            </w:r>
          </w:p>
        </w:tc>
      </w:tr>
      <w:tr>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 Mon notebook fait 249 cellules. Raccourcis-le. »</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L'IA supprime des commentaires et fusionne des cellules : plus court, moins compréhensible. « Raccourcir » est une métrique, pas un besoin.</w:t>
            </w:r>
          </w:p>
        </w:tc>
        <w:tc>
          <w:tcPr>
            <w:tcW w:type="dxa" w:w="2930"/>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Reformuler le vrai besoin : pouvoir relancer sur de nouveaux fichiers sans oublier un contrôle, narration conservée, contrôles regroupés avant les jointures.</w:t>
            </w:r>
          </w:p>
        </w:tc>
        <w:tc>
          <w:tcPr>
            <w:tcW w:type="dxa" w:w="2512"/>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Structure en six sections : le notebook n'est pas plus court, il est relançable.</w:t>
            </w:r>
          </w:p>
        </w:tc>
      </w:tr>
    </w:tbl>
    <w:p>
      <w:pPr>
        <w:spacing w:after="70" w:before="260"/>
      </w:pPr>
      <w:r>
        <w:rPr>
          <w:rFonts w:ascii="Calibri" w:cs="Calibri" w:eastAsia="Calibri" w:hAnsi="Calibri"/>
          <w:b/>
          <w:bCs/>
          <w:color w:val="0E5A66"/>
          <w:sz w:val="24"/>
          <w:szCs w:val="24"/>
        </w:rPr>
        <w:t xml:space="preserve">12. Preuves à montrer dans le portfolio et à l'oral</w:t>
      </w:r>
    </w:p>
    <w:p>
      <w:pPr>
        <w:spacing w:after="110"/>
      </w:pPr>
      <w:r>
        <w:rPr>
          <w:rFonts w:ascii="Calibri" w:cs="Calibri" w:eastAsia="Calibri" w:hAnsi="Calibri"/>
          <w:i/>
          <w:iCs/>
          <w:color w:val="6C7B7E"/>
          <w:sz w:val="17"/>
          <w:szCs w:val="17"/>
        </w:rPr>
        <w:t xml:space="preserve">Six éléments visuels qui rendent l'amélioration démontrable en quelques secondes</w:t>
      </w:r>
    </w:p>
    <w:p>
      <w:pPr>
        <w:pStyle w:val="ListParagraph"/>
        <w:numPr>
          <w:ilvl w:val="0"/>
          <w:numId w:val="1"/>
        </w:numPr>
        <w:spacing w:after="50" w:line="250"/>
      </w:pPr>
      <w:r>
        <w:rPr>
          <w:rFonts w:ascii="Calibri" w:cs="Calibri" w:eastAsia="Calibri" w:hAnsi="Calibri"/>
          <w:color w:val="33454A"/>
          <w:sz w:val="17"/>
          <w:szCs w:val="17"/>
        </w:rPr>
        <w:t xml:space="preserve">Capture du notebook initial montrant les contrôles dispersés, puis capture du catalogue unique de dix règles.</w:t>
      </w:r>
    </w:p>
    <w:p>
      <w:pPr>
        <w:pStyle w:val="ListParagraph"/>
        <w:numPr>
          <w:ilvl w:val="0"/>
          <w:numId w:val="1"/>
        </w:numPr>
        <w:spacing w:after="50" w:line="250"/>
      </w:pPr>
      <w:r>
        <w:rPr>
          <w:rFonts w:ascii="Calibri" w:cs="Calibri" w:eastAsia="Calibri" w:hAnsi="Calibri"/>
          <w:color w:val="33454A"/>
          <w:sz w:val="17"/>
          <w:szCs w:val="17"/>
        </w:rPr>
        <w:t xml:space="preserve">Tableau comparatif des deux bibliothèques de validation, montrant les quatorze anomalies détectées dans les deux cas.</w:t>
      </w:r>
    </w:p>
    <w:p>
      <w:pPr>
        <w:pStyle w:val="ListParagraph"/>
        <w:numPr>
          <w:ilvl w:val="0"/>
          <w:numId w:val="1"/>
        </w:numPr>
        <w:spacing w:after="50" w:line="250"/>
      </w:pPr>
      <w:r>
        <w:rPr>
          <w:rFonts w:ascii="Calibri" w:cs="Calibri" w:eastAsia="Calibri" w:hAnsi="Calibri"/>
          <w:color w:val="33454A"/>
          <w:sz w:val="17"/>
          <w:szCs w:val="17"/>
        </w:rPr>
        <w:t xml:space="preserve">Exemple d'une jointure avant, puis après ajout du contrat de cardinalité.</w:t>
      </w:r>
    </w:p>
    <w:p>
      <w:pPr>
        <w:pStyle w:val="ListParagraph"/>
        <w:numPr>
          <w:ilvl w:val="0"/>
          <w:numId w:val="1"/>
        </w:numPr>
        <w:spacing w:after="50" w:line="250"/>
      </w:pPr>
      <w:r>
        <w:rPr>
          <w:rFonts w:ascii="Calibri" w:cs="Calibri" w:eastAsia="Calibri" w:hAnsi="Calibri"/>
          <w:color w:val="33454A"/>
          <w:sz w:val="17"/>
          <w:szCs w:val="17"/>
        </w:rPr>
        <w:t xml:space="preserve">Exemple d'un graphique statique et de sa version interactive, avec le besoin utilisateur associé.</w:t>
      </w:r>
    </w:p>
    <w:p>
      <w:pPr>
        <w:pStyle w:val="ListParagraph"/>
        <w:numPr>
          <w:ilvl w:val="0"/>
          <w:numId w:val="1"/>
        </w:numPr>
        <w:spacing w:after="50" w:line="250"/>
      </w:pPr>
      <w:r>
        <w:rPr>
          <w:rFonts w:ascii="Calibri" w:cs="Calibri" w:eastAsia="Calibri" w:hAnsi="Calibri"/>
          <w:color w:val="33454A"/>
          <w:sz w:val="17"/>
          <w:szCs w:val="17"/>
        </w:rPr>
        <w:t xml:space="preserve">Extrait du journal des expérimentations : prompt A, résultat insuffisant, prompt B recadré, décision finale.</w:t>
      </w:r>
    </w:p>
    <w:p>
      <w:pPr>
        <w:pStyle w:val="ListParagraph"/>
        <w:numPr>
          <w:ilvl w:val="0"/>
          <w:numId w:val="1"/>
        </w:numPr>
        <w:spacing w:after="50" w:line="250"/>
      </w:pPr>
      <w:r>
        <w:rPr>
          <w:rFonts w:ascii="Calibri" w:cs="Calibri" w:eastAsia="Calibri" w:hAnsi="Calibri"/>
          <w:color w:val="33454A"/>
          <w:sz w:val="17"/>
          <w:szCs w:val="17"/>
        </w:rPr>
        <w:t xml:space="preserve">Tableau synthétique des indicateurs avant/après : code, narration, assertions, jointures et anomalies.</w:t>
      </w:r>
    </w:p>
    <w:p>
      <w:pPr>
        <w:spacing w:after="70" w:before="260"/>
      </w:pPr>
      <w:r>
        <w:rPr>
          <w:rFonts w:ascii="Calibri" w:cs="Calibri" w:eastAsia="Calibri" w:hAnsi="Calibri"/>
          <w:b/>
          <w:bCs/>
          <w:color w:val="0E5A66"/>
          <w:sz w:val="24"/>
          <w:szCs w:val="24"/>
        </w:rPr>
        <w:t xml:space="preserve">13. Compétences démontrées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303"/>
        <w:gridCol w:w="3349"/>
        <w:gridCol w:w="4814"/>
      </w:tblGrid>
      <w:tr>
        <w:trPr>
          <w:tblHeader/>
        </w:trPr>
        <w:tc>
          <w:tcPr>
            <w:tcW w:type="dxa" w:w="2303"/>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Bloc du référentiel</w:t>
            </w:r>
          </w:p>
        </w:tc>
        <w:tc>
          <w:tcPr>
            <w:tcW w:type="dxa" w:w="3349"/>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Compétence</w:t>
            </w:r>
          </w:p>
        </w:tc>
        <w:tc>
          <w:tcPr>
            <w:tcW w:type="dxa" w:w="4814"/>
            <w:tcBorders>
              <w:top w:val="single" w:color="DCE6E7" w:sz="4"/>
              <w:left w:val="single" w:color="DCE6E7" w:sz="4"/>
              <w:bottom w:val="single" w:color="DCE6E7" w:sz="4"/>
              <w:right w:val="single" w:color="DCE6E7" w:sz="4"/>
            </w:tcBorders>
            <w:shd w:fill="E8F2F3" w:val="clear"/>
            <w:tcMar>
              <w:top w:type="dxa" w:w="50"/>
              <w:left w:type="dxa" w:w="80"/>
              <w:bottom w:type="dxa" w:w="50"/>
              <w:right w:type="dxa" w:w="80"/>
            </w:tcMar>
          </w:tcPr>
          <w:p>
            <w:pPr>
              <w:spacing w:after="0" w:line="240"/>
            </w:pPr>
            <w:r>
              <w:rPr>
                <w:rFonts w:ascii="Calibri" w:cs="Calibri" w:eastAsia="Calibri" w:hAnsi="Calibri"/>
                <w:b/>
                <w:bCs/>
                <w:color w:val="0E5A66"/>
                <w:sz w:val="16"/>
                <w:szCs w:val="16"/>
              </w:rPr>
              <w:t xml:space="preserve">Preuve dans ce projet</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Effectuer une veille métier et technologique</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Quatre questions ouvertes, options comparées sur critères explicites, deux flux de veille automatisés, une rupture d'API anticipée.</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Expérimenter de nouvelles méthodes par la recherche documentaire</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Six comparaisons menées, dont un POC complet sur une bibliothèque finalement écartée, motif écrit.</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Identifier le besoin métier en intégrant les contraintes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Besoin reformulé, cinq publics et leurs décisions, périmètre traité et non traité, contraintes de qualité et de volumétrie.</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Formaliser un cahier des charges fonctionnel</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Dix-sept exigences numérotées, priorisation MoSCoW, critères d'acceptation, ligne « Won't » explicite.</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Organiser un projet d'analyse data</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Six lots, 27 tâches estimées avec dépendances et définition de « terminé », Gantt, jalons, points de contrôle, 15 risques cotés.</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Organiser des ateliers de prise en main des outils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Mini-plan de formation d'1 h 30, trois modules, cinq publics, évaluation à chaud et à froid, accessibilité FALC et RGAA.</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Gérer la documentation et formaliser les processus</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Documentation de la démarche, guide d'exécution, journal des expérimentations IA, convention de versioning.</w:t>
            </w:r>
          </w:p>
        </w:tc>
      </w:tr>
      <w:tr>
        <w:tc>
          <w:tcPr>
            <w:tcW w:type="dxa" w:w="2303"/>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BC04 · Piloter un projet data</w:t>
            </w:r>
          </w:p>
        </w:tc>
        <w:tc>
          <w:tcPr>
            <w:tcW w:type="dxa" w:w="3349"/>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Adapter sa posture de consultant</w:t>
            </w:r>
          </w:p>
        </w:tc>
        <w:tc>
          <w:tcPr>
            <w:tcW w:type="dxa" w:w="4814"/>
            <w:tcBorders>
              <w:top w:val="single" w:color="DCE6E7" w:sz="4"/>
              <w:left w:val="single" w:color="DCE6E7" w:sz="4"/>
              <w:bottom w:val="single" w:color="DCE6E7" w:sz="4"/>
              <w:right w:val="single" w:color="DCE6E7" w:sz="4"/>
            </w:tcBorders>
            <w:tcMar>
              <w:top w:type="dxa" w:w="50"/>
              <w:left w:type="dxa" w:w="80"/>
              <w:bottom w:type="dxa" w:w="50"/>
              <w:right w:type="dxa" w:w="80"/>
            </w:tcMar>
          </w:tcPr>
          <w:p>
            <w:pPr>
              <w:spacing w:after="0" w:line="240"/>
            </w:pPr>
            <w:r>
              <w:rPr>
                <w:rFonts w:ascii="Calibri" w:cs="Calibri" w:eastAsia="Calibri" w:hAnsi="Calibri"/>
                <w:color w:val="33454A"/>
                <w:sz w:val="16"/>
                <w:szCs w:val="16"/>
              </w:rPr>
              <w:t xml:space="preserve">Décisions argumentées et datées, refus assumés et motivés, hypothèses signalées comme telles plutôt que présentées comme des faits.</w:t>
            </w:r>
          </w:p>
        </w:tc>
      </w:tr>
    </w:tbl>
    <w:p>
      <w:pPr>
        <w:spacing w:after="70" w:before="260"/>
      </w:pPr>
      <w:r>
        <w:rPr>
          <w:rFonts w:ascii="Calibri" w:cs="Calibri" w:eastAsia="Calibri" w:hAnsi="Calibri"/>
          <w:b/>
          <w:bCs/>
          <w:color w:val="0E5A66"/>
          <w:sz w:val="24"/>
          <w:szCs w:val="24"/>
        </w:rPr>
        <w:t xml:space="preserve">14. Formulation orale recommandée</w:t>
      </w:r>
    </w:p>
    <w:p>
      <w:pPr>
        <w:spacing w:after="110"/>
      </w:pPr>
      <w:r>
        <w:rPr>
          <w:rFonts w:ascii="Calibri" w:cs="Calibri" w:eastAsia="Calibri" w:hAnsi="Calibri"/>
          <w:i/>
          <w:iCs/>
          <w:color w:val="6C7B7E"/>
          <w:sz w:val="17"/>
          <w:szCs w:val="17"/>
        </w:rPr>
        <w:t xml:space="preserve">À dire tel quel si l'on me demande de résumer le projet en trente secondes</w:t>
      </w:r>
    </w:p>
    <w:p>
      <w:pPr>
        <w:pBdr>
          <w:left w:val="single" w:color="C25438" w:sz="12" w:space="10"/>
        </w:pBdr>
        <w:spacing w:after="90" w:line="250"/>
        <w:ind w:left="160"/>
      </w:pPr>
      <w:r>
        <w:rPr>
          <w:rFonts w:ascii="Calibri" w:cs="Calibri" w:eastAsia="Calibri" w:hAnsi="Calibri"/>
          <w:i/>
          <w:iCs/>
          <w:color w:val="1E2A2E"/>
          <w:sz w:val="18"/>
          <w:szCs w:val="18"/>
        </w:rPr>
        <w:t xml:space="preserve">« Le notebook initial fonctionnait, mais il était difficile à auditer et à transmettre. J'ai utilisé l'IA pour ouvrir des options, puis j'ai comparé chaque solution sur les mêmes données avec des critères définis avant le test. Je n'ai intégré que les gains démontrés : dix règles centralisées, quarante et une assertions, neuf jointures sécurisées et une documentation de relance. Résultat : vingt-huit pour cent de code en moins, et les quatorze anomalies de référence retrouvées sans écart. »</w:t>
      </w:r>
    </w:p>
    <w:p>
      <w:pPr>
        <w:spacing w:after="70" w:before="260"/>
      </w:pPr>
      <w:r>
        <w:rPr>
          <w:rFonts w:ascii="Calibri" w:cs="Calibri" w:eastAsia="Calibri" w:hAnsi="Calibri"/>
          <w:b/>
          <w:bCs/>
          <w:color w:val="0E5A66"/>
          <w:sz w:val="24"/>
          <w:szCs w:val="24"/>
        </w:rPr>
        <w:t xml:space="preserve">15. Veille métier et technique mobilisée</w:t>
      </w:r>
    </w:p>
    <w:p>
      <w:pPr>
        <w:spacing w:after="110"/>
      </w:pPr>
      <w:r>
        <w:rPr>
          <w:rFonts w:ascii="Calibri" w:cs="Calibri" w:eastAsia="Calibri" w:hAnsi="Calibri"/>
          <w:i/>
          <w:iCs/>
          <w:color w:val="6C7B7E"/>
          <w:sz w:val="17"/>
          <w:szCs w:val="17"/>
        </w:rPr>
        <w:t xml:space="preserve">La veille a nourri le choix des outils, le refus de certains autres et la sécurisation du code</w:t>
      </w:r>
    </w:p>
    <w:p>
      <w:pPr>
        <w:pStyle w:val="ListParagraph"/>
        <w:numPr>
          <w:ilvl w:val="0"/>
          <w:numId w:val="1"/>
        </w:numPr>
        <w:spacing w:after="50" w:line="250"/>
      </w:pPr>
      <w:r>
        <w:rPr>
          <w:rFonts w:ascii="Calibri" w:cs="Calibri" w:eastAsia="Calibri" w:hAnsi="Calibri"/>
          <w:color w:val="33454A"/>
          <w:sz w:val="17"/>
          <w:szCs w:val="17"/>
        </w:rPr>
        <w:t xml:space="preserve">Documentations officielles des deux bibliothèques de validation comparées, et de leurs journaux de versions — consultées avant le POC, puis à nouveau avant la livraison.</w:t>
      </w:r>
    </w:p>
    <w:p>
      <w:pPr>
        <w:pStyle w:val="ListParagraph"/>
        <w:numPr>
          <w:ilvl w:val="0"/>
          <w:numId w:val="1"/>
        </w:numPr>
        <w:spacing w:after="50" w:line="250"/>
      </w:pPr>
      <w:r>
        <w:rPr>
          <w:rFonts w:ascii="Calibri" w:cs="Calibri" w:eastAsia="Calibri" w:hAnsi="Calibri"/>
          <w:color w:val="33454A"/>
          <w:sz w:val="17"/>
          <w:szCs w:val="17"/>
        </w:rPr>
        <w:t xml:space="preserve">Documentation de la bibliothèque de détection d'anomalies utilisée pour le POC multivarié, pour cadrer le paramètre qui pilote le nombre d'anomalies détectées.</w:t>
      </w:r>
    </w:p>
    <w:p>
      <w:pPr>
        <w:pStyle w:val="ListParagraph"/>
        <w:numPr>
          <w:ilvl w:val="0"/>
          <w:numId w:val="1"/>
        </w:numPr>
        <w:spacing w:after="50" w:line="250"/>
      </w:pPr>
      <w:r>
        <w:rPr>
          <w:rFonts w:ascii="Calibri" w:cs="Calibri" w:eastAsia="Calibri" w:hAnsi="Calibri"/>
          <w:color w:val="33454A"/>
          <w:sz w:val="17"/>
          <w:szCs w:val="17"/>
        </w:rPr>
        <w:t xml:space="preserve">Documentation de l'outil de profiling automatisé, pour délimiter ce qu'il voit et surtout ce qu'il ne voit pas.</w:t>
      </w:r>
    </w:p>
    <w:p>
      <w:pPr>
        <w:pStyle w:val="ListParagraph"/>
        <w:numPr>
          <w:ilvl w:val="0"/>
          <w:numId w:val="1"/>
        </w:numPr>
        <w:spacing w:after="50" w:line="250"/>
      </w:pPr>
      <w:r>
        <w:rPr>
          <w:rFonts w:ascii="Calibri" w:cs="Calibri" w:eastAsia="Calibri" w:hAnsi="Calibri"/>
          <w:color w:val="33454A"/>
          <w:sz w:val="17"/>
          <w:szCs w:val="17"/>
        </w:rPr>
        <w:t xml:space="preserve">Références sur la sobriété numérique, mobilisées pour arbitrer le maintien du moteur de calcul existant plutôt qu'un changement coûteux sans gain mesurable.</w:t>
      </w:r>
    </w:p>
    <w:p>
      <w:pPr>
        <w:pStyle w:val="ListParagraph"/>
        <w:numPr>
          <w:ilvl w:val="0"/>
          <w:numId w:val="1"/>
        </w:numPr>
        <w:spacing w:after="50" w:line="250"/>
      </w:pPr>
      <w:r>
        <w:rPr>
          <w:rFonts w:ascii="Calibri" w:cs="Calibri" w:eastAsia="Calibri" w:hAnsi="Calibri"/>
          <w:color w:val="33454A"/>
          <w:sz w:val="17"/>
          <w:szCs w:val="17"/>
        </w:rPr>
        <w:t xml:space="preserve">Deux flux automatisés — publications de versions et notifications de dépôts — mis en place et documentés par des captures d'abonnement.</w:t>
      </w:r>
    </w:p>
    <w:p>
      <w:pPr>
        <w:pStyle w:val="ListParagraph"/>
        <w:numPr>
          <w:ilvl w:val="0"/>
          <w:numId w:val="1"/>
        </w:numPr>
        <w:spacing w:after="50" w:line="250"/>
      </w:pPr>
      <w:r>
        <w:rPr>
          <w:rFonts w:ascii="Calibri" w:cs="Calibri" w:eastAsia="Calibri" w:hAnsi="Calibri"/>
          <w:color w:val="33454A"/>
          <w:sz w:val="17"/>
          <w:szCs w:val="17"/>
        </w:rPr>
        <w:t xml:space="preserve">Revue systématique des journaux de versions avant chaque relance, avec export des versions utilisées à chaque exécution du notebook.</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7B7E"/>
        <w:sz w:val="14"/>
        <w:szCs w:val="14"/>
      </w:rPr>
      <w:t xml:space="preserve">Sonia Graff — Portfolio · Projet 10 · Qualité des données et pilotage augmenté par l'IA · page </w:t>
    </w:r>
    <w:r>
      <w:rPr>
        <w:rFonts w:ascii="Calibri" w:cs="Calibri" w:eastAsia="Calibri" w:hAnsi="Calibri"/>
        <w:color w:val="6C7B7E"/>
        <w:sz w:val="14"/>
        <w:szCs w:val="14"/>
      </w:rPr>
      <w:fldChar w:fldCharType="begin"/>
      <w:instrText xml:space="preserve">PAGE</w:instrText>
      <w:fldChar w:fldCharType="separate"/>
      <w:fldChar w:fldCharType="end"/>
    </w:r>
    <w:r>
      <w:rPr>
        <w:rFonts w:ascii="Calibri" w:cs="Calibri" w:eastAsia="Calibri" w:hAnsi="Calibri"/>
        <w:color w:val="6C7B7E"/>
        <w:sz w:val="14"/>
        <w:szCs w:val="14"/>
      </w:rPr>
      <w:t xml:space="preserve"> / </w:t>
    </w:r>
    <w:r>
      <w:rPr>
        <w:rFonts w:ascii="Calibri" w:cs="Calibri" w:eastAsia="Calibri" w:hAnsi="Calibri"/>
        <w:color w:val="6C7B7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10 — Fiche projet portfolio</dc:title>
  <dc:creator>Sonia Graff</dc:creator>
  <cp:lastModifiedBy>Un-named</cp:lastModifiedBy>
  <cp:revision>1</cp:revision>
  <dcterms:created xsi:type="dcterms:W3CDTF">2026-08-02T07:34:24.461Z</dcterms:created>
  <dcterms:modified xsi:type="dcterms:W3CDTF">2026-08-02T07:34:24.471Z</dcterms:modified>
</cp:coreProperties>
</file>

<file path=docProps/custom.xml><?xml version="1.0" encoding="utf-8"?>
<Properties xmlns="http://schemas.openxmlformats.org/officeDocument/2006/custom-properties" xmlns:vt="http://schemas.openxmlformats.org/officeDocument/2006/docPropsVTypes"/>
</file>