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orbel" w:cs="Corbel" w:eastAsia="Corbel" w:hAnsi="Corbel"/>
          <w:b/>
          <w:bCs/>
          <w:i w:val="false"/>
          <w:iCs w:val="false"/>
          <w:color w:val="0E5A66"/>
          <w:sz w:val="20"/>
          <w:szCs w:val="20"/>
        </w:rPr>
        <w:t xml:space="preserve">PROJET 01</w:t>
      </w:r>
    </w:p>
    <w:p>
      <w:pPr>
        <w:spacing w:after="20"/>
      </w:pPr>
      <w:r>
        <w:rPr>
          <w:rFonts w:ascii="Corbel" w:cs="Corbel" w:eastAsia="Corbel" w:hAnsi="Corbel"/>
          <w:b/>
          <w:bCs/>
          <w:i w:val="false"/>
          <w:iCs w:val="false"/>
          <w:color w:val="2B3538"/>
          <w:sz w:val="40"/>
          <w:szCs w:val="40"/>
        </w:rPr>
        <w:t xml:space="preserve">Construire un cadre de pilotage de la performance sportive</w:t>
      </w:r>
    </w:p>
    <w:p>
      <w:pPr>
        <w:spacing w:after="60"/>
      </w:pPr>
      <w:r>
        <w:rPr>
          <w:rFonts w:ascii="Corbel" w:cs="Corbel" w:eastAsia="Corbel" w:hAnsi="Corbel"/>
          <w:b w:val="false"/>
          <w:bCs w:val="false"/>
          <w:i w:val="false"/>
          <w:iCs w:val="false"/>
          <w:color w:val="5A6B72"/>
          <w:sz w:val="22"/>
          <w:szCs w:val="22"/>
        </w:rPr>
        <w:t xml:space="preserve">Transformer des données NBA en méthode d'analyse, tableau de bord et recommandations opérationnelles</w:t>
      </w:r>
    </w:p>
    <w:p>
      <w:pPr>
        <w:pBdr>
          <w:bottom w:val="single" w:color="0E5A66" w:sz="8"/>
        </w:pBdr>
        <w:spacing w:after="160"/>
      </w:pPr>
      <w:r>
        <w:rPr>
          <w:rFonts w:ascii="Corbel" w:cs="Corbel" w:eastAsia="Corbel" w:hAnsi="Corbel"/>
          <w:b/>
          <w:bCs/>
          <w:i w:val="false"/>
          <w:iCs w:val="false"/>
          <w:color w:val="0E5A66"/>
          <w:sz w:val="18"/>
          <w:szCs w:val="18"/>
        </w:rPr>
        <w:t xml:space="preserve">Excel   ·   Analyse de données   ·   Data visualisation   ·   Aide à la décision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c>
          <w:tcPr>
            <w:tcW w:type="dxa" w:w="2475"/>
            <w:tcBorders>
              <w:top w:val="single" w:color="D3DEDF" w:sz="4"/>
              <w:left w:val="single" w:color="D3DEDF" w:sz="4"/>
              <w:bottom w:val="single" w:color="D3DEDF" w:sz="4"/>
              <w:right w:val="single" w:color="D3DEDF" w:sz="4"/>
            </w:tcBorders>
            <w:shd w:fill="EAF3F5" w:color="auto" w:val="clear"/>
            <w:tcMar>
              <w:top w:type="dxa" w:w="100"/>
              <w:left w:type="dxa" w:w="130"/>
              <w:bottom w:type="dxa" w:w="100"/>
              <w:right w:type="dxa" w:w="130"/>
            </w:tcMar>
            <w:vAlign w:val="top"/>
          </w:tcPr>
          <w:p>
            <w:r>
              <w:rPr>
                <w:rFonts w:ascii="Corbel" w:cs="Corbel" w:eastAsia="Corbel" w:hAnsi="Corbel"/>
                <w:b/>
                <w:bCs/>
                <w:i w:val="false"/>
                <w:iCs w:val="false"/>
                <w:color w:val="0E5A66"/>
                <w:sz w:val="16"/>
                <w:szCs w:val="16"/>
              </w:rPr>
              <w:t xml:space="preserve">PÉRIODE</w:t>
            </w:r>
          </w:p>
          <w:p>
            <w:r>
              <w:rPr>
                <w:rFonts w:ascii="Corbel" w:cs="Corbel" w:eastAsia="Corbel" w:hAnsi="Corbel"/>
                <w:b w:val="false"/>
                <w:bCs w:val="false"/>
                <w:i w:val="false"/>
                <w:iCs w:val="false"/>
                <w:color w:val="2B3538"/>
                <w:sz w:val="18"/>
                <w:szCs w:val="18"/>
              </w:rPr>
              <w:t xml:space="preserve">Sept.–oct. 2025</w:t>
            </w:r>
          </w:p>
        </w:tc>
        <w:tc>
          <w:tcPr>
            <w:tcW w:type="dxa" w:w="2475"/>
            <w:tcBorders>
              <w:top w:val="single" w:color="D3DEDF" w:sz="4"/>
              <w:left w:val="single" w:color="D3DEDF" w:sz="4"/>
              <w:bottom w:val="single" w:color="D3DEDF" w:sz="4"/>
              <w:right w:val="single" w:color="D3DEDF" w:sz="4"/>
            </w:tcBorders>
            <w:shd w:fill="EAF3F5" w:color="auto" w:val="clear"/>
            <w:tcMar>
              <w:top w:type="dxa" w:w="100"/>
              <w:left w:type="dxa" w:w="130"/>
              <w:bottom w:type="dxa" w:w="100"/>
              <w:right w:type="dxa" w:w="130"/>
            </w:tcMar>
            <w:vAlign w:val="top"/>
          </w:tcPr>
          <w:p>
            <w:r>
              <w:rPr>
                <w:rFonts w:ascii="Corbel" w:cs="Corbel" w:eastAsia="Corbel" w:hAnsi="Corbel"/>
                <w:b/>
                <w:bCs/>
                <w:i w:val="false"/>
                <w:iCs w:val="false"/>
                <w:color w:val="0E5A66"/>
                <w:sz w:val="16"/>
                <w:szCs w:val="16"/>
              </w:rPr>
              <w:t xml:space="preserve">CADRE</w:t>
            </w:r>
          </w:p>
          <w:p>
            <w:r>
              <w:rPr>
                <w:rFonts w:ascii="Corbel" w:cs="Corbel" w:eastAsia="Corbel" w:hAnsi="Corbel"/>
                <w:b w:val="false"/>
                <w:bCs w:val="false"/>
                <w:i w:val="false"/>
                <w:iCs w:val="false"/>
                <w:color w:val="2B3538"/>
                <w:sz w:val="18"/>
                <w:szCs w:val="18"/>
              </w:rPr>
              <w:t xml:space="preserve">Certification Business Intelligence</w:t>
            </w:r>
          </w:p>
        </w:tc>
        <w:tc>
          <w:tcPr>
            <w:tcW w:type="dxa" w:w="2475"/>
            <w:tcBorders>
              <w:top w:val="single" w:color="D3DEDF" w:sz="4"/>
              <w:left w:val="single" w:color="D3DEDF" w:sz="4"/>
              <w:bottom w:val="single" w:color="D3DEDF" w:sz="4"/>
              <w:right w:val="single" w:color="D3DEDF" w:sz="4"/>
            </w:tcBorders>
            <w:shd w:fill="EAF3F5" w:color="auto" w:val="clear"/>
            <w:tcMar>
              <w:top w:type="dxa" w:w="100"/>
              <w:left w:type="dxa" w:w="130"/>
              <w:bottom w:type="dxa" w:w="100"/>
              <w:right w:type="dxa" w:w="130"/>
            </w:tcMar>
            <w:vAlign w:val="top"/>
          </w:tcPr>
          <w:p>
            <w:r>
              <w:rPr>
                <w:rFonts w:ascii="Corbel" w:cs="Corbel" w:eastAsia="Corbel" w:hAnsi="Corbel"/>
                <w:b/>
                <w:bCs/>
                <w:i w:val="false"/>
                <w:iCs w:val="false"/>
                <w:color w:val="0E5A66"/>
                <w:sz w:val="16"/>
                <w:szCs w:val="16"/>
              </w:rPr>
              <w:t xml:space="preserve">SECTEUR</w:t>
            </w:r>
          </w:p>
          <w:p>
            <w:r>
              <w:rPr>
                <w:rFonts w:ascii="Corbel" w:cs="Corbel" w:eastAsia="Corbel" w:hAnsi="Corbel"/>
                <w:b w:val="false"/>
                <w:bCs w:val="false"/>
                <w:i w:val="false"/>
                <w:iCs w:val="false"/>
                <w:color w:val="2B3538"/>
                <w:sz w:val="18"/>
                <w:szCs w:val="18"/>
              </w:rPr>
              <w:t xml:space="preserve">Sport / Basket-ball</w:t>
            </w:r>
          </w:p>
        </w:tc>
        <w:tc>
          <w:tcPr>
            <w:tcW w:type="dxa" w:w="2475"/>
            <w:tcBorders>
              <w:top w:val="single" w:color="D3DEDF" w:sz="4"/>
              <w:left w:val="single" w:color="D3DEDF" w:sz="4"/>
              <w:bottom w:val="single" w:color="D3DEDF" w:sz="4"/>
              <w:right w:val="single" w:color="D3DEDF" w:sz="4"/>
            </w:tcBorders>
            <w:shd w:fill="EAF3F5" w:color="auto" w:val="clear"/>
            <w:tcMar>
              <w:top w:type="dxa" w:w="100"/>
              <w:left w:type="dxa" w:w="130"/>
              <w:bottom w:type="dxa" w:w="100"/>
              <w:right w:type="dxa" w:w="130"/>
            </w:tcMar>
            <w:vAlign w:val="top"/>
          </w:tcPr>
          <w:p>
            <w:r>
              <w:rPr>
                <w:rFonts w:ascii="Corbel" w:cs="Corbel" w:eastAsia="Corbel" w:hAnsi="Corbel"/>
                <w:b/>
                <w:bCs/>
                <w:i w:val="false"/>
                <w:iCs w:val="false"/>
                <w:color w:val="0E5A66"/>
                <w:sz w:val="16"/>
                <w:szCs w:val="16"/>
              </w:rPr>
              <w:t xml:space="preserve">PUBLIC</w:t>
            </w:r>
          </w:p>
          <w:p>
            <w:r>
              <w:rPr>
                <w:rFonts w:ascii="Corbel" w:cs="Corbel" w:eastAsia="Corbel" w:hAnsi="Corbel"/>
                <w:b w:val="false"/>
                <w:bCs w:val="false"/>
                <w:i w:val="false"/>
                <w:iCs w:val="false"/>
                <w:color w:val="2B3538"/>
                <w:sz w:val="18"/>
                <w:szCs w:val="18"/>
              </w:rPr>
              <w:t xml:space="preserve">Direction, coach, staff</w:t>
            </w:r>
          </w:p>
        </w:tc>
      </w:tr>
      <w:tr>
        <w:tc>
          <w:tcPr>
            <w:tcW w:type="dxa" w:w="2475"/>
            <w:tcBorders>
              <w:top w:val="single" w:color="D3DEDF" w:sz="4"/>
              <w:left w:val="single" w:color="D3DEDF" w:sz="4"/>
              <w:bottom w:val="single" w:color="D3DEDF" w:sz="4"/>
              <w:right w:val="single" w:color="D3DEDF" w:sz="4"/>
            </w:tcBorders>
            <w:shd w:fill="EAF3F5" w:color="auto" w:val="clear"/>
            <w:tcMar>
              <w:top w:type="dxa" w:w="100"/>
              <w:left w:type="dxa" w:w="130"/>
              <w:bottom w:type="dxa" w:w="100"/>
              <w:right w:type="dxa" w:w="130"/>
            </w:tcMar>
            <w:vAlign w:val="top"/>
          </w:tcPr>
          <w:p>
            <w:r>
              <w:rPr>
                <w:rFonts w:ascii="Corbel" w:cs="Corbel" w:eastAsia="Corbel" w:hAnsi="Corbel"/>
                <w:b/>
                <w:bCs/>
                <w:i w:val="false"/>
                <w:iCs w:val="false"/>
                <w:color w:val="0E5A66"/>
                <w:sz w:val="16"/>
                <w:szCs w:val="16"/>
              </w:rPr>
              <w:t xml:space="preserve">DONNÉES</w:t>
            </w:r>
          </w:p>
          <w:p>
            <w:r>
              <w:rPr>
                <w:rFonts w:ascii="Corbel" w:cs="Corbel" w:eastAsia="Corbel" w:hAnsi="Corbel"/>
                <w:b w:val="false"/>
                <w:bCs w:val="false"/>
                <w:i w:val="false"/>
                <w:iCs w:val="false"/>
                <w:color w:val="2B3538"/>
                <w:sz w:val="18"/>
                <w:szCs w:val="18"/>
              </w:rPr>
              <w:t xml:space="preserve">569 joueurs · 30 équipes</w:t>
            </w:r>
          </w:p>
        </w:tc>
        <w:tc>
          <w:tcPr>
            <w:tcW w:type="dxa" w:w="2475"/>
            <w:tcBorders>
              <w:top w:val="single" w:color="D3DEDF" w:sz="4"/>
              <w:left w:val="single" w:color="D3DEDF" w:sz="4"/>
              <w:bottom w:val="single" w:color="D3DEDF" w:sz="4"/>
              <w:right w:val="single" w:color="D3DEDF" w:sz="4"/>
            </w:tcBorders>
            <w:shd w:fill="EAF3F5" w:color="auto" w:val="clear"/>
            <w:tcMar>
              <w:top w:type="dxa" w:w="100"/>
              <w:left w:type="dxa" w:w="130"/>
              <w:bottom w:type="dxa" w:w="100"/>
              <w:right w:type="dxa" w:w="130"/>
            </w:tcMar>
            <w:vAlign w:val="top"/>
          </w:tcPr>
          <w:p>
            <w:r>
              <w:rPr>
                <w:rFonts w:ascii="Corbel" w:cs="Corbel" w:eastAsia="Corbel" w:hAnsi="Corbel"/>
                <w:b/>
                <w:bCs/>
                <w:i w:val="false"/>
                <w:iCs w:val="false"/>
                <w:color w:val="0E5A66"/>
                <w:sz w:val="16"/>
                <w:szCs w:val="16"/>
              </w:rPr>
              <w:t xml:space="preserve">VARIABLES</w:t>
            </w:r>
          </w:p>
          <w:p>
            <w:r>
              <w:rPr>
                <w:rFonts w:ascii="Corbel" w:cs="Corbel" w:eastAsia="Corbel" w:hAnsi="Corbel"/>
                <w:b w:val="false"/>
                <w:bCs w:val="false"/>
                <w:i w:val="false"/>
                <w:iCs w:val="false"/>
                <w:color w:val="2B3538"/>
                <w:sz w:val="18"/>
                <w:szCs w:val="18"/>
              </w:rPr>
              <w:t xml:space="preserve">45 variables initiales</w:t>
            </w:r>
          </w:p>
        </w:tc>
        <w:tc>
          <w:tcPr>
            <w:tcW w:type="dxa" w:w="2475"/>
            <w:tcBorders>
              <w:top w:val="single" w:color="D3DEDF" w:sz="4"/>
              <w:left w:val="single" w:color="D3DEDF" w:sz="4"/>
              <w:bottom w:val="single" w:color="D3DEDF" w:sz="4"/>
              <w:right w:val="single" w:color="D3DEDF" w:sz="4"/>
            </w:tcBorders>
            <w:shd w:fill="EAF3F5" w:color="auto" w:val="clear"/>
            <w:tcMar>
              <w:top w:type="dxa" w:w="100"/>
              <w:left w:type="dxa" w:w="130"/>
              <w:bottom w:type="dxa" w:w="100"/>
              <w:right w:type="dxa" w:w="130"/>
            </w:tcMar>
            <w:vAlign w:val="top"/>
          </w:tcPr>
          <w:p>
            <w:r>
              <w:rPr>
                <w:rFonts w:ascii="Corbel" w:cs="Corbel" w:eastAsia="Corbel" w:hAnsi="Corbel"/>
                <w:b/>
                <w:bCs/>
                <w:i w:val="false"/>
                <w:iCs w:val="false"/>
                <w:color w:val="0E5A66"/>
                <w:sz w:val="16"/>
                <w:szCs w:val="16"/>
              </w:rPr>
              <w:t xml:space="preserve">LIVRABLES</w:t>
            </w:r>
          </w:p>
          <w:p>
            <w:r>
              <w:rPr>
                <w:rFonts w:ascii="Corbel" w:cs="Corbel" w:eastAsia="Corbel" w:hAnsi="Corbel"/>
                <w:b w:val="false"/>
                <w:bCs w:val="false"/>
                <w:i w:val="false"/>
                <w:iCs w:val="false"/>
                <w:color w:val="2B3538"/>
                <w:sz w:val="18"/>
                <w:szCs w:val="18"/>
              </w:rPr>
              <w:t xml:space="preserve">Rapport, dashboard, soutenance</w:t>
            </w:r>
          </w:p>
        </w:tc>
        <w:tc>
          <w:tcPr>
            <w:tcW w:type="dxa" w:w="2475"/>
            <w:tcBorders>
              <w:top w:val="single" w:color="D3DEDF" w:sz="4"/>
              <w:left w:val="single" w:color="D3DEDF" w:sz="4"/>
              <w:bottom w:val="single" w:color="D3DEDF" w:sz="4"/>
              <w:right w:val="single" w:color="D3DEDF" w:sz="4"/>
            </w:tcBorders>
            <w:shd w:fill="EAF3F5" w:color="auto" w:val="clear"/>
            <w:tcMar>
              <w:top w:type="dxa" w:w="100"/>
              <w:left w:type="dxa" w:w="130"/>
              <w:bottom w:type="dxa" w:w="100"/>
              <w:right w:type="dxa" w:w="130"/>
            </w:tcMar>
            <w:vAlign w:val="top"/>
          </w:tcPr>
          <w:p>
            <w:r>
              <w:rPr>
                <w:rFonts w:ascii="Corbel" w:cs="Corbel" w:eastAsia="Corbel" w:hAnsi="Corbel"/>
                <w:b/>
                <w:bCs/>
                <w:i w:val="false"/>
                <w:iCs w:val="false"/>
                <w:color w:val="0E5A66"/>
                <w:sz w:val="16"/>
                <w:szCs w:val="16"/>
              </w:rPr>
              <w:t xml:space="preserve">POSTURE</w:t>
            </w:r>
          </w:p>
          <w:p>
            <w:r>
              <w:rPr>
                <w:rFonts w:ascii="Corbel" w:cs="Corbel" w:eastAsia="Corbel" w:hAnsi="Corbel"/>
                <w:b w:val="false"/>
                <w:bCs w:val="false"/>
                <w:i w:val="false"/>
                <w:iCs w:val="false"/>
                <w:color w:val="2B3538"/>
                <w:sz w:val="18"/>
                <w:szCs w:val="18"/>
              </w:rPr>
              <w:t xml:space="preserve">Analyse orientée décision</w:t>
            </w:r>
          </w:p>
        </w:tc>
      </w:tr>
    </w:tbl>
    <w:p>
      <w:pPr>
        <w:spacing w:before="4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D3DEDF" w:sz="4"/>
              <w:left w:val="single" w:color="0E5A66" w:sz="20"/>
              <w:bottom w:val="single" w:color="D3DEDF" w:sz="4"/>
              <w:right w:val="single" w:color="D3DEDF" w:sz="4"/>
            </w:tcBorders>
            <w:shd w:fill="EAF3F5" w:color="auto" w:val="clear"/>
            <w:tcMar>
              <w:top w:type="dxa" w:w="130"/>
              <w:left w:type="dxa" w:w="160"/>
              <w:bottom w:type="dxa" w:w="130"/>
              <w:right w:type="dxa" w:w="160"/>
            </w:tcMar>
            <w:vAlign w:val="center"/>
          </w:tcPr>
          <w:p>
            <w:r>
              <w:rPr>
                <w:rFonts w:ascii="Corbel" w:cs="Corbel" w:eastAsia="Corbel" w:hAnsi="Corbel"/>
                <w:b/>
                <w:bCs/>
                <w:i w:val="false"/>
                <w:iCs w:val="false"/>
                <w:color w:val="0E5A66"/>
                <w:sz w:val="16"/>
                <w:szCs w:val="16"/>
              </w:rPr>
              <w:t xml:space="preserve">MA VALEUR AJOUTÉE</w:t>
            </w:r>
          </w:p>
          <w:p>
            <w:r>
              <w:rPr>
                <w:rFonts w:ascii="Corbel" w:cs="Corbel" w:eastAsia="Corbel" w:hAnsi="Corbel"/>
                <w:b w:val="false"/>
                <w:bCs w:val="false"/>
                <w:i w:val="false"/>
                <w:iCs w:val="false"/>
                <w:color w:val="2B3538"/>
                <w:sz w:val="20"/>
                <w:szCs w:val="20"/>
              </w:rPr>
              <w:t xml:space="preserve">Je ne me suis pas limitée à produire des graphiques : j'ai construit un référentiel, posé des benchmarks, mesuré les écarts et traduit les analyses en décisions concrètes.</w:t>
            </w:r>
          </w:p>
        </w:tc>
      </w:tr>
    </w:tbl>
    <w:p>
      <w:pPr>
        <w:pBdr>
          <w:bottom w:val="single" w:color="0E5A66" w:sz="8"/>
        </w:pBdr>
        <w:spacing w:after="40" w:before="260"/>
      </w:pPr>
      <w:r>
        <w:rPr>
          <w:rFonts w:ascii="Corbel" w:cs="Corbel" w:eastAsia="Corbel" w:hAnsi="Corbel"/>
          <w:b/>
          <w:bCs/>
          <w:i w:val="false"/>
          <w:iCs w:val="false"/>
          <w:color w:val="0E5A66"/>
          <w:sz w:val="26"/>
          <w:szCs w:val="26"/>
        </w:rPr>
        <w:t xml:space="preserve">1. </w:t>
      </w:r>
      <w:r>
        <w:rPr>
          <w:rFonts w:ascii="Corbel" w:cs="Corbel" w:eastAsia="Corbel" w:hAnsi="Corbel"/>
          <w:b/>
          <w:bCs/>
          <w:i w:val="false"/>
          <w:iCs w:val="false"/>
          <w:color w:val="0E5A66"/>
          <w:sz w:val="26"/>
          <w:szCs w:val="26"/>
        </w:rPr>
        <w:t xml:space="preserve">Synthèse exécutive</w:t>
      </w:r>
    </w:p>
    <w:p>
      <w:pPr>
        <w:spacing w:after="120"/>
      </w:pPr>
      <w:r>
        <w:rPr>
          <w:rFonts w:ascii="Corbel" w:cs="Corbel" w:eastAsia="Corbel" w:hAnsi="Corbel"/>
          <w:b w:val="false"/>
          <w:bCs w:val="false"/>
          <w:i/>
          <w:iCs/>
          <w:color w:val="5A6B72"/>
          <w:sz w:val="18"/>
          <w:szCs w:val="18"/>
        </w:rPr>
        <w:t xml:space="preserve">Lecture recruteur / manager en moins d’une minute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100"/>
        <w:gridCol w:w="7800"/>
      </w:tblGrid>
      <w:tr>
        <w:tc>
          <w:tcPr>
            <w:tcW w:type="dxa" w:w="2100"/>
            <w:tcBorders>
              <w:top w:val="single" w:color="D3DEDF" w:sz="4"/>
              <w:left w:val="single" w:color="D3DEDF" w:sz="4"/>
              <w:bottom w:val="single" w:color="D3DEDF" w:sz="4"/>
              <w:right w:val="single" w:color="D3DEDF" w:sz="4"/>
            </w:tcBorders>
            <w:shd w:fill="0E5A66" w:color="auto" w:val="clear"/>
            <w:tcMar>
              <w:top w:type="dxa" w:w="110"/>
              <w:left w:type="dxa" w:w="130"/>
              <w:bottom w:type="dxa" w:w="110"/>
              <w:right w:type="dxa" w:w="130"/>
            </w:tcMar>
            <w:vAlign w:val="top"/>
          </w:tcPr>
          <w:p>
            <w:r>
              <w:rPr>
                <w:rFonts w:ascii="Corbel" w:cs="Corbel" w:eastAsia="Corbel" w:hAnsi="Corbel"/>
                <w:b/>
                <w:bCs/>
                <w:i w:val="false"/>
                <w:iCs w:val="false"/>
                <w:color w:val="FFFFFF"/>
                <w:sz w:val="17"/>
                <w:szCs w:val="17"/>
              </w:rPr>
              <w:t xml:space="preserve">CONTEXTE /
BESOIN MÉTIER</w:t>
            </w:r>
          </w:p>
        </w:tc>
        <w:tc>
          <w:tcPr>
            <w:tcW w:type="dxa" w:w="7800"/>
            <w:tcBorders>
              <w:top w:val="single" w:color="D3DEDF" w:sz="4"/>
              <w:left w:val="single" w:color="D3DEDF" w:sz="4"/>
              <w:bottom w:val="single" w:color="D3DEDF" w:sz="4"/>
              <w:right w:val="single" w:color="D3DEDF" w:sz="4"/>
            </w:tcBorders>
            <w:shd w:fill="F2F5F5" w:color="auto" w:val="clear"/>
            <w:tcMar>
              <w:top w:type="dxa" w:w="110"/>
              <w:left w:type="dxa" w:w="150"/>
              <w:bottom w:type="dxa" w:w="110"/>
              <w:right w:type="dxa" w:w="150"/>
            </w:tcMar>
            <w:vAlign w:val="top"/>
          </w:tcPr>
          <w:p>
            <w:r>
              <w:rPr>
                <w:rFonts w:ascii="Corbel" w:cs="Corbel" w:eastAsia="Corbel" w:hAnsi="Corbel"/>
                <w:b w:val="false"/>
                <w:bCs w:val="false"/>
                <w:i w:val="false"/>
                <w:iCs w:val="false"/>
                <w:color w:val="2B3538"/>
                <w:sz w:val="19"/>
                <w:szCs w:val="19"/>
              </w:rPr>
              <w:t xml:space="preserve">« Les Pionniers », club de basket semi-professionnel, vise la montée au niveau professionnel en cinq ans. Le club ne dispose pas d’un cadre structuré pour mesurer sa performance, choisir ses indicateurs, ni relier les constats aux décisions sportives.</w:t>
            </w:r>
          </w:p>
        </w:tc>
      </w:tr>
      <w:tr>
        <w:tc>
          <w:tcPr>
            <w:tcW w:type="dxa" w:w="2100"/>
            <w:tcBorders>
              <w:top w:val="single" w:color="D3DEDF" w:sz="4"/>
              <w:left w:val="single" w:color="D3DEDF" w:sz="4"/>
              <w:bottom w:val="single" w:color="D3DEDF" w:sz="4"/>
              <w:right w:val="single" w:color="D3DEDF" w:sz="4"/>
            </w:tcBorders>
            <w:shd w:fill="0E5A66" w:color="auto" w:val="clear"/>
            <w:tcMar>
              <w:top w:type="dxa" w:w="110"/>
              <w:left w:type="dxa" w:w="130"/>
              <w:bottom w:type="dxa" w:w="110"/>
              <w:right w:type="dxa" w:w="130"/>
            </w:tcMar>
            <w:vAlign w:val="top"/>
          </w:tcPr>
          <w:p>
            <w:r>
              <w:rPr>
                <w:rFonts w:ascii="Corbel" w:cs="Corbel" w:eastAsia="Corbel" w:hAnsi="Corbel"/>
                <w:b/>
                <w:bCs/>
                <w:i w:val="false"/>
                <w:iCs w:val="false"/>
                <w:color w:val="FFFFFF"/>
                <w:sz w:val="17"/>
                <w:szCs w:val="17"/>
              </w:rPr>
              <w:t xml:space="preserve">MISSION</w:t>
            </w:r>
          </w:p>
        </w:tc>
        <w:tc>
          <w:tcPr>
            <w:tcW w:type="dxa" w:w="7800"/>
            <w:tcBorders>
              <w:top w:val="single" w:color="D3DEDF" w:sz="4"/>
              <w:left w:val="single" w:color="D3DEDF" w:sz="4"/>
              <w:bottom w:val="single" w:color="D3DEDF" w:sz="4"/>
              <w:right w:val="single" w:color="D3DEDF" w:sz="4"/>
            </w:tcBorders>
            <w:shd w:fill="F2F5F5" w:color="auto" w:val="clear"/>
            <w:tcMar>
              <w:top w:type="dxa" w:w="110"/>
              <w:left w:type="dxa" w:w="150"/>
              <w:bottom w:type="dxa" w:w="110"/>
              <w:right w:type="dxa" w:w="150"/>
            </w:tcMar>
            <w:vAlign w:val="top"/>
          </w:tcPr>
          <w:p>
            <w:r>
              <w:rPr>
                <w:rFonts w:ascii="Corbel" w:cs="Corbel" w:eastAsia="Corbel" w:hAnsi="Corbel"/>
                <w:b w:val="false"/>
                <w:bCs w:val="false"/>
                <w:i w:val="false"/>
                <w:iCs w:val="false"/>
                <w:color w:val="2B3538"/>
                <w:sz w:val="19"/>
                <w:szCs w:val="19"/>
              </w:rPr>
              <w:t xml:space="preserve">Transformer un jeu de données NBA complexe en une méthode d’analyse claire, réutilisable et adaptée à un club semi-professionnel, pour éclairer trois leviers : entraînement, recrutement et style de jeu.</w:t>
            </w:r>
          </w:p>
        </w:tc>
      </w:tr>
      <w:tr>
        <w:tc>
          <w:tcPr>
            <w:tcW w:type="dxa" w:w="2100"/>
            <w:tcBorders>
              <w:top w:val="single" w:color="D3DEDF" w:sz="4"/>
              <w:left w:val="single" w:color="D3DEDF" w:sz="4"/>
              <w:bottom w:val="single" w:color="D3DEDF" w:sz="4"/>
              <w:right w:val="single" w:color="D3DEDF" w:sz="4"/>
            </w:tcBorders>
            <w:shd w:fill="0E5A66" w:color="auto" w:val="clear"/>
            <w:tcMar>
              <w:top w:type="dxa" w:w="110"/>
              <w:left w:type="dxa" w:w="130"/>
              <w:bottom w:type="dxa" w:w="110"/>
              <w:right w:type="dxa" w:w="130"/>
            </w:tcMar>
            <w:vAlign w:val="top"/>
          </w:tcPr>
          <w:p>
            <w:r>
              <w:rPr>
                <w:rFonts w:ascii="Corbel" w:cs="Corbel" w:eastAsia="Corbel" w:hAnsi="Corbel"/>
                <w:b/>
                <w:bCs/>
                <w:i w:val="false"/>
                <w:iCs w:val="false"/>
                <w:color w:val="FFFFFF"/>
                <w:sz w:val="17"/>
                <w:szCs w:val="17"/>
              </w:rPr>
              <w:t xml:space="preserve">RÉSULTAT</w:t>
            </w:r>
          </w:p>
        </w:tc>
        <w:tc>
          <w:tcPr>
            <w:tcW w:type="dxa" w:w="7800"/>
            <w:tcBorders>
              <w:top w:val="single" w:color="D3DEDF" w:sz="4"/>
              <w:left w:val="single" w:color="D3DEDF" w:sz="4"/>
              <w:bottom w:val="single" w:color="D3DEDF" w:sz="4"/>
              <w:right w:val="single" w:color="D3DEDF" w:sz="4"/>
            </w:tcBorders>
            <w:shd w:fill="F2F5F5" w:color="auto" w:val="clear"/>
            <w:tcMar>
              <w:top w:type="dxa" w:w="110"/>
              <w:left w:type="dxa" w:w="150"/>
              <w:bottom w:type="dxa" w:w="110"/>
              <w:right w:type="dxa" w:w="150"/>
            </w:tcMar>
            <w:vAlign w:val="top"/>
          </w:tcPr>
          <w:p>
            <w:r>
              <w:rPr>
                <w:rFonts w:ascii="Corbel" w:cs="Corbel" w:eastAsia="Corbel" w:hAnsi="Corbel"/>
                <w:b w:val="false"/>
                <w:bCs w:val="false"/>
                <w:i w:val="false"/>
                <w:iCs w:val="false"/>
                <w:color w:val="2B3538"/>
                <w:sz w:val="19"/>
                <w:szCs w:val="19"/>
              </w:rPr>
              <w:t xml:space="preserve">Un cadre d’analyse à 6 dimensions et 3 niveaux, un tableau de bord stratégique, des benchmarks de performance, un rapport d’analyse, un glossaire métier et des recommandations opérationnelles.</w:t>
            </w:r>
          </w:p>
        </w:tc>
      </w:tr>
    </w:tbl>
    <w:p>
      <w:pPr>
        <w:spacing w:after="60" w:before="140"/>
        <w:jc w:val="center"/>
      </w:pPr>
      <w:r>
        <w:rPr>
          <w:rFonts w:ascii="Corbel" w:cs="Corbel" w:eastAsia="Corbel" w:hAnsi="Corbel"/>
          <w:b/>
          <w:bCs/>
          <w:i w:val="false"/>
          <w:iCs w:val="false"/>
          <w:color w:val="0E5A66"/>
          <w:sz w:val="20"/>
          <w:szCs w:val="20"/>
        </w:rPr>
        <w:t xml:space="preserve">Question directrice — </w:t>
      </w:r>
      <w:r>
        <w:rPr>
          <w:rFonts w:ascii="Corbel" w:cs="Corbel" w:eastAsia="Corbel" w:hAnsi="Corbel"/>
          <w:b w:val="false"/>
          <w:bCs w:val="false"/>
          <w:i/>
          <w:iCs/>
          <w:color w:val="2B3538"/>
          <w:sz w:val="20"/>
          <w:szCs w:val="20"/>
        </w:rPr>
        <w:t xml:space="preserve">comment s’inspirer des données NBA pour construire un pilotage réaliste, actionnable et compréhensible par tous les acteurs du club ?</w:t>
      </w:r>
    </w:p>
    <w:p>
      <w:pPr>
        <w:pBdr>
          <w:bottom w:val="single" w:color="0E5A66" w:sz="8"/>
        </w:pBdr>
        <w:spacing w:after="120" w:before="260"/>
      </w:pPr>
      <w:r>
        <w:rPr>
          <w:rFonts w:ascii="Corbel" w:cs="Corbel" w:eastAsia="Corbel" w:hAnsi="Corbel"/>
          <w:b/>
          <w:bCs/>
          <w:i w:val="false"/>
          <w:iCs w:val="false"/>
          <w:color w:val="0E5A66"/>
          <w:sz w:val="26"/>
          <w:szCs w:val="26"/>
        </w:rPr>
        <w:t xml:space="preserve">2. </w:t>
      </w:r>
      <w:r>
        <w:rPr>
          <w:rFonts w:ascii="Corbel" w:cs="Corbel" w:eastAsia="Corbel" w:hAnsi="Corbel"/>
          <w:b/>
          <w:bCs/>
          <w:i w:val="false"/>
          <w:iCs w:val="false"/>
          <w:color w:val="0E5A66"/>
          <w:sz w:val="26"/>
          <w:szCs w:val="26"/>
        </w:rPr>
        <w:t xml:space="preserve">Données : sources, qualité et limites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Élément</w:t>
            </w:r>
          </w:p>
        </w:tc>
        <w:tc>
          <w:tcPr>
            <w:tcW w:type="dxa" w:w="73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Description</w:t>
            </w:r>
          </w:p>
        </w:tc>
      </w:tr>
      <w:tr>
        <w:tc>
          <w:tcPr>
            <w:tcW w:type="dxa" w:w="26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Source principale</w:t>
            </w:r>
          </w:p>
        </w:tc>
        <w:tc>
          <w:tcPr>
            <w:tcW w:type="dxa" w:w="73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Données NBA saison 2024-2025 : 569 joueurs, 30 équipes et 45 variables.</w:t>
            </w:r>
          </w:p>
        </w:tc>
      </w:tr>
      <w:tr>
        <w:tc>
          <w:tcPr>
            <w:tcW w:type="dxa" w:w="26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Sources complémentaires</w:t>
            </w:r>
          </w:p>
        </w:tc>
        <w:tc>
          <w:tcPr>
            <w:tcW w:type="dxa" w:w="73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Table de référence équipe, dictionnaire de données, poste des joueurs et classement, issus de sources officielles.</w:t>
            </w:r>
          </w:p>
        </w:tc>
      </w:tr>
      <w:tr>
        <w:tc>
          <w:tcPr>
            <w:tcW w:type="dxa" w:w="26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Qualité initiale</w:t>
            </w:r>
          </w:p>
        </w:tc>
        <w:tc>
          <w:tcPr>
            <w:tcW w:type="dxa" w:w="73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Éléments non structurés, cellules fusionnées, formats hétérogènes, données manquantes, sens métier à clarifier.</w:t>
            </w:r>
          </w:p>
        </w:tc>
      </w:tr>
      <w:tr>
        <w:tc>
          <w:tcPr>
            <w:tcW w:type="dxa" w:w="26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Traitements de fiabilisation</w:t>
            </w:r>
          </w:p>
        </w:tc>
        <w:tc>
          <w:tcPr>
            <w:tcW w:type="dxa" w:w="73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Contrôle des incohérences, valeurs manquantes et doublons ; harmonisation des formats ; mise en tableaux structurés ; création d’un glossaire.</w:t>
            </w:r>
          </w:p>
        </w:tc>
      </w:tr>
      <w:tr>
        <w:tc>
          <w:tcPr>
            <w:tcW w:type="dxa" w:w="26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Limites</w:t>
            </w:r>
          </w:p>
        </w:tc>
        <w:tc>
          <w:tcPr>
            <w:tcW w:type="dxa" w:w="73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Données d’un championnat professionnel utilisées comme benchmark : elles ne remplacent pas les données réelles du club et demandent une adaptation au contexte semi-professionnel.</w:t>
            </w:r>
          </w:p>
        </w:tc>
      </w:tr>
    </w:tbl>
    <w:p>
      <w:pPr>
        <w:pBdr>
          <w:bottom w:val="single" w:color="0E5A66" w:sz="8"/>
        </w:pBdr>
        <w:spacing w:after="40" w:before="260"/>
      </w:pPr>
      <w:r>
        <w:rPr>
          <w:rFonts w:ascii="Corbel" w:cs="Corbel" w:eastAsia="Corbel" w:hAnsi="Corbel"/>
          <w:b/>
          <w:bCs/>
          <w:i w:val="false"/>
          <w:iCs w:val="false"/>
          <w:color w:val="0E5A66"/>
          <w:sz w:val="26"/>
          <w:szCs w:val="26"/>
        </w:rPr>
        <w:t xml:space="preserve">3. </w:t>
      </w:r>
      <w:r>
        <w:rPr>
          <w:rFonts w:ascii="Corbel" w:cs="Corbel" w:eastAsia="Corbel" w:hAnsi="Corbel"/>
          <w:b/>
          <w:bCs/>
          <w:i w:val="false"/>
          <w:iCs w:val="false"/>
          <w:color w:val="0E5A66"/>
          <w:sz w:val="26"/>
          <w:szCs w:val="26"/>
        </w:rPr>
        <w:t xml:space="preserve">Démarche STAR</w:t>
      </w:r>
    </w:p>
    <w:p>
      <w:pPr>
        <w:spacing w:after="120"/>
      </w:pPr>
      <w:r>
        <w:rPr>
          <w:rFonts w:ascii="Corbel" w:cs="Corbel" w:eastAsia="Corbel" w:hAnsi="Corbel"/>
          <w:b w:val="false"/>
          <w:bCs w:val="false"/>
          <w:i/>
          <w:iCs/>
          <w:color w:val="5A6B72"/>
          <w:sz w:val="18"/>
          <w:szCs w:val="18"/>
        </w:rPr>
        <w:t xml:space="preserve">Une narration orientée recruteur / client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9000"/>
      </w:tblGrid>
      <w:tr>
        <w:tc>
          <w:tcPr>
            <w:tcW w:type="dxa" w:w="9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pPr>
              <w:jc w:val="center"/>
            </w:pPr>
            <w:r>
              <w:rPr>
                <w:rFonts w:ascii="Corbel" w:cs="Corbel" w:eastAsia="Corbel" w:hAnsi="Corbel"/>
                <w:b/>
                <w:bCs/>
                <w:i w:val="false"/>
                <w:iCs w:val="false"/>
                <w:color w:val="FFFFFF"/>
                <w:sz w:val="30"/>
                <w:szCs w:val="30"/>
              </w:rPr>
              <w:t xml:space="preserve">S</w:t>
            </w:r>
          </w:p>
        </w:tc>
        <w:tc>
          <w:tcPr>
            <w:tcW w:type="dxa" w:w="9000"/>
            <w:tcBorders>
              <w:top w:val="single" w:color="D3DEDF" w:sz="4"/>
              <w:left w:val="single" w:color="D3DEDF" w:sz="4"/>
              <w:bottom w:val="single" w:color="D3DEDF" w:sz="4"/>
              <w:right w:val="single" w:color="D3DEDF" w:sz="4"/>
            </w:tcBorders>
            <w:shd w:fill="F2F5F5" w:color="auto" w:val="clear"/>
            <w:tcMar>
              <w:top w:type="dxa" w:w="110"/>
              <w:left w:type="dxa" w:w="150"/>
              <w:bottom w:type="dxa" w:w="110"/>
              <w:right w:type="dxa" w:w="150"/>
            </w:tcMar>
            <w:vAlign w:val="top"/>
          </w:tcPr>
          <w:p>
            <w:r>
              <w:rPr>
                <w:rFonts w:ascii="Corbel" w:cs="Corbel" w:eastAsia="Corbel" w:hAnsi="Corbel"/>
                <w:b/>
                <w:bCs/>
                <w:i w:val="false"/>
                <w:iCs w:val="false"/>
                <w:color w:val="0E5A66"/>
                <w:sz w:val="18"/>
                <w:szCs w:val="18"/>
              </w:rPr>
              <w:t xml:space="preserve">SITUATION</w:t>
            </w:r>
          </w:p>
          <w:p>
            <w:r>
              <w:rPr>
                <w:rFonts w:ascii="Corbel" w:cs="Corbel" w:eastAsia="Corbel" w:hAnsi="Corbel"/>
                <w:b w:val="false"/>
                <w:bCs w:val="false"/>
                <w:i w:val="false"/>
                <w:iCs w:val="false"/>
                <w:color w:val="2B3538"/>
                <w:sz w:val="19"/>
                <w:szCs w:val="19"/>
              </w:rPr>
              <w:t xml:space="preserve">Le club veut accéder au niveau professionnel sans méthode de pilotage. Premier choix : ne pas viser un champion inaccessible, mais un modèle de progression réaliste et comparable.</w:t>
            </w:r>
          </w:p>
        </w:tc>
      </w:tr>
      <w:tr>
        <w:tc>
          <w:tcPr>
            <w:tcW w:type="dxa" w:w="9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pPr>
              <w:jc w:val="center"/>
            </w:pPr>
            <w:r>
              <w:rPr>
                <w:rFonts w:ascii="Corbel" w:cs="Corbel" w:eastAsia="Corbel" w:hAnsi="Corbel"/>
                <w:b/>
                <w:bCs/>
                <w:i w:val="false"/>
                <w:iCs w:val="false"/>
                <w:color w:val="FFFFFF"/>
                <w:sz w:val="30"/>
                <w:szCs w:val="30"/>
              </w:rPr>
              <w:t xml:space="preserve">T</w:t>
            </w:r>
          </w:p>
        </w:tc>
        <w:tc>
          <w:tcPr>
            <w:tcW w:type="dxa" w:w="9000"/>
            <w:tcBorders>
              <w:top w:val="single" w:color="D3DEDF" w:sz="4"/>
              <w:left w:val="single" w:color="D3DEDF" w:sz="4"/>
              <w:bottom w:val="single" w:color="D3DEDF" w:sz="4"/>
              <w:right w:val="single" w:color="D3DEDF" w:sz="4"/>
            </w:tcBorders>
            <w:shd w:fill="F2F5F5" w:color="auto" w:val="clear"/>
            <w:tcMar>
              <w:top w:type="dxa" w:w="110"/>
              <w:left w:type="dxa" w:w="150"/>
              <w:bottom w:type="dxa" w:w="110"/>
              <w:right w:type="dxa" w:w="150"/>
            </w:tcMar>
            <w:vAlign w:val="top"/>
          </w:tcPr>
          <w:p>
            <w:r>
              <w:rPr>
                <w:rFonts w:ascii="Corbel" w:cs="Corbel" w:eastAsia="Corbel" w:hAnsi="Corbel"/>
                <w:b/>
                <w:bCs/>
                <w:i w:val="false"/>
                <w:iCs w:val="false"/>
                <w:color w:val="0E5A66"/>
                <w:sz w:val="18"/>
                <w:szCs w:val="18"/>
              </w:rPr>
              <w:t xml:space="preserve">TÂCHE</w:t>
            </w:r>
          </w:p>
          <w:p>
            <w:r>
              <w:rPr>
                <w:rFonts w:ascii="Corbel" w:cs="Corbel" w:eastAsia="Corbel" w:hAnsi="Corbel"/>
                <w:b w:val="false"/>
                <w:bCs w:val="false"/>
                <w:i w:val="false"/>
                <w:iCs w:val="false"/>
                <w:color w:val="2B3538"/>
                <w:sz w:val="19"/>
                <w:szCs w:val="19"/>
              </w:rPr>
              <w:t xml:space="preserve">Concevoir une méthode qui transforme des statistiques NBA en un cadre de pilotage réutilisable, compréhensible par des non-spécialistes et relié à des décisions concrètes.</w:t>
            </w:r>
          </w:p>
        </w:tc>
      </w:tr>
      <w:tr>
        <w:tc>
          <w:tcPr>
            <w:tcW w:type="dxa" w:w="9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pPr>
              <w:jc w:val="center"/>
            </w:pPr>
            <w:r>
              <w:rPr>
                <w:rFonts w:ascii="Corbel" w:cs="Corbel" w:eastAsia="Corbel" w:hAnsi="Corbel"/>
                <w:b/>
                <w:bCs/>
                <w:i w:val="false"/>
                <w:iCs w:val="false"/>
                <w:color w:val="FFFFFF"/>
                <w:sz w:val="30"/>
                <w:szCs w:val="30"/>
              </w:rPr>
              <w:t xml:space="preserve">A</w:t>
            </w:r>
          </w:p>
        </w:tc>
        <w:tc>
          <w:tcPr>
            <w:tcW w:type="dxa" w:w="9000"/>
            <w:tcBorders>
              <w:top w:val="single" w:color="D3DEDF" w:sz="4"/>
              <w:left w:val="single" w:color="D3DEDF" w:sz="4"/>
              <w:bottom w:val="single" w:color="D3DEDF" w:sz="4"/>
              <w:right w:val="single" w:color="D3DEDF" w:sz="4"/>
            </w:tcBorders>
            <w:shd w:fill="F2F5F5" w:color="auto" w:val="clear"/>
            <w:tcMar>
              <w:top w:type="dxa" w:w="110"/>
              <w:left w:type="dxa" w:w="150"/>
              <w:bottom w:type="dxa" w:w="110"/>
              <w:right w:type="dxa" w:w="150"/>
            </w:tcMar>
            <w:vAlign w:val="top"/>
          </w:tcPr>
          <w:p>
            <w:r>
              <w:rPr>
                <w:rFonts w:ascii="Corbel" w:cs="Corbel" w:eastAsia="Corbel" w:hAnsi="Corbel"/>
                <w:b/>
                <w:bCs/>
                <w:i w:val="false"/>
                <w:iCs w:val="false"/>
                <w:color w:val="0E5A66"/>
                <w:sz w:val="18"/>
                <w:szCs w:val="18"/>
              </w:rPr>
              <w:t xml:space="preserve">ACTIONS</w:t>
            </w:r>
          </w:p>
          <w:p>
            <w:r>
              <w:rPr>
                <w:rFonts w:ascii="Corbel" w:cs="Corbel" w:eastAsia="Corbel" w:hAnsi="Corbel"/>
                <w:b w:val="false"/>
                <w:bCs w:val="false"/>
                <w:i w:val="false"/>
                <w:iCs w:val="false"/>
                <w:color w:val="2B3538"/>
                <w:sz w:val="19"/>
                <w:szCs w:val="19"/>
              </w:rPr>
              <w:t xml:space="preserve">Fiabiliser les données ; comprendre les indicateurs ; structurer 45 variables en 6 dimensions ; enrichir le jeu de données ; analyser saison, équipes et joueurs ; définir des benchmarks ; construire un tableau de bord ; traduire les écarts en recommandations.</w:t>
            </w:r>
          </w:p>
        </w:tc>
      </w:tr>
      <w:tr>
        <w:tc>
          <w:tcPr>
            <w:tcW w:type="dxa" w:w="9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pPr>
              <w:jc w:val="center"/>
            </w:pPr>
            <w:r>
              <w:rPr>
                <w:rFonts w:ascii="Corbel" w:cs="Corbel" w:eastAsia="Corbel" w:hAnsi="Corbel"/>
                <w:b/>
                <w:bCs/>
                <w:i w:val="false"/>
                <w:iCs w:val="false"/>
                <w:color w:val="FFFFFF"/>
                <w:sz w:val="30"/>
                <w:szCs w:val="30"/>
              </w:rPr>
              <w:t xml:space="preserve">R</w:t>
            </w:r>
          </w:p>
        </w:tc>
        <w:tc>
          <w:tcPr>
            <w:tcW w:type="dxa" w:w="9000"/>
            <w:tcBorders>
              <w:top w:val="single" w:color="D3DEDF" w:sz="4"/>
              <w:left w:val="single" w:color="D3DEDF" w:sz="4"/>
              <w:bottom w:val="single" w:color="D3DEDF" w:sz="4"/>
              <w:right w:val="single" w:color="D3DEDF" w:sz="4"/>
            </w:tcBorders>
            <w:shd w:fill="F2F5F5" w:color="auto" w:val="clear"/>
            <w:tcMar>
              <w:top w:type="dxa" w:w="110"/>
              <w:left w:type="dxa" w:w="150"/>
              <w:bottom w:type="dxa" w:w="110"/>
              <w:right w:type="dxa" w:w="150"/>
            </w:tcMar>
            <w:vAlign w:val="top"/>
          </w:tcPr>
          <w:p>
            <w:r>
              <w:rPr>
                <w:rFonts w:ascii="Corbel" w:cs="Corbel" w:eastAsia="Corbel" w:hAnsi="Corbel"/>
                <w:b/>
                <w:bCs/>
                <w:i w:val="false"/>
                <w:iCs w:val="false"/>
                <w:color w:val="0E5A66"/>
                <w:sz w:val="18"/>
                <w:szCs w:val="18"/>
              </w:rPr>
              <w:t xml:space="preserve">RÉSULTATS</w:t>
            </w:r>
          </w:p>
          <w:p>
            <w:r>
              <w:rPr>
                <w:rFonts w:ascii="Corbel" w:cs="Corbel" w:eastAsia="Corbel" w:hAnsi="Corbel"/>
                <w:b w:val="false"/>
                <w:bCs w:val="false"/>
                <w:i w:val="false"/>
                <w:iCs w:val="false"/>
                <w:color w:val="2B3538"/>
                <w:sz w:val="19"/>
                <w:szCs w:val="19"/>
              </w:rPr>
              <w:t xml:space="preserve">Un référentiel 6 dimensions × 3 niveaux, 11 tableaux croisés dynamiques, un rapport de 23 onglets, un glossaire d’environ 90 termes, un tableau de bord stratégique, une soutenance et un plan d’action à cinq ans.</w:t>
            </w:r>
          </w:p>
        </w:tc>
      </w:tr>
    </w:tbl>
    <w:p>
      <w:pPr>
        <w:spacing w:after="60" w:before="160"/>
      </w:pPr>
      <w:r>
        <w:rPr>
          <w:rFonts w:ascii="Corbel" w:cs="Corbel" w:eastAsia="Corbel" w:hAnsi="Corbel"/>
          <w:b/>
          <w:bCs/>
          <w:i w:val="false"/>
          <w:iCs w:val="false"/>
          <w:color w:val="0E5A66"/>
          <w:sz w:val="18"/>
          <w:szCs w:val="18"/>
        </w:rPr>
        <w:t xml:space="preserve">Pipeline de travail — du besoin métier à la recommandation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gridCol w:w="1650"/>
      </w:tblGrid>
      <w:tr>
        <w:tc>
          <w:tcPr>
            <w:tcW w:type="dxa" w:w="1650"/>
            <w:tcBorders>
              <w:top w:val="single" w:color="D3DEDF" w:sz="4"/>
              <w:left w:val="single" w:color="D3DEDF" w:sz="4"/>
              <w:bottom w:val="single" w:color="D3DEDF" w:sz="4"/>
              <w:right w:val="single" w:color="D3DEDF" w:sz="4"/>
            </w:tcBorders>
            <w:shd w:fill="F2F5F5" w:color="auto" w:val="clear"/>
            <w:tcMar>
              <w:top w:type="dxa" w:w="110"/>
              <w:left w:type="dxa" w:w="70"/>
              <w:bottom w:type="dxa" w:w="110"/>
              <w:right w:type="dxa" w:w="70"/>
            </w:tcMar>
            <w:vAlign w:val="center"/>
          </w:tcPr>
          <w:p>
            <w:pPr>
              <w:jc w:val="center"/>
            </w:pPr>
            <w:r>
              <w:rPr>
                <w:rFonts w:ascii="Corbel" w:cs="Corbel" w:eastAsia="Corbel" w:hAnsi="Corbel"/>
                <w:b/>
                <w:bCs/>
                <w:i w:val="false"/>
                <w:iCs w:val="false"/>
                <w:color w:val="0E5A66"/>
                <w:sz w:val="16"/>
                <w:szCs w:val="16"/>
              </w:rPr>
              <w:t xml:space="preserve">1</w:t>
            </w:r>
          </w:p>
          <w:p>
            <w:pPr>
              <w:jc w:val="center"/>
            </w:pPr>
            <w:r>
              <w:rPr>
                <w:rFonts w:ascii="Corbel" w:cs="Corbel" w:eastAsia="Corbel" w:hAnsi="Corbel"/>
                <w:b/>
                <w:bCs/>
                <w:i w:val="false"/>
                <w:iCs w:val="false"/>
                <w:color w:val="2B3538"/>
                <w:sz w:val="17"/>
                <w:szCs w:val="17"/>
              </w:rPr>
              <w:t xml:space="preserve">Fiabiliser</w:t>
            </w:r>
          </w:p>
          <w:p>
            <w:pPr>
              <w:jc w:val="center"/>
            </w:pPr>
            <w:r>
              <w:rPr>
                <w:rFonts w:ascii="Corbel" w:cs="Corbel" w:eastAsia="Corbel" w:hAnsi="Corbel"/>
                <w:b w:val="false"/>
                <w:bCs w:val="false"/>
                <w:i w:val="false"/>
                <w:iCs w:val="false"/>
                <w:color w:val="5A6B72"/>
                <w:sz w:val="14"/>
                <w:szCs w:val="14"/>
              </w:rPr>
              <w:t xml:space="preserve">nettoyer les données</w:t>
            </w:r>
          </w:p>
        </w:tc>
        <w:tc>
          <w:tcPr>
            <w:tcW w:type="dxa" w:w="1650"/>
            <w:tcBorders>
              <w:top w:val="single" w:color="D3DEDF" w:sz="4"/>
              <w:left w:val="single" w:color="D3DEDF" w:sz="4"/>
              <w:bottom w:val="single" w:color="D3DEDF" w:sz="4"/>
              <w:right w:val="single" w:color="D3DEDF" w:sz="4"/>
            </w:tcBorders>
            <w:shd w:fill="EAF3F5" w:color="auto" w:val="clear"/>
            <w:tcMar>
              <w:top w:type="dxa" w:w="110"/>
              <w:left w:type="dxa" w:w="70"/>
              <w:bottom w:type="dxa" w:w="110"/>
              <w:right w:type="dxa" w:w="70"/>
            </w:tcMar>
            <w:vAlign w:val="center"/>
          </w:tcPr>
          <w:p>
            <w:pPr>
              <w:jc w:val="center"/>
            </w:pPr>
            <w:r>
              <w:rPr>
                <w:rFonts w:ascii="Corbel" w:cs="Corbel" w:eastAsia="Corbel" w:hAnsi="Corbel"/>
                <w:b/>
                <w:bCs/>
                <w:i w:val="false"/>
                <w:iCs w:val="false"/>
                <w:color w:val="0E5A66"/>
                <w:sz w:val="16"/>
                <w:szCs w:val="16"/>
              </w:rPr>
              <w:t xml:space="preserve">2</w:t>
            </w:r>
          </w:p>
          <w:p>
            <w:pPr>
              <w:jc w:val="center"/>
            </w:pPr>
            <w:r>
              <w:rPr>
                <w:rFonts w:ascii="Corbel" w:cs="Corbel" w:eastAsia="Corbel" w:hAnsi="Corbel"/>
                <w:b/>
                <w:bCs/>
                <w:i w:val="false"/>
                <w:iCs w:val="false"/>
                <w:color w:val="2B3538"/>
                <w:sz w:val="17"/>
                <w:szCs w:val="17"/>
              </w:rPr>
              <w:t xml:space="preserve">Comprendre</w:t>
            </w:r>
          </w:p>
          <w:p>
            <w:pPr>
              <w:jc w:val="center"/>
            </w:pPr>
            <w:r>
              <w:rPr>
                <w:rFonts w:ascii="Corbel" w:cs="Corbel" w:eastAsia="Corbel" w:hAnsi="Corbel"/>
                <w:b w:val="false"/>
                <w:bCs w:val="false"/>
                <w:i w:val="false"/>
                <w:iCs w:val="false"/>
                <w:color w:val="5A6B72"/>
                <w:sz w:val="14"/>
                <w:szCs w:val="14"/>
              </w:rPr>
              <w:t xml:space="preserve">lire les indicateurs</w:t>
            </w:r>
          </w:p>
        </w:tc>
        <w:tc>
          <w:tcPr>
            <w:tcW w:type="dxa" w:w="1650"/>
            <w:tcBorders>
              <w:top w:val="single" w:color="D3DEDF" w:sz="4"/>
              <w:left w:val="single" w:color="D3DEDF" w:sz="4"/>
              <w:bottom w:val="single" w:color="D3DEDF" w:sz="4"/>
              <w:right w:val="single" w:color="D3DEDF" w:sz="4"/>
            </w:tcBorders>
            <w:shd w:fill="F2F5F5" w:color="auto" w:val="clear"/>
            <w:tcMar>
              <w:top w:type="dxa" w:w="110"/>
              <w:left w:type="dxa" w:w="70"/>
              <w:bottom w:type="dxa" w:w="110"/>
              <w:right w:type="dxa" w:w="70"/>
            </w:tcMar>
            <w:vAlign w:val="center"/>
          </w:tcPr>
          <w:p>
            <w:pPr>
              <w:jc w:val="center"/>
            </w:pPr>
            <w:r>
              <w:rPr>
                <w:rFonts w:ascii="Corbel" w:cs="Corbel" w:eastAsia="Corbel" w:hAnsi="Corbel"/>
                <w:b/>
                <w:bCs/>
                <w:i w:val="false"/>
                <w:iCs w:val="false"/>
                <w:color w:val="0E5A66"/>
                <w:sz w:val="16"/>
                <w:szCs w:val="16"/>
              </w:rPr>
              <w:t xml:space="preserve">3</w:t>
            </w:r>
          </w:p>
          <w:p>
            <w:pPr>
              <w:jc w:val="center"/>
            </w:pPr>
            <w:r>
              <w:rPr>
                <w:rFonts w:ascii="Corbel" w:cs="Corbel" w:eastAsia="Corbel" w:hAnsi="Corbel"/>
                <w:b/>
                <w:bCs/>
                <w:i w:val="false"/>
                <w:iCs w:val="false"/>
                <w:color w:val="2B3538"/>
                <w:sz w:val="17"/>
                <w:szCs w:val="17"/>
              </w:rPr>
              <w:t xml:space="preserve">Structurer</w:t>
            </w:r>
          </w:p>
          <w:p>
            <w:pPr>
              <w:jc w:val="center"/>
            </w:pPr>
            <w:r>
              <w:rPr>
                <w:rFonts w:ascii="Corbel" w:cs="Corbel" w:eastAsia="Corbel" w:hAnsi="Corbel"/>
                <w:b w:val="false"/>
                <w:bCs w:val="false"/>
                <w:i w:val="false"/>
                <w:iCs w:val="false"/>
                <w:color w:val="5A6B72"/>
                <w:sz w:val="14"/>
                <w:szCs w:val="14"/>
              </w:rPr>
              <w:t xml:space="preserve">45 → 6 dimensions</w:t>
            </w:r>
          </w:p>
        </w:tc>
        <w:tc>
          <w:tcPr>
            <w:tcW w:type="dxa" w:w="1650"/>
            <w:tcBorders>
              <w:top w:val="single" w:color="D3DEDF" w:sz="4"/>
              <w:left w:val="single" w:color="D3DEDF" w:sz="4"/>
              <w:bottom w:val="single" w:color="D3DEDF" w:sz="4"/>
              <w:right w:val="single" w:color="D3DEDF" w:sz="4"/>
            </w:tcBorders>
            <w:shd w:fill="EAF3F5" w:color="auto" w:val="clear"/>
            <w:tcMar>
              <w:top w:type="dxa" w:w="110"/>
              <w:left w:type="dxa" w:w="70"/>
              <w:bottom w:type="dxa" w:w="110"/>
              <w:right w:type="dxa" w:w="70"/>
            </w:tcMar>
            <w:vAlign w:val="center"/>
          </w:tcPr>
          <w:p>
            <w:pPr>
              <w:jc w:val="center"/>
            </w:pPr>
            <w:r>
              <w:rPr>
                <w:rFonts w:ascii="Corbel" w:cs="Corbel" w:eastAsia="Corbel" w:hAnsi="Corbel"/>
                <w:b/>
                <w:bCs/>
                <w:i w:val="false"/>
                <w:iCs w:val="false"/>
                <w:color w:val="0E5A66"/>
                <w:sz w:val="16"/>
                <w:szCs w:val="16"/>
              </w:rPr>
              <w:t xml:space="preserve">4</w:t>
            </w:r>
          </w:p>
          <w:p>
            <w:pPr>
              <w:jc w:val="center"/>
            </w:pPr>
            <w:r>
              <w:rPr>
                <w:rFonts w:ascii="Corbel" w:cs="Corbel" w:eastAsia="Corbel" w:hAnsi="Corbel"/>
                <w:b/>
                <w:bCs/>
                <w:i w:val="false"/>
                <w:iCs w:val="false"/>
                <w:color w:val="2B3538"/>
                <w:sz w:val="17"/>
                <w:szCs w:val="17"/>
              </w:rPr>
              <w:t xml:space="preserve">Enrichir</w:t>
            </w:r>
          </w:p>
          <w:p>
            <w:pPr>
              <w:jc w:val="center"/>
            </w:pPr>
            <w:r>
              <w:rPr>
                <w:rFonts w:ascii="Corbel" w:cs="Corbel" w:eastAsia="Corbel" w:hAnsi="Corbel"/>
                <w:b w:val="false"/>
                <w:bCs w:val="false"/>
                <w:i w:val="false"/>
                <w:iCs w:val="false"/>
                <w:color w:val="5A6B72"/>
                <w:sz w:val="14"/>
                <w:szCs w:val="14"/>
              </w:rPr>
              <w:t xml:space="preserve">créer les variables</w:t>
            </w:r>
          </w:p>
        </w:tc>
        <w:tc>
          <w:tcPr>
            <w:tcW w:type="dxa" w:w="1650"/>
            <w:tcBorders>
              <w:top w:val="single" w:color="D3DEDF" w:sz="4"/>
              <w:left w:val="single" w:color="D3DEDF" w:sz="4"/>
              <w:bottom w:val="single" w:color="D3DEDF" w:sz="4"/>
              <w:right w:val="single" w:color="D3DEDF" w:sz="4"/>
            </w:tcBorders>
            <w:shd w:fill="F2F5F5" w:color="auto" w:val="clear"/>
            <w:tcMar>
              <w:top w:type="dxa" w:w="110"/>
              <w:left w:type="dxa" w:w="70"/>
              <w:bottom w:type="dxa" w:w="110"/>
              <w:right w:type="dxa" w:w="70"/>
            </w:tcMar>
            <w:vAlign w:val="center"/>
          </w:tcPr>
          <w:p>
            <w:pPr>
              <w:jc w:val="center"/>
            </w:pPr>
            <w:r>
              <w:rPr>
                <w:rFonts w:ascii="Corbel" w:cs="Corbel" w:eastAsia="Corbel" w:hAnsi="Corbel"/>
                <w:b/>
                <w:bCs/>
                <w:i w:val="false"/>
                <w:iCs w:val="false"/>
                <w:color w:val="0E5A66"/>
                <w:sz w:val="16"/>
                <w:szCs w:val="16"/>
              </w:rPr>
              <w:t xml:space="preserve">5</w:t>
            </w:r>
          </w:p>
          <w:p>
            <w:pPr>
              <w:jc w:val="center"/>
            </w:pPr>
            <w:r>
              <w:rPr>
                <w:rFonts w:ascii="Corbel" w:cs="Corbel" w:eastAsia="Corbel" w:hAnsi="Corbel"/>
                <w:b/>
                <w:bCs/>
                <w:i w:val="false"/>
                <w:iCs w:val="false"/>
                <w:color w:val="2B3538"/>
                <w:sz w:val="17"/>
                <w:szCs w:val="17"/>
              </w:rPr>
              <w:t xml:space="preserve">Analyser</w:t>
            </w:r>
          </w:p>
          <w:p>
            <w:pPr>
              <w:jc w:val="center"/>
            </w:pPr>
            <w:r>
              <w:rPr>
                <w:rFonts w:ascii="Corbel" w:cs="Corbel" w:eastAsia="Corbel" w:hAnsi="Corbel"/>
                <w:b w:val="false"/>
                <w:bCs w:val="false"/>
                <w:i w:val="false"/>
                <w:iCs w:val="false"/>
                <w:color w:val="5A6B72"/>
                <w:sz w:val="14"/>
                <w:szCs w:val="14"/>
              </w:rPr>
              <w:t xml:space="preserve">saison / équipe / joueur</w:t>
            </w:r>
          </w:p>
        </w:tc>
        <w:tc>
          <w:tcPr>
            <w:tcW w:type="dxa" w:w="1650"/>
            <w:tcBorders>
              <w:top w:val="single" w:color="D3DEDF" w:sz="4"/>
              <w:left w:val="single" w:color="D3DEDF" w:sz="4"/>
              <w:bottom w:val="single" w:color="D3DEDF" w:sz="4"/>
              <w:right w:val="single" w:color="D3DEDF" w:sz="4"/>
            </w:tcBorders>
            <w:shd w:fill="EAF3F5" w:color="auto" w:val="clear"/>
            <w:tcMar>
              <w:top w:type="dxa" w:w="110"/>
              <w:left w:type="dxa" w:w="70"/>
              <w:bottom w:type="dxa" w:w="110"/>
              <w:right w:type="dxa" w:w="70"/>
            </w:tcMar>
            <w:vAlign w:val="center"/>
          </w:tcPr>
          <w:p>
            <w:pPr>
              <w:jc w:val="center"/>
            </w:pPr>
            <w:r>
              <w:rPr>
                <w:rFonts w:ascii="Corbel" w:cs="Corbel" w:eastAsia="Corbel" w:hAnsi="Corbel"/>
                <w:b/>
                <w:bCs/>
                <w:i w:val="false"/>
                <w:iCs w:val="false"/>
                <w:color w:val="0E5A66"/>
                <w:sz w:val="16"/>
                <w:szCs w:val="16"/>
              </w:rPr>
              <w:t xml:space="preserve">6</w:t>
            </w:r>
          </w:p>
          <w:p>
            <w:pPr>
              <w:jc w:val="center"/>
            </w:pPr>
            <w:r>
              <w:rPr>
                <w:rFonts w:ascii="Corbel" w:cs="Corbel" w:eastAsia="Corbel" w:hAnsi="Corbel"/>
                <w:b/>
                <w:bCs/>
                <w:i w:val="false"/>
                <w:iCs w:val="false"/>
                <w:color w:val="2B3538"/>
                <w:sz w:val="17"/>
                <w:szCs w:val="17"/>
              </w:rPr>
              <w:t xml:space="preserve">Recommander</w:t>
            </w:r>
          </w:p>
          <w:p>
            <w:pPr>
              <w:jc w:val="center"/>
            </w:pPr>
            <w:r>
              <w:rPr>
                <w:rFonts w:ascii="Corbel" w:cs="Corbel" w:eastAsia="Corbel" w:hAnsi="Corbel"/>
                <w:b w:val="false"/>
                <w:bCs w:val="false"/>
                <w:i w:val="false"/>
                <w:iCs w:val="false"/>
                <w:color w:val="5A6B72"/>
                <w:sz w:val="14"/>
                <w:szCs w:val="14"/>
              </w:rPr>
              <w:t xml:space="preserve">constats → décisions</w:t>
            </w:r>
          </w:p>
        </w:tc>
      </w:tr>
    </w:tbl>
    <w:p>
      <w:pPr>
        <w:pBdr>
          <w:bottom w:val="single" w:color="0E5A66" w:sz="8"/>
        </w:pBdr>
        <w:spacing w:after="120" w:before="260"/>
      </w:pPr>
      <w:r>
        <w:rPr>
          <w:rFonts w:ascii="Corbel" w:cs="Corbel" w:eastAsia="Corbel" w:hAnsi="Corbel"/>
          <w:b/>
          <w:bCs/>
          <w:i w:val="false"/>
          <w:iCs w:val="false"/>
          <w:color w:val="0E5A66"/>
          <w:sz w:val="26"/>
          <w:szCs w:val="26"/>
        </w:rPr>
        <w:t xml:space="preserve">4. </w:t>
      </w:r>
      <w:r>
        <w:rPr>
          <w:rFonts w:ascii="Corbel" w:cs="Corbel" w:eastAsia="Corbel" w:hAnsi="Corbel"/>
          <w:b/>
          <w:bCs/>
          <w:i w:val="false"/>
          <w:iCs w:val="false"/>
          <w:color w:val="0E5A66"/>
          <w:sz w:val="26"/>
          <w:szCs w:val="26"/>
        </w:rPr>
        <w:t xml:space="preserve">Méthode d’analyse construite</w:t>
      </w:r>
    </w:p>
    <w:p>
      <w:pPr>
        <w:spacing w:after="60"/>
      </w:pPr>
      <w:r>
        <w:rPr>
          <w:rFonts w:ascii="Corbel" w:cs="Corbel" w:eastAsia="Corbel" w:hAnsi="Corbel"/>
          <w:b/>
          <w:bCs/>
          <w:i w:val="false"/>
          <w:iCs w:val="false"/>
          <w:color w:val="2B3538"/>
          <w:sz w:val="20"/>
          <w:szCs w:val="20"/>
        </w:rPr>
        <w:t xml:space="preserve">Le projet repose sur une lecture croisée :</w:t>
      </w:r>
    </w:p>
    <w:p>
      <w:pPr>
        <w:spacing w:after="60"/>
        <w:ind w:left="240"/>
      </w:pPr>
      <w:r>
        <w:rPr>
          <w:rFonts w:ascii="Corbel" w:cs="Corbel" w:eastAsia="Corbel" w:hAnsi="Corbel"/>
          <w:b/>
          <w:bCs/>
          <w:i w:val="false"/>
          <w:iCs w:val="false"/>
          <w:color w:val="0E5A66"/>
          <w:sz w:val="20"/>
          <w:szCs w:val="20"/>
        </w:rPr>
        <w:t xml:space="preserve">—  </w:t>
      </w:r>
      <w:r>
        <w:rPr>
          <w:rFonts w:ascii="Corbel" w:cs="Corbel" w:eastAsia="Corbel" w:hAnsi="Corbel"/>
          <w:b/>
          <w:bCs/>
          <w:i w:val="false"/>
          <w:iCs w:val="false"/>
          <w:color w:val="2B3538"/>
          <w:sz w:val="19"/>
          <w:szCs w:val="19"/>
        </w:rPr>
        <w:t xml:space="preserve">6 dimensions de performance : </w:t>
      </w:r>
      <w:r>
        <w:rPr>
          <w:rFonts w:ascii="Corbel" w:cs="Corbel" w:eastAsia="Corbel" w:hAnsi="Corbel"/>
          <w:b w:val="false"/>
          <w:bCs w:val="false"/>
          <w:i w:val="false"/>
          <w:iCs w:val="false"/>
          <w:color w:val="2B3538"/>
          <w:sz w:val="19"/>
          <w:szCs w:val="19"/>
        </w:rPr>
        <w:t xml:space="preserve">scoring, défense, rebonds, création de jeu, contexte et impact global.</w:t>
      </w:r>
    </w:p>
    <w:p>
      <w:pPr>
        <w:spacing w:after="60"/>
        <w:ind w:left="240"/>
      </w:pPr>
      <w:r>
        <w:rPr>
          <w:rFonts w:ascii="Corbel" w:cs="Corbel" w:eastAsia="Corbel" w:hAnsi="Corbel"/>
          <w:b/>
          <w:bCs/>
          <w:i w:val="false"/>
          <w:iCs w:val="false"/>
          <w:color w:val="0E5A66"/>
          <w:sz w:val="20"/>
          <w:szCs w:val="20"/>
        </w:rPr>
        <w:t xml:space="preserve">—  </w:t>
      </w:r>
      <w:r>
        <w:rPr>
          <w:rFonts w:ascii="Corbel" w:cs="Corbel" w:eastAsia="Corbel" w:hAnsi="Corbel"/>
          <w:b/>
          <w:bCs/>
          <w:i w:val="false"/>
          <w:iCs w:val="false"/>
          <w:color w:val="2B3538"/>
          <w:sz w:val="19"/>
          <w:szCs w:val="19"/>
        </w:rPr>
        <w:t xml:space="preserve">3 niveaux d’analyse : </w:t>
      </w:r>
      <w:r>
        <w:rPr>
          <w:rFonts w:ascii="Corbel" w:cs="Corbel" w:eastAsia="Corbel" w:hAnsi="Corbel"/>
          <w:b w:val="false"/>
          <w:bCs w:val="false"/>
          <w:i w:val="false"/>
          <w:iCs w:val="false"/>
          <w:color w:val="2B3538"/>
          <w:sz w:val="19"/>
          <w:szCs w:val="19"/>
        </w:rPr>
        <w:t xml:space="preserve">saison (macro), équipe (méso) et joueur (micro).</w:t>
      </w:r>
    </w:p>
    <w:p>
      <w:pPr>
        <w:spacing w:after="60"/>
        <w:ind w:left="240"/>
      </w:pPr>
      <w:r>
        <w:rPr>
          <w:rFonts w:ascii="Corbel" w:cs="Corbel" w:eastAsia="Corbel" w:hAnsi="Corbel"/>
          <w:b/>
          <w:bCs/>
          <w:i w:val="false"/>
          <w:iCs w:val="false"/>
          <w:color w:val="0E5A66"/>
          <w:sz w:val="20"/>
          <w:szCs w:val="20"/>
        </w:rPr>
        <w:t xml:space="preserve">—  </w:t>
      </w:r>
      <w:r>
        <w:rPr>
          <w:rFonts w:ascii="Corbel" w:cs="Corbel" w:eastAsia="Corbel" w:hAnsi="Corbel"/>
          <w:b/>
          <w:bCs/>
          <w:i w:val="false"/>
          <w:iCs w:val="false"/>
          <w:color w:val="2B3538"/>
          <w:sz w:val="19"/>
          <w:szCs w:val="19"/>
        </w:rPr>
        <w:t xml:space="preserve">Des benchmarks : </w:t>
      </w:r>
      <w:r>
        <w:rPr>
          <w:rFonts w:ascii="Corbel" w:cs="Corbel" w:eastAsia="Corbel" w:hAnsi="Corbel"/>
          <w:b w:val="false"/>
          <w:bCs w:val="false"/>
          <w:i w:val="false"/>
          <w:iCs w:val="false"/>
          <w:color w:val="2B3538"/>
          <w:sz w:val="19"/>
          <w:szCs w:val="19"/>
        </w:rPr>
        <w:t xml:space="preserve">pour situer une performance comme faible, moyenne ou élite.</w:t>
      </w:r>
    </w:p>
    <w:p>
      <w:pPr>
        <w:spacing w:after="60" w:before="140"/>
      </w:pPr>
      <w:r>
        <w:rPr>
          <w:rFonts w:ascii="Corbel" w:cs="Corbel" w:eastAsia="Corbel" w:hAnsi="Corbel"/>
          <w:b/>
          <w:bCs/>
          <w:i w:val="false"/>
          <w:iCs w:val="false"/>
          <w:color w:val="0E5A66"/>
          <w:sz w:val="18"/>
          <w:szCs w:val="18"/>
        </w:rPr>
        <w:t xml:space="preserve">Le cadre 6 × 3 — du diagnostic global à la décision ciblée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500"/>
        <w:gridCol w:w="2500"/>
      </w:tblGrid>
      <w:tr>
        <w:tc>
          <w:tcPr>
            <w:tcW w:type="dxa" w:w="24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Dimension</w:t>
            </w:r>
          </w:p>
        </w:tc>
        <w:tc>
          <w:tcPr>
            <w:tcW w:type="dxa" w:w="25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Saison</w:t>
            </w:r>
          </w:p>
        </w:tc>
        <w:tc>
          <w:tcPr>
            <w:tcW w:type="dxa" w:w="25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Équipe</w:t>
            </w:r>
          </w:p>
        </w:tc>
        <w:tc>
          <w:tcPr>
            <w:tcW w:type="dxa" w:w="25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Joueur</w:t>
            </w:r>
          </w:p>
        </w:tc>
      </w:tr>
      <w:tr>
        <w:tc>
          <w:tcPr>
            <w:tcW w:type="dxa" w:w="24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Scoring</w:t>
            </w:r>
          </w:p>
        </w:tc>
        <w:tc>
          <w:tcPr>
            <w:tcW w:type="dxa" w:w="25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pPr>
              <w:jc w:val="center"/>
            </w:pPr>
            <w:r>
              <w:rPr>
                <w:rFonts w:ascii="Corbel" w:cs="Corbel" w:eastAsia="Corbel" w:hAnsi="Corbel"/>
                <w:b/>
                <w:bCs/>
                <w:i w:val="false"/>
                <w:iCs w:val="false"/>
                <w:color w:val="FFFFFF"/>
                <w:sz w:val="17"/>
                <w:szCs w:val="17"/>
              </w:rPr>
              <w:t xml:space="preserve">Fort</w:t>
            </w:r>
          </w:p>
        </w:tc>
        <w:tc>
          <w:tcPr>
            <w:tcW w:type="dxa" w:w="25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pPr>
              <w:jc w:val="center"/>
            </w:pPr>
            <w:r>
              <w:rPr>
                <w:rFonts w:ascii="Corbel" w:cs="Corbel" w:eastAsia="Corbel" w:hAnsi="Corbel"/>
                <w:b w:val="false"/>
                <w:bCs w:val="false"/>
                <w:i/>
                <w:iCs/>
                <w:color w:val="5A6B72"/>
                <w:sz w:val="17"/>
                <w:szCs w:val="17"/>
              </w:rPr>
              <w:t xml:space="preserve">à développer</w:t>
            </w:r>
          </w:p>
        </w:tc>
        <w:tc>
          <w:tcPr>
            <w:tcW w:type="dxa" w:w="25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pPr>
              <w:jc w:val="center"/>
            </w:pPr>
            <w:r>
              <w:rPr>
                <w:rFonts w:ascii="Corbel" w:cs="Corbel" w:eastAsia="Corbel" w:hAnsi="Corbel"/>
                <w:b w:val="false"/>
                <w:bCs w:val="false"/>
                <w:i/>
                <w:iCs/>
                <w:color w:val="5A6B72"/>
                <w:sz w:val="17"/>
                <w:szCs w:val="17"/>
              </w:rPr>
              <w:t xml:space="preserve">à développer</w:t>
            </w:r>
          </w:p>
        </w:tc>
      </w:tr>
      <w:tr>
        <w:tc>
          <w:tcPr>
            <w:tcW w:type="dxa" w:w="24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Défense</w:t>
            </w:r>
          </w:p>
        </w:tc>
        <w:tc>
          <w:tcPr>
            <w:tcW w:type="dxa" w:w="2500"/>
            <w:tcBorders>
              <w:top w:val="single" w:color="D3DEDF" w:sz="4"/>
              <w:left w:val="single" w:color="D3DEDF" w:sz="4"/>
              <w:bottom w:val="single" w:color="D3DEDF" w:sz="4"/>
              <w:right w:val="single" w:color="D3DEDF" w:sz="4"/>
            </w:tcBorders>
            <w:shd w:fill="CFE3E6" w:color="auto" w:val="clear"/>
            <w:tcMar>
              <w:top w:type="dxa" w:w="90"/>
              <w:left w:type="dxa" w:w="130"/>
              <w:bottom w:type="dxa" w:w="90"/>
              <w:right w:type="dxa" w:w="130"/>
            </w:tcMar>
            <w:vAlign w:val="center"/>
          </w:tcPr>
          <w:p>
            <w:pPr>
              <w:jc w:val="center"/>
            </w:pPr>
            <w:r>
              <w:rPr>
                <w:rFonts w:ascii="Corbel" w:cs="Corbel" w:eastAsia="Corbel" w:hAnsi="Corbel"/>
                <w:b/>
                <w:bCs/>
                <w:i w:val="false"/>
                <w:iCs w:val="false"/>
                <w:color w:val="0E5A66"/>
                <w:sz w:val="17"/>
                <w:szCs w:val="17"/>
              </w:rPr>
              <w:t xml:space="preserve">Correct</w:t>
            </w:r>
          </w:p>
        </w:tc>
        <w:tc>
          <w:tcPr>
            <w:tcW w:type="dxa" w:w="25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pPr>
              <w:jc w:val="center"/>
            </w:pPr>
            <w:r>
              <w:rPr>
                <w:rFonts w:ascii="Corbel" w:cs="Corbel" w:eastAsia="Corbel" w:hAnsi="Corbel"/>
                <w:b w:val="false"/>
                <w:bCs w:val="false"/>
                <w:i/>
                <w:iCs/>
                <w:color w:val="5A6B72"/>
                <w:sz w:val="17"/>
                <w:szCs w:val="17"/>
              </w:rPr>
              <w:t xml:space="preserve">à développer</w:t>
            </w:r>
          </w:p>
        </w:tc>
        <w:tc>
          <w:tcPr>
            <w:tcW w:type="dxa" w:w="25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pPr>
              <w:jc w:val="center"/>
            </w:pPr>
            <w:r>
              <w:rPr>
                <w:rFonts w:ascii="Corbel" w:cs="Corbel" w:eastAsia="Corbel" w:hAnsi="Corbel"/>
                <w:b w:val="false"/>
                <w:bCs w:val="false"/>
                <w:i/>
                <w:iCs/>
                <w:color w:val="5A6B72"/>
                <w:sz w:val="17"/>
                <w:szCs w:val="17"/>
              </w:rPr>
              <w:t xml:space="preserve">à développer</w:t>
            </w:r>
          </w:p>
        </w:tc>
      </w:tr>
      <w:tr>
        <w:tc>
          <w:tcPr>
            <w:tcW w:type="dxa" w:w="24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Rebonds</w:t>
            </w:r>
          </w:p>
        </w:tc>
        <w:tc>
          <w:tcPr>
            <w:tcW w:type="dxa" w:w="25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pPr>
              <w:jc w:val="center"/>
            </w:pPr>
            <w:r>
              <w:rPr>
                <w:rFonts w:ascii="Corbel" w:cs="Corbel" w:eastAsia="Corbel" w:hAnsi="Corbel"/>
                <w:b/>
                <w:bCs/>
                <w:i w:val="false"/>
                <w:iCs w:val="false"/>
                <w:color w:val="FFFFFF"/>
                <w:sz w:val="17"/>
                <w:szCs w:val="17"/>
              </w:rPr>
              <w:t xml:space="preserve">Fort</w:t>
            </w:r>
          </w:p>
        </w:tc>
        <w:tc>
          <w:tcPr>
            <w:tcW w:type="dxa" w:w="25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pPr>
              <w:jc w:val="center"/>
            </w:pPr>
            <w:r>
              <w:rPr>
                <w:rFonts w:ascii="Corbel" w:cs="Corbel" w:eastAsia="Corbel" w:hAnsi="Corbel"/>
                <w:b w:val="false"/>
                <w:bCs w:val="false"/>
                <w:i/>
                <w:iCs/>
                <w:color w:val="5A6B72"/>
                <w:sz w:val="17"/>
                <w:szCs w:val="17"/>
              </w:rPr>
              <w:t xml:space="preserve">à développer</w:t>
            </w:r>
          </w:p>
        </w:tc>
        <w:tc>
          <w:tcPr>
            <w:tcW w:type="dxa" w:w="25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pPr>
              <w:jc w:val="center"/>
            </w:pPr>
            <w:r>
              <w:rPr>
                <w:rFonts w:ascii="Corbel" w:cs="Corbel" w:eastAsia="Corbel" w:hAnsi="Corbel"/>
                <w:b w:val="false"/>
                <w:bCs w:val="false"/>
                <w:i/>
                <w:iCs/>
                <w:color w:val="5A6B72"/>
                <w:sz w:val="17"/>
                <w:szCs w:val="17"/>
              </w:rPr>
              <w:t xml:space="preserve">à développer</w:t>
            </w:r>
          </w:p>
        </w:tc>
      </w:tr>
      <w:tr>
        <w:tc>
          <w:tcPr>
            <w:tcW w:type="dxa" w:w="24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Création de jeu</w:t>
            </w:r>
          </w:p>
        </w:tc>
        <w:tc>
          <w:tcPr>
            <w:tcW w:type="dxa" w:w="25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pPr>
              <w:jc w:val="center"/>
            </w:pPr>
            <w:r>
              <w:rPr>
                <w:rFonts w:ascii="Corbel" w:cs="Corbel" w:eastAsia="Corbel" w:hAnsi="Corbel"/>
                <w:b/>
                <w:bCs/>
                <w:i w:val="false"/>
                <w:iCs w:val="false"/>
                <w:color w:val="5A6B72"/>
                <w:sz w:val="17"/>
                <w:szCs w:val="17"/>
              </w:rPr>
              <w:t xml:space="preserve">Faible</w:t>
            </w:r>
          </w:p>
        </w:tc>
        <w:tc>
          <w:tcPr>
            <w:tcW w:type="dxa" w:w="25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pPr>
              <w:jc w:val="center"/>
            </w:pPr>
            <w:r>
              <w:rPr>
                <w:rFonts w:ascii="Corbel" w:cs="Corbel" w:eastAsia="Corbel" w:hAnsi="Corbel"/>
                <w:b w:val="false"/>
                <w:bCs w:val="false"/>
                <w:i/>
                <w:iCs/>
                <w:color w:val="5A6B72"/>
                <w:sz w:val="17"/>
                <w:szCs w:val="17"/>
              </w:rPr>
              <w:t xml:space="preserve">à développer</w:t>
            </w:r>
          </w:p>
        </w:tc>
        <w:tc>
          <w:tcPr>
            <w:tcW w:type="dxa" w:w="25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pPr>
              <w:jc w:val="center"/>
            </w:pPr>
            <w:r>
              <w:rPr>
                <w:rFonts w:ascii="Corbel" w:cs="Corbel" w:eastAsia="Corbel" w:hAnsi="Corbel"/>
                <w:b w:val="false"/>
                <w:bCs w:val="false"/>
                <w:i/>
                <w:iCs/>
                <w:color w:val="5A6B72"/>
                <w:sz w:val="17"/>
                <w:szCs w:val="17"/>
              </w:rPr>
              <w:t xml:space="preserve">à développer</w:t>
            </w:r>
          </w:p>
        </w:tc>
      </w:tr>
      <w:tr>
        <w:tc>
          <w:tcPr>
            <w:tcW w:type="dxa" w:w="24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Contexte</w:t>
            </w:r>
          </w:p>
        </w:tc>
        <w:tc>
          <w:tcPr>
            <w:tcW w:type="dxa" w:w="2500"/>
            <w:tcBorders>
              <w:top w:val="single" w:color="D3DEDF" w:sz="4"/>
              <w:left w:val="single" w:color="D3DEDF" w:sz="4"/>
              <w:bottom w:val="single" w:color="D3DEDF" w:sz="4"/>
              <w:right w:val="single" w:color="D3DEDF" w:sz="4"/>
            </w:tcBorders>
            <w:shd w:fill="CFE3E6" w:color="auto" w:val="clear"/>
            <w:tcMar>
              <w:top w:type="dxa" w:w="90"/>
              <w:left w:type="dxa" w:w="130"/>
              <w:bottom w:type="dxa" w:w="90"/>
              <w:right w:type="dxa" w:w="130"/>
            </w:tcMar>
            <w:vAlign w:val="center"/>
          </w:tcPr>
          <w:p>
            <w:pPr>
              <w:jc w:val="center"/>
            </w:pPr>
            <w:r>
              <w:rPr>
                <w:rFonts w:ascii="Corbel" w:cs="Corbel" w:eastAsia="Corbel" w:hAnsi="Corbel"/>
                <w:b/>
                <w:bCs/>
                <w:i w:val="false"/>
                <w:iCs w:val="false"/>
                <w:color w:val="0E5A66"/>
                <w:sz w:val="17"/>
                <w:szCs w:val="17"/>
              </w:rPr>
              <w:t xml:space="preserve">Favorable</w:t>
            </w:r>
          </w:p>
        </w:tc>
        <w:tc>
          <w:tcPr>
            <w:tcW w:type="dxa" w:w="25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pPr>
              <w:jc w:val="center"/>
            </w:pPr>
            <w:r>
              <w:rPr>
                <w:rFonts w:ascii="Corbel" w:cs="Corbel" w:eastAsia="Corbel" w:hAnsi="Corbel"/>
                <w:b w:val="false"/>
                <w:bCs w:val="false"/>
                <w:i/>
                <w:iCs/>
                <w:color w:val="5A6B72"/>
                <w:sz w:val="17"/>
                <w:szCs w:val="17"/>
              </w:rPr>
              <w:t xml:space="preserve">à développer</w:t>
            </w:r>
          </w:p>
        </w:tc>
        <w:tc>
          <w:tcPr>
            <w:tcW w:type="dxa" w:w="25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pPr>
              <w:jc w:val="center"/>
            </w:pPr>
            <w:r>
              <w:rPr>
                <w:rFonts w:ascii="Corbel" w:cs="Corbel" w:eastAsia="Corbel" w:hAnsi="Corbel"/>
                <w:b w:val="false"/>
                <w:bCs w:val="false"/>
                <w:i/>
                <w:iCs/>
                <w:color w:val="5A6B72"/>
                <w:sz w:val="17"/>
                <w:szCs w:val="17"/>
              </w:rPr>
              <w:t xml:space="preserve">à développer</w:t>
            </w:r>
          </w:p>
        </w:tc>
      </w:tr>
      <w:tr>
        <w:tc>
          <w:tcPr>
            <w:tcW w:type="dxa" w:w="24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Impact global</w:t>
            </w:r>
          </w:p>
        </w:tc>
        <w:tc>
          <w:tcPr>
            <w:tcW w:type="dxa" w:w="25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pPr>
              <w:jc w:val="center"/>
            </w:pPr>
            <w:r>
              <w:rPr>
                <w:rFonts w:ascii="Corbel" w:cs="Corbel" w:eastAsia="Corbel" w:hAnsi="Corbel"/>
                <w:b/>
                <w:bCs/>
                <w:i w:val="false"/>
                <w:iCs w:val="false"/>
                <w:color w:val="FFFFFF"/>
                <w:sz w:val="17"/>
                <w:szCs w:val="17"/>
              </w:rPr>
              <w:t xml:space="preserve">Élite</w:t>
            </w:r>
          </w:p>
        </w:tc>
        <w:tc>
          <w:tcPr>
            <w:tcW w:type="dxa" w:w="25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pPr>
              <w:jc w:val="center"/>
            </w:pPr>
            <w:r>
              <w:rPr>
                <w:rFonts w:ascii="Corbel" w:cs="Corbel" w:eastAsia="Corbel" w:hAnsi="Corbel"/>
                <w:b w:val="false"/>
                <w:bCs w:val="false"/>
                <w:i/>
                <w:iCs/>
                <w:color w:val="5A6B72"/>
                <w:sz w:val="17"/>
                <w:szCs w:val="17"/>
              </w:rPr>
              <w:t xml:space="preserve">à développer</w:t>
            </w:r>
          </w:p>
        </w:tc>
        <w:tc>
          <w:tcPr>
            <w:tcW w:type="dxa" w:w="25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pPr>
              <w:jc w:val="center"/>
            </w:pPr>
            <w:r>
              <w:rPr>
                <w:rFonts w:ascii="Corbel" w:cs="Corbel" w:eastAsia="Corbel" w:hAnsi="Corbel"/>
                <w:b w:val="false"/>
                <w:bCs w:val="false"/>
                <w:i/>
                <w:iCs/>
                <w:color w:val="5A6B72"/>
                <w:sz w:val="17"/>
                <w:szCs w:val="17"/>
              </w:rPr>
              <w:t xml:space="preserve">à développer</w:t>
            </w:r>
          </w:p>
        </w:tc>
      </w:tr>
    </w:tbl>
    <w:p>
      <w:pPr>
        <w:spacing w:after="0" w:before="70"/>
      </w:pPr>
      <w:r>
        <w:rPr>
          <w:rFonts w:ascii="Corbel" w:cs="Corbel" w:eastAsia="Corbel" w:hAnsi="Corbel"/>
          <w:b/>
          <w:bCs/>
          <w:i w:val="false"/>
          <w:iCs w:val="false"/>
          <w:color w:val="0E5A66"/>
          <w:sz w:val="15"/>
          <w:szCs w:val="15"/>
        </w:rPr>
        <w:t xml:space="preserve">Lecture — </w:t>
      </w:r>
      <w:r>
        <w:rPr>
          <w:rFonts w:ascii="Corbel" w:cs="Corbel" w:eastAsia="Corbel" w:hAnsi="Corbel"/>
          <w:b w:val="false"/>
          <w:bCs w:val="false"/>
          <w:i/>
          <w:iCs/>
          <w:color w:val="5A6B72"/>
          <w:sz w:val="15"/>
          <w:szCs w:val="15"/>
        </w:rPr>
        <w:t xml:space="preserve">niveau Saison complété (statut de Houston, le modèle de référence) ; niveaux Équipe et Joueur à développer.</w:t>
      </w:r>
    </w:p>
    <w:p>
      <w:pPr>
        <w:spacing w:after="20" w:before="220"/>
      </w:pPr>
      <w:r>
        <w:rPr>
          <w:rFonts w:ascii="Corbel" w:cs="Corbel" w:eastAsia="Corbel" w:hAnsi="Corbel"/>
          <w:b/>
          <w:bCs/>
          <w:i w:val="false"/>
          <w:iCs w:val="false"/>
          <w:color w:val="0E5A66"/>
          <w:sz w:val="20"/>
          <w:szCs w:val="20"/>
        </w:rPr>
        <w:t xml:space="preserve">Trois visualisations, trois lectures</w:t>
      </w:r>
    </w:p>
    <w:p>
      <w:pPr>
        <w:spacing w:after="120"/>
      </w:pPr>
      <w:r>
        <w:rPr>
          <w:rFonts w:ascii="Corbel" w:cs="Corbel" w:eastAsia="Corbel" w:hAnsi="Corbel"/>
          <w:b w:val="false"/>
          <w:bCs w:val="false"/>
          <w:i/>
          <w:iCs/>
          <w:color w:val="5A6B72"/>
          <w:sz w:val="18"/>
          <w:szCs w:val="18"/>
        </w:rPr>
        <w:t xml:space="preserve">Extraits de mon analyse Excel, chaque graphique répondant à une question métier.</w:t>
      </w:r>
    </w:p>
    <w:p>
      <w:pPr>
        <w:spacing w:after="20" w:before="60"/>
        <w:jc w:val="center"/>
      </w:pPr>
      <w:r>
        <w:drawing>
          <wp:inline distT="0" distB="0" distL="0" distR="0">
            <wp:extent cx="5715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00350"/>
                    </a:xfrm>
                    <a:prstGeom prst="rect">
                      <a:avLst/>
                    </a:prstGeom>
                  </pic:spPr>
                </pic:pic>
              </a:graphicData>
            </a:graphic>
          </wp:inline>
        </w:drawing>
      </w:r>
    </w:p>
    <w:p>
      <w:pPr>
        <w:spacing w:after="150"/>
        <w:jc w:val="center"/>
      </w:pPr>
      <w:r>
        <w:rPr>
          <w:rFonts w:ascii="Corbel" w:cs="Corbel" w:eastAsia="Corbel" w:hAnsi="Corbel"/>
          <w:b w:val="false"/>
          <w:bCs w:val="false"/>
          <w:i/>
          <w:iCs/>
          <w:color w:val="5A6B72"/>
          <w:sz w:val="17"/>
          <w:szCs w:val="17"/>
        </w:rPr>
        <w:t xml:space="preserve">Âge de l’effectif vs victoires — la performance se concentre autour de 26 ans : c’est ce qui fait de Houston, jeune et 4ᵉ, un cap réaliste.</w:t>
      </w:r>
    </w:p>
    <w:p>
      <w:pPr>
        <w:spacing w:after="20" w:before="60"/>
        <w:jc w:val="center"/>
      </w:pPr>
      <w:r>
        <w:drawing>
          <wp:inline distT="0" distB="0" distL="0" distR="0">
            <wp:extent cx="5715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00350"/>
                    </a:xfrm>
                    <a:prstGeom prst="rect">
                      <a:avLst/>
                    </a:prstGeom>
                  </pic:spPr>
                </pic:pic>
              </a:graphicData>
            </a:graphic>
          </wp:inline>
        </w:drawing>
      </w:r>
    </w:p>
    <w:p>
      <w:pPr>
        <w:spacing w:after="150"/>
        <w:jc w:val="center"/>
      </w:pPr>
      <w:r>
        <w:rPr>
          <w:rFonts w:ascii="Corbel" w:cs="Corbel" w:eastAsia="Corbel" w:hAnsi="Corbel"/>
          <w:b w:val="false"/>
          <w:bCs w:val="false"/>
          <w:i/>
          <w:iCs/>
          <w:color w:val="5A6B72"/>
          <w:sz w:val="17"/>
          <w:szCs w:val="17"/>
        </w:rPr>
        <w:t xml:space="preserve">Volume vs efficacité des 15 meilleurs scoreurs — rares sont ceux qui marquent beaucoup ET bien. Marquer ne suffit pas à gagner.</w:t>
      </w:r>
    </w:p>
    <w:p>
      <w:pPr>
        <w:spacing w:after="20" w:before="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76500"/>
                    </a:xfrm>
                    <a:prstGeom prst="rect">
                      <a:avLst/>
                    </a:prstGeom>
                  </pic:spPr>
                </pic:pic>
              </a:graphicData>
            </a:graphic>
          </wp:inline>
        </w:drawing>
      </w:r>
    </w:p>
    <w:p>
      <w:pPr>
        <w:spacing w:after="150"/>
        <w:jc w:val="center"/>
      </w:pPr>
      <w:r>
        <w:rPr>
          <w:rFonts w:ascii="Corbel" w:cs="Corbel" w:eastAsia="Corbel" w:hAnsi="Corbel"/>
          <w:b w:val="false"/>
          <w:bCs w:val="false"/>
          <w:i/>
          <w:iCs/>
          <w:color w:val="5A6B72"/>
          <w:sz w:val="17"/>
          <w:szCs w:val="17"/>
        </w:rPr>
        <w:t xml:space="preserve">Le profil de Houston sur les 6 axes — fort presque partout, dernier au jeu collectif (30ᵉ). La cohérence prime sur la polyvalence.</w:t>
      </w:r>
    </w:p>
    <w:p>
      <w:pPr>
        <w:pBdr>
          <w:bottom w:val="single" w:color="0E5A66" w:sz="8"/>
        </w:pBdr>
        <w:spacing w:after="40" w:before="260"/>
      </w:pPr>
      <w:r>
        <w:rPr>
          <w:rFonts w:ascii="Corbel" w:cs="Corbel" w:eastAsia="Corbel" w:hAnsi="Corbel"/>
          <w:b/>
          <w:bCs/>
          <w:i w:val="false"/>
          <w:iCs w:val="false"/>
          <w:color w:val="0E5A66"/>
          <w:sz w:val="26"/>
          <w:szCs w:val="26"/>
        </w:rPr>
        <w:t xml:space="preserve">5. </w:t>
      </w:r>
      <w:r>
        <w:rPr>
          <w:rFonts w:ascii="Corbel" w:cs="Corbel" w:eastAsia="Corbel" w:hAnsi="Corbel"/>
          <w:b/>
          <w:bCs/>
          <w:i w:val="false"/>
          <w:iCs w:val="false"/>
          <w:color w:val="0E5A66"/>
          <w:sz w:val="26"/>
          <w:szCs w:val="26"/>
        </w:rPr>
        <w:t xml:space="preserve">Ce que j’ai réalisé avec Excel</w:t>
      </w:r>
    </w:p>
    <w:p>
      <w:pPr>
        <w:spacing w:after="120"/>
      </w:pPr>
      <w:r>
        <w:rPr>
          <w:rFonts w:ascii="Corbel" w:cs="Corbel" w:eastAsia="Corbel" w:hAnsi="Corbel"/>
          <w:b w:val="false"/>
          <w:bCs w:val="false"/>
          <w:i/>
          <w:iCs/>
          <w:color w:val="5A6B72"/>
          <w:sz w:val="18"/>
          <w:szCs w:val="18"/>
        </w:rPr>
        <w:t xml:space="preserve">Compétences techniques observables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4144"/>
        <w:gridCol w:w="3256"/>
      </w:tblGrid>
      <w:tr>
        <w:tc>
          <w:tcPr>
            <w:tcW w:type="dxa" w:w="25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Catégorie</w:t>
            </w:r>
          </w:p>
        </w:tc>
        <w:tc>
          <w:tcPr>
            <w:tcW w:type="dxa" w:w="4144"/>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Actions réalisées</w:t>
            </w:r>
          </w:p>
        </w:tc>
        <w:tc>
          <w:tcPr>
            <w:tcW w:type="dxa" w:w="3256"/>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Fonctionnalités / outils</w:t>
            </w:r>
          </w:p>
        </w:tc>
      </w:tr>
      <w:tr>
        <w:tc>
          <w:tcPr>
            <w:tcW w:type="dxa" w:w="25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Inspection et nettoyage</w:t>
            </w:r>
          </w:p>
        </w:tc>
        <w:tc>
          <w:tcPr>
            <w:tcW w:type="dxa" w:w="4144"/>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Contrôle des incohérences, cellules vides, doublons, formats et éléments non structurés.</w:t>
            </w:r>
          </w:p>
        </w:tc>
        <w:tc>
          <w:tcPr>
            <w:tcW w:type="dxa" w:w="3256"/>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Tri, filtres, défusion, tableaux structurés</w:t>
            </w:r>
          </w:p>
        </w:tc>
      </w:tr>
      <w:tr>
        <w:tc>
          <w:tcPr>
            <w:tcW w:type="dxa" w:w="25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Compréhension métier</w:t>
            </w:r>
          </w:p>
        </w:tc>
        <w:tc>
          <w:tcPr>
            <w:tcW w:type="dxa" w:w="4144"/>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Analyse du dictionnaire et création d’un glossaire pour rendre les indicateurs compréhensibles.</w:t>
            </w:r>
          </w:p>
        </w:tc>
        <w:tc>
          <w:tcPr>
            <w:tcW w:type="dxa" w:w="3256"/>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Dictionnaire de données, documentation</w:t>
            </w:r>
          </w:p>
        </w:tc>
      </w:tr>
      <w:tr>
        <w:tc>
          <w:tcPr>
            <w:tcW w:type="dxa" w:w="25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Structuration</w:t>
            </w:r>
          </w:p>
        </w:tc>
        <w:tc>
          <w:tcPr>
            <w:tcW w:type="dxa" w:w="4144"/>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Classement des 45 variables en 6 dimensions et hiérarchisation des indicateurs prioritaires.</w:t>
            </w:r>
          </w:p>
        </w:tc>
        <w:tc>
          <w:tcPr>
            <w:tcW w:type="dxa" w:w="3256"/>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Onglets dédiés, tables de référence, KPI</w:t>
            </w:r>
          </w:p>
        </w:tc>
      </w:tr>
      <w:tr>
        <w:tc>
          <w:tcPr>
            <w:tcW w:type="dxa" w:w="25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Enrichissement</w:t>
            </w:r>
          </w:p>
        </w:tc>
        <w:tc>
          <w:tcPr>
            <w:tcW w:type="dxa" w:w="4144"/>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Création de variables calculées et ajout de données manquantes pour contextualiser.</w:t>
            </w:r>
          </w:p>
        </w:tc>
        <w:tc>
          <w:tcPr>
            <w:tcW w:type="dxa" w:w="3256"/>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RECHERCHEX, formules, champs calculés</w:t>
            </w:r>
          </w:p>
        </w:tc>
      </w:tr>
      <w:tr>
        <w:tc>
          <w:tcPr>
            <w:tcW w:type="dxa" w:w="25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Analyse descriptive</w:t>
            </w:r>
          </w:p>
        </w:tc>
        <w:tc>
          <w:tcPr>
            <w:tcW w:type="dxa" w:w="4144"/>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Calcul de références, seuils et comparaisons par équipe, poste et joueur.</w:t>
            </w:r>
          </w:p>
        </w:tc>
        <w:tc>
          <w:tcPr>
            <w:tcW w:type="dxa" w:w="3256"/>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MIN, MAX, MOYENNE, NB.SI, MOYENNE.SI</w:t>
            </w:r>
          </w:p>
        </w:tc>
      </w:tr>
      <w:tr>
        <w:tc>
          <w:tcPr>
            <w:tcW w:type="dxa" w:w="25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Analyse multidimensionnelle</w:t>
            </w:r>
          </w:p>
        </w:tc>
        <w:tc>
          <w:tcPr>
            <w:tcW w:type="dxa" w:w="4144"/>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Lecture macro / méso / micro et croisement de plusieurs indicateurs.</w:t>
            </w:r>
          </w:p>
        </w:tc>
        <w:tc>
          <w:tcPr>
            <w:tcW w:type="dxa" w:w="3256"/>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11 TCD, segments, champs calculés</w:t>
            </w:r>
          </w:p>
        </w:tc>
      </w:tr>
      <w:tr>
        <w:tc>
          <w:tcPr>
            <w:tcW w:type="dxa" w:w="25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Visualisation</w:t>
            </w:r>
          </w:p>
        </w:tc>
        <w:tc>
          <w:tcPr>
            <w:tcW w:type="dxa" w:w="4144"/>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Choix de graphiques adaptés aux questions posées et aux types de variables.</w:t>
            </w:r>
          </w:p>
        </w:tc>
        <w:tc>
          <w:tcPr>
            <w:tcW w:type="dxa" w:w="3256"/>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Histogrammes, nuages de points, combinés</w:t>
            </w:r>
          </w:p>
        </w:tc>
      </w:tr>
      <w:tr>
        <w:tc>
          <w:tcPr>
            <w:tcW w:type="dxa" w:w="25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Pilotage</w:t>
            </w:r>
          </w:p>
        </w:tc>
        <w:tc>
          <w:tcPr>
            <w:tcW w:type="dxa" w:w="4144"/>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Comparaison objectif / réalisé / benchmark et mise en évidence des écarts.</w:t>
            </w:r>
          </w:p>
        </w:tc>
        <w:tc>
          <w:tcPr>
            <w:tcW w:type="dxa" w:w="3256"/>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Mise en forme conditionnelle, seuils</w:t>
            </w:r>
          </w:p>
        </w:tc>
      </w:tr>
      <w:tr>
        <w:tc>
          <w:tcPr>
            <w:tcW w:type="dxa" w:w="25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Accessibilité</w:t>
            </w:r>
          </w:p>
        </w:tc>
        <w:tc>
          <w:tcPr>
            <w:tcW w:type="dxa" w:w="4144"/>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Rendre les supports lisibles sans explication orale, pour différents publics.</w:t>
            </w:r>
          </w:p>
        </w:tc>
        <w:tc>
          <w:tcPr>
            <w:tcW w:type="dxa" w:w="3256"/>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Contrastes, textes alternatifs, ordre de lecture</w:t>
            </w:r>
          </w:p>
        </w:tc>
      </w:tr>
      <w:tr>
        <w:tc>
          <w:tcPr>
            <w:tcW w:type="dxa" w:w="25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Restitution</w:t>
            </w:r>
          </w:p>
        </w:tc>
        <w:tc>
          <w:tcPr>
            <w:tcW w:type="dxa" w:w="4144"/>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Présenter les résultats et justifier les choix de graphiques et de recommandations.</w:t>
            </w:r>
          </w:p>
        </w:tc>
        <w:tc>
          <w:tcPr>
            <w:tcW w:type="dxa" w:w="3256"/>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PowerPoint, rapport PDF, soutenance</w:t>
            </w:r>
          </w:p>
        </w:tc>
      </w:tr>
    </w:tbl>
    <w:p>
      <w:pPr>
        <w:pBdr>
          <w:bottom w:val="single" w:color="0E5A66" w:sz="8"/>
        </w:pBdr>
        <w:spacing w:after="120" w:before="260"/>
      </w:pPr>
      <w:r>
        <w:rPr>
          <w:rFonts w:ascii="Corbel" w:cs="Corbel" w:eastAsia="Corbel" w:hAnsi="Corbel"/>
          <w:b/>
          <w:bCs/>
          <w:i w:val="false"/>
          <w:iCs w:val="false"/>
          <w:color w:val="0E5A66"/>
          <w:sz w:val="26"/>
          <w:szCs w:val="26"/>
        </w:rPr>
        <w:t xml:space="preserve">6. </w:t>
      </w:r>
      <w:r>
        <w:rPr>
          <w:rFonts w:ascii="Corbel" w:cs="Corbel" w:eastAsia="Corbel" w:hAnsi="Corbel"/>
          <w:b/>
          <w:bCs/>
          <w:i w:val="false"/>
          <w:iCs w:val="false"/>
          <w:color w:val="0E5A66"/>
          <w:sz w:val="26"/>
          <w:szCs w:val="26"/>
        </w:rPr>
        <w:t xml:space="preserve">Résultats, impact et recommandations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c>
          <w:tcPr>
            <w:tcW w:type="dxa" w:w="3300"/>
            <w:tcBorders>
              <w:top w:val="single" w:color="D3DEDF" w:sz="4"/>
              <w:left w:val="single" w:color="D3DEDF" w:sz="4"/>
              <w:bottom w:val="single" w:color="D3DEDF" w:sz="4"/>
              <w:right w:val="single" w:color="D3DEDF" w:sz="4"/>
            </w:tcBorders>
            <w:shd w:fill="EAF3F5" w:color="auto" w:val="clear"/>
            <w:tcMar>
              <w:top w:type="dxa" w:w="120"/>
              <w:left w:type="dxa" w:w="140"/>
              <w:bottom w:type="dxa" w:w="120"/>
              <w:right w:type="dxa" w:w="140"/>
            </w:tcMar>
            <w:vAlign w:val="top"/>
          </w:tcPr>
          <w:p>
            <w:r>
              <w:rPr>
                <w:rFonts w:ascii="Corbel" w:cs="Corbel" w:eastAsia="Corbel" w:hAnsi="Corbel"/>
                <w:b/>
                <w:bCs/>
                <w:i w:val="false"/>
                <w:iCs w:val="false"/>
                <w:color w:val="0E5A66"/>
                <w:sz w:val="18"/>
                <w:szCs w:val="18"/>
              </w:rPr>
              <w:t xml:space="preserve">Cadre de pilotage</w:t>
            </w:r>
          </w:p>
          <w:p>
            <w:r>
              <w:rPr>
                <w:rFonts w:ascii="Corbel" w:cs="Corbel" w:eastAsia="Corbel" w:hAnsi="Corbel"/>
                <w:b w:val="false"/>
                <w:bCs w:val="false"/>
                <w:i w:val="false"/>
                <w:iCs w:val="false"/>
                <w:color w:val="2B3538"/>
                <w:sz w:val="18"/>
                <w:szCs w:val="18"/>
              </w:rPr>
              <w:t xml:space="preserve">6 dimensions × 3 niveaux, avec benchmarks et seuils de performance.</w:t>
            </w:r>
          </w:p>
        </w:tc>
        <w:tc>
          <w:tcPr>
            <w:tcW w:type="dxa" w:w="3300"/>
            <w:tcBorders>
              <w:top w:val="single" w:color="D3DEDF" w:sz="4"/>
              <w:left w:val="single" w:color="D3DEDF" w:sz="4"/>
              <w:bottom w:val="single" w:color="D3DEDF" w:sz="4"/>
              <w:right w:val="single" w:color="D3DEDF" w:sz="4"/>
            </w:tcBorders>
            <w:shd w:fill="EAF3F5" w:color="auto" w:val="clear"/>
            <w:tcMar>
              <w:top w:type="dxa" w:w="120"/>
              <w:left w:type="dxa" w:w="140"/>
              <w:bottom w:type="dxa" w:w="120"/>
              <w:right w:type="dxa" w:w="140"/>
            </w:tcMar>
            <w:vAlign w:val="top"/>
          </w:tcPr>
          <w:p>
            <w:r>
              <w:rPr>
                <w:rFonts w:ascii="Corbel" w:cs="Corbel" w:eastAsia="Corbel" w:hAnsi="Corbel"/>
                <w:b/>
                <w:bCs/>
                <w:i w:val="false"/>
                <w:iCs w:val="false"/>
                <w:color w:val="0E5A66"/>
                <w:sz w:val="18"/>
                <w:szCs w:val="18"/>
              </w:rPr>
              <w:t xml:space="preserve">Preuves produites</w:t>
            </w:r>
          </w:p>
          <w:p>
            <w:r>
              <w:rPr>
                <w:rFonts w:ascii="Corbel" w:cs="Corbel" w:eastAsia="Corbel" w:hAnsi="Corbel"/>
                <w:b w:val="false"/>
                <w:bCs w:val="false"/>
                <w:i w:val="false"/>
                <w:iCs w:val="false"/>
                <w:color w:val="2B3538"/>
                <w:sz w:val="18"/>
                <w:szCs w:val="18"/>
              </w:rPr>
              <w:t xml:space="preserve">Rapport de 23 onglets, 11 TCD, dashboard, glossaire et soutenance.</w:t>
            </w:r>
          </w:p>
        </w:tc>
        <w:tc>
          <w:tcPr>
            <w:tcW w:type="dxa" w:w="3300"/>
            <w:tcBorders>
              <w:top w:val="single" w:color="D3DEDF" w:sz="4"/>
              <w:left w:val="single" w:color="D3DEDF" w:sz="4"/>
              <w:bottom w:val="single" w:color="D3DEDF" w:sz="4"/>
              <w:right w:val="single" w:color="D3DEDF" w:sz="4"/>
            </w:tcBorders>
            <w:shd w:fill="EAF3F5" w:color="auto" w:val="clear"/>
            <w:tcMar>
              <w:top w:type="dxa" w:w="120"/>
              <w:left w:type="dxa" w:w="140"/>
              <w:bottom w:type="dxa" w:w="120"/>
              <w:right w:type="dxa" w:w="140"/>
            </w:tcMar>
            <w:vAlign w:val="top"/>
          </w:tcPr>
          <w:p>
            <w:r>
              <w:rPr>
                <w:rFonts w:ascii="Corbel" w:cs="Corbel" w:eastAsia="Corbel" w:hAnsi="Corbel"/>
                <w:b/>
                <w:bCs/>
                <w:i w:val="false"/>
                <w:iCs w:val="false"/>
                <w:color w:val="0E5A66"/>
                <w:sz w:val="18"/>
                <w:szCs w:val="18"/>
              </w:rPr>
              <w:t xml:space="preserve">Décisions éclairées</w:t>
            </w:r>
          </w:p>
          <w:p>
            <w:r>
              <w:rPr>
                <w:rFonts w:ascii="Corbel" w:cs="Corbel" w:eastAsia="Corbel" w:hAnsi="Corbel"/>
                <w:b w:val="false"/>
                <w:bCs w:val="false"/>
                <w:i w:val="false"/>
                <w:iCs w:val="false"/>
                <w:color w:val="2B3538"/>
                <w:sz w:val="18"/>
                <w:szCs w:val="18"/>
              </w:rPr>
              <w:t xml:space="preserve">Recrutement, entraînement et style de jeu reliés aux constats.</w:t>
            </w:r>
          </w:p>
        </w:tc>
      </w:tr>
    </w:tbl>
    <w:p>
      <w:pPr>
        <w:spacing w:after="60" w:before="150"/>
      </w:pPr>
      <w:r>
        <w:rPr>
          <w:rFonts w:ascii="Corbel" w:cs="Corbel" w:eastAsia="Corbel" w:hAnsi="Corbel"/>
          <w:b/>
          <w:bCs/>
          <w:i w:val="false"/>
          <w:iCs w:val="false"/>
          <w:color w:val="0E5A66"/>
          <w:sz w:val="18"/>
          <w:szCs w:val="18"/>
        </w:rPr>
        <w:t xml:space="preserve">Du constat à la décision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300"/>
        <w:gridCol w:w="2300"/>
      </w:tblGrid>
      <w:tr>
        <w:tc>
          <w:tcPr>
            <w:tcW w:type="dxa" w:w="30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Constat</w:t>
            </w:r>
          </w:p>
        </w:tc>
        <w:tc>
          <w:tcPr>
            <w:tcW w:type="dxa" w:w="23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Entraînement</w:t>
            </w:r>
          </w:p>
        </w:tc>
        <w:tc>
          <w:tcPr>
            <w:tcW w:type="dxa" w:w="23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Recrutement</w:t>
            </w:r>
          </w:p>
        </w:tc>
        <w:tc>
          <w:tcPr>
            <w:tcW w:type="dxa" w:w="23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Style de jeu</w:t>
            </w:r>
          </w:p>
        </w:tc>
      </w:tr>
      <w:tr>
        <w:tc>
          <w:tcPr>
            <w:tcW w:type="dxa" w:w="30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Jeu collectif faible (30ᵉ/30)</w:t>
            </w:r>
          </w:p>
        </w:tc>
        <w:tc>
          <w:tcPr>
            <w:tcW w:type="dxa" w:w="23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Jeu sans ballon</w:t>
            </w:r>
          </w:p>
        </w:tc>
        <w:tc>
          <w:tcPr>
            <w:tcW w:type="dxa" w:w="23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Un meneur créateur</w:t>
            </w:r>
          </w:p>
        </w:tc>
        <w:tc>
          <w:tcPr>
            <w:tcW w:type="dxa" w:w="23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Assumer ou basculer</w:t>
            </w:r>
          </w:p>
        </w:tc>
      </w:tr>
      <w:tr>
        <w:tc>
          <w:tcPr>
            <w:tcW w:type="dxa" w:w="30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Trop de fautes (22ᵉ/30)</w:t>
            </w:r>
          </w:p>
        </w:tc>
        <w:tc>
          <w:tcPr>
            <w:tcW w:type="dxa" w:w="23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Discipline défensive</w:t>
            </w:r>
          </w:p>
        </w:tc>
        <w:tc>
          <w:tcPr>
            <w:tcW w:type="dxa" w:w="23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Un protecteur de cercle</w:t>
            </w:r>
          </w:p>
        </w:tc>
        <w:tc>
          <w:tcPr>
            <w:tcW w:type="dxa" w:w="23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Pression sur anticipation</w:t>
            </w:r>
          </w:p>
        </w:tc>
      </w:tr>
      <w:tr>
        <w:tc>
          <w:tcPr>
            <w:tcW w:type="dxa" w:w="30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Rebond défensif moyen (15ᵉ)</w:t>
            </w:r>
          </w:p>
        </w:tc>
        <w:tc>
          <w:tcPr>
            <w:tcW w:type="dxa" w:w="23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Box-out systématique</w:t>
            </w:r>
          </w:p>
        </w:tc>
        <w:tc>
          <w:tcPr>
            <w:tcW w:type="dxa" w:w="23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Préserver l’acquis</w:t>
            </w:r>
          </w:p>
        </w:tc>
        <w:tc>
          <w:tcPr>
            <w:tcW w:type="dxa" w:w="23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Assumer le rebond offensif</w:t>
            </w:r>
          </w:p>
        </w:tc>
      </w:tr>
    </w:tbl>
    <w:p>
      <w:pPr>
        <w:spacing w:before="15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D3DEDF" w:sz="4"/>
              <w:left w:val="single" w:color="D3DEDF" w:sz="4"/>
              <w:bottom w:val="single" w:color="D3DEDF" w:sz="4"/>
              <w:right w:val="single" w:color="D3DEDF" w:sz="4"/>
            </w:tcBorders>
            <w:shd w:fill="0E5A66" w:color="auto" w:val="clear"/>
            <w:tcMar>
              <w:top w:type="dxa" w:w="130"/>
              <w:left w:type="dxa" w:w="160"/>
              <w:bottom w:type="dxa" w:w="130"/>
              <w:right w:type="dxa" w:w="160"/>
            </w:tcMar>
            <w:vAlign w:val="center"/>
          </w:tcPr>
          <w:p>
            <w:r>
              <w:rPr>
                <w:rFonts w:ascii="Corbel" w:cs="Corbel" w:eastAsia="Corbel" w:hAnsi="Corbel"/>
                <w:b/>
                <w:bCs/>
                <w:i w:val="false"/>
                <w:iCs w:val="false"/>
                <w:color w:val="FFFFFF"/>
                <w:sz w:val="16"/>
                <w:szCs w:val="16"/>
              </w:rPr>
              <w:t xml:space="preserve">INSIGHT CLÉ</w:t>
            </w:r>
          </w:p>
          <w:p>
            <w:r>
              <w:rPr>
                <w:rFonts w:ascii="Corbel" w:cs="Corbel" w:eastAsia="Corbel" w:hAnsi="Corbel"/>
                <w:b w:val="false"/>
                <w:bCs w:val="false"/>
                <w:i w:val="false"/>
                <w:iCs w:val="false"/>
                <w:color w:val="FFFFFF"/>
                <w:sz w:val="20"/>
                <w:szCs w:val="20"/>
              </w:rPr>
              <w:t xml:space="preserve">Une équipe n’a pas besoin d’être excellente partout : elle gagne lorsqu’elle possède une identité cohérente, exploite clairement ses forces et corrige quelques faiblesses prioritaires.</w:t>
            </w:r>
          </w:p>
        </w:tc>
      </w:tr>
    </w:tbl>
    <w:p>
      <w:pPr>
        <w:pBdr>
          <w:bottom w:val="single" w:color="0E5A66" w:sz="8"/>
        </w:pBdr>
        <w:spacing w:after="120" w:before="260"/>
      </w:pPr>
      <w:r>
        <w:rPr>
          <w:rFonts w:ascii="Corbel" w:cs="Corbel" w:eastAsia="Corbel" w:hAnsi="Corbel"/>
          <w:b/>
          <w:bCs/>
          <w:i w:val="false"/>
          <w:iCs w:val="false"/>
          <w:color w:val="0E5A66"/>
          <w:sz w:val="26"/>
          <w:szCs w:val="26"/>
        </w:rPr>
        <w:t xml:space="preserve">7. </w:t>
      </w:r>
      <w:r>
        <w:rPr>
          <w:rFonts w:ascii="Corbel" w:cs="Corbel" w:eastAsia="Corbel" w:hAnsi="Corbel"/>
          <w:b/>
          <w:bCs/>
          <w:i w:val="false"/>
          <w:iCs w:val="false"/>
          <w:color w:val="0E5A66"/>
          <w:sz w:val="26"/>
          <w:szCs w:val="26"/>
        </w:rPr>
        <w:t xml:space="preserve">Limites et prochaines pistes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c>
          <w:tcPr>
            <w:tcW w:type="dxa" w:w="4950"/>
            <w:tcBorders>
              <w:top w:val="single" w:color="D3DEDF" w:sz="4"/>
              <w:left w:val="single" w:color="D3DEDF" w:sz="4"/>
              <w:bottom w:val="single" w:color="D3DEDF" w:sz="4"/>
              <w:right w:val="single" w:color="D3DEDF" w:sz="4"/>
            </w:tcBorders>
            <w:shd w:fill="F2F5F5" w:color="auto" w:val="clear"/>
            <w:tcMar>
              <w:top w:type="dxa" w:w="130"/>
              <w:left w:type="dxa" w:w="160"/>
              <w:bottom w:type="dxa" w:w="130"/>
              <w:right w:type="dxa" w:w="160"/>
            </w:tcMar>
            <w:vAlign w:val="top"/>
          </w:tcPr>
          <w:p>
            <w:r>
              <w:rPr>
                <w:rFonts w:ascii="Corbel" w:cs="Corbel" w:eastAsia="Corbel" w:hAnsi="Corbel"/>
                <w:b/>
                <w:bCs/>
                <w:i w:val="false"/>
                <w:iCs w:val="false"/>
                <w:color w:val="0E5A66"/>
                <w:sz w:val="18"/>
                <w:szCs w:val="18"/>
              </w:rPr>
              <w:t xml:space="preserve">Ce que le projet ne couvre pas encore</w:t>
            </w:r>
          </w:p>
          <w:p>
            <w:pPr>
              <w:spacing w:after="60"/>
            </w:pPr>
            <w:r>
              <w:rPr>
                <w:rFonts w:ascii="Corbel" w:cs="Corbel" w:eastAsia="Corbel" w:hAnsi="Corbel"/>
                <w:b/>
                <w:bCs/>
                <w:i w:val="false"/>
                <w:iCs w:val="false"/>
                <w:color w:val="0E5A66"/>
                <w:sz w:val="19"/>
                <w:szCs w:val="19"/>
              </w:rPr>
              <w:t xml:space="preserve">—  </w:t>
            </w:r>
            <w:r>
              <w:rPr>
                <w:rFonts w:ascii="Corbel" w:cs="Corbel" w:eastAsia="Corbel" w:hAnsi="Corbel"/>
                <w:b w:val="false"/>
                <w:bCs w:val="false"/>
                <w:i w:val="false"/>
                <w:iCs w:val="false"/>
                <w:color w:val="2B3538"/>
                <w:sz w:val="19"/>
                <w:szCs w:val="19"/>
              </w:rPr>
              <w:t xml:space="preserve">Tableau de bord complet au niveau Saison ; niveaux Équipe et Joueur à développer sur les 6 axes.</w:t>
            </w:r>
          </w:p>
          <w:p>
            <w:pPr>
              <w:spacing w:after="60"/>
            </w:pPr>
            <w:r>
              <w:rPr>
                <w:rFonts w:ascii="Corbel" w:cs="Corbel" w:eastAsia="Corbel" w:hAnsi="Corbel"/>
                <w:b/>
                <w:bCs/>
                <w:i w:val="false"/>
                <w:iCs w:val="false"/>
                <w:color w:val="0E5A66"/>
                <w:sz w:val="19"/>
                <w:szCs w:val="19"/>
              </w:rPr>
              <w:t xml:space="preserve">—  </w:t>
            </w:r>
            <w:r>
              <w:rPr>
                <w:rFonts w:ascii="Corbel" w:cs="Corbel" w:eastAsia="Corbel" w:hAnsi="Corbel"/>
                <w:b w:val="false"/>
                <w:bCs w:val="false"/>
                <w:i w:val="false"/>
                <w:iCs w:val="false"/>
                <w:color w:val="2B3538"/>
                <w:sz w:val="19"/>
                <w:szCs w:val="19"/>
              </w:rPr>
              <w:t xml:space="preserve">Seuils calés sur la distribution NBA, à recalibrer pour le niveau réel du club.</w:t>
            </w:r>
          </w:p>
          <w:p>
            <w:pPr>
              <w:spacing w:after="60"/>
            </w:pPr>
            <w:r>
              <w:rPr>
                <w:rFonts w:ascii="Corbel" w:cs="Corbel" w:eastAsia="Corbel" w:hAnsi="Corbel"/>
                <w:b/>
                <w:bCs/>
                <w:i w:val="false"/>
                <w:iCs w:val="false"/>
                <w:color w:val="0E5A66"/>
                <w:sz w:val="19"/>
                <w:szCs w:val="19"/>
              </w:rPr>
              <w:t xml:space="preserve">—  </w:t>
            </w:r>
            <w:r>
              <w:rPr>
                <w:rFonts w:ascii="Corbel" w:cs="Corbel" w:eastAsia="Corbel" w:hAnsi="Corbel"/>
                <w:b w:val="false"/>
                <w:bCs w:val="false"/>
                <w:i w:val="false"/>
                <w:iCs w:val="false"/>
                <w:color w:val="2B3538"/>
                <w:sz w:val="19"/>
                <w:szCs w:val="19"/>
              </w:rPr>
              <w:t xml:space="preserve">Analyse descriptive, sans modèle de projection.</w:t>
            </w:r>
          </w:p>
        </w:tc>
        <w:tc>
          <w:tcPr>
            <w:tcW w:type="dxa" w:w="4950"/>
            <w:tcBorders>
              <w:top w:val="single" w:color="D3DEDF" w:sz="4"/>
              <w:left w:val="single" w:color="D3DEDF" w:sz="4"/>
              <w:bottom w:val="single" w:color="D3DEDF" w:sz="4"/>
              <w:right w:val="single" w:color="D3DEDF" w:sz="4"/>
            </w:tcBorders>
            <w:shd w:fill="0E5A66" w:color="auto" w:val="clear"/>
            <w:tcMar>
              <w:top w:type="dxa" w:w="130"/>
              <w:left w:type="dxa" w:w="160"/>
              <w:bottom w:type="dxa" w:w="130"/>
              <w:right w:type="dxa" w:w="160"/>
            </w:tcMar>
            <w:vAlign w:val="top"/>
          </w:tcPr>
          <w:p>
            <w:r>
              <w:rPr>
                <w:rFonts w:ascii="Corbel" w:cs="Corbel" w:eastAsia="Corbel" w:hAnsi="Corbel"/>
                <w:b/>
                <w:bCs/>
                <w:i w:val="false"/>
                <w:iCs w:val="false"/>
                <w:color w:val="FFFFFF"/>
                <w:sz w:val="18"/>
                <w:szCs w:val="18"/>
              </w:rPr>
              <w:t xml:space="preserve">Prochaines pistes</w:t>
            </w:r>
          </w:p>
          <w:p>
            <w:pPr>
              <w:spacing w:after="60"/>
            </w:pPr>
            <w:r>
              <w:rPr>
                <w:rFonts w:ascii="Corbel" w:cs="Corbel" w:eastAsia="Corbel" w:hAnsi="Corbel"/>
                <w:b/>
                <w:bCs/>
                <w:i w:val="false"/>
                <w:iCs w:val="false"/>
                <w:color w:val="FFFFFF"/>
                <w:sz w:val="19"/>
                <w:szCs w:val="19"/>
              </w:rPr>
              <w:t xml:space="preserve">—  </w:t>
            </w:r>
            <w:r>
              <w:rPr>
                <w:rFonts w:ascii="Corbel" w:cs="Corbel" w:eastAsia="Corbel" w:hAnsi="Corbel"/>
                <w:b w:val="false"/>
                <w:bCs w:val="false"/>
                <w:i w:val="false"/>
                <w:iCs w:val="false"/>
                <w:color w:val="FFFFFF"/>
                <w:sz w:val="19"/>
                <w:szCs w:val="19"/>
              </w:rPr>
              <w:t xml:space="preserve">Compléter les niveaux Équipe et Joueur.</w:t>
            </w:r>
          </w:p>
          <w:p>
            <w:pPr>
              <w:spacing w:after="60"/>
            </w:pPr>
            <w:r>
              <w:rPr>
                <w:rFonts w:ascii="Corbel" w:cs="Corbel" w:eastAsia="Corbel" w:hAnsi="Corbel"/>
                <w:b/>
                <w:bCs/>
                <w:i w:val="false"/>
                <w:iCs w:val="false"/>
                <w:color w:val="FFFFFF"/>
                <w:sz w:val="19"/>
                <w:szCs w:val="19"/>
              </w:rPr>
              <w:t xml:space="preserve">—  </w:t>
            </w:r>
            <w:r>
              <w:rPr>
                <w:rFonts w:ascii="Corbel" w:cs="Corbel" w:eastAsia="Corbel" w:hAnsi="Corbel"/>
                <w:b w:val="false"/>
                <w:bCs w:val="false"/>
                <w:i w:val="false"/>
                <w:iCs w:val="false"/>
                <w:color w:val="FFFFFF"/>
                <w:sz w:val="19"/>
                <w:szCs w:val="19"/>
              </w:rPr>
              <w:t xml:space="preserve">Adapter les seuils au championnat réel du club.</w:t>
            </w:r>
          </w:p>
          <w:p>
            <w:pPr>
              <w:spacing w:after="60"/>
            </w:pPr>
            <w:r>
              <w:rPr>
                <w:rFonts w:ascii="Corbel" w:cs="Corbel" w:eastAsia="Corbel" w:hAnsi="Corbel"/>
                <w:b/>
                <w:bCs/>
                <w:i w:val="false"/>
                <w:iCs w:val="false"/>
                <w:color w:val="FFFFFF"/>
                <w:sz w:val="19"/>
                <w:szCs w:val="19"/>
              </w:rPr>
              <w:t xml:space="preserve">—  </w:t>
            </w:r>
            <w:r>
              <w:rPr>
                <w:rFonts w:ascii="Corbel" w:cs="Corbel" w:eastAsia="Corbel" w:hAnsi="Corbel"/>
                <w:b w:val="false"/>
                <w:bCs w:val="false"/>
                <w:i w:val="false"/>
                <w:iCs w:val="false"/>
                <w:color w:val="FFFFFF"/>
                <w:sz w:val="19"/>
                <w:szCs w:val="19"/>
              </w:rPr>
              <w:t xml:space="preserve">Ajouter le suivi dans le temps, saison après saison.</w:t>
            </w:r>
          </w:p>
          <w:p>
            <w:pPr>
              <w:spacing w:after="60"/>
            </w:pPr>
            <w:r>
              <w:rPr>
                <w:rFonts w:ascii="Corbel" w:cs="Corbel" w:eastAsia="Corbel" w:hAnsi="Corbel"/>
                <w:b/>
                <w:bCs/>
                <w:i w:val="false"/>
                <w:iCs w:val="false"/>
                <w:color w:val="FFFFFF"/>
                <w:sz w:val="19"/>
                <w:szCs w:val="19"/>
              </w:rPr>
              <w:t xml:space="preserve">—  </w:t>
            </w:r>
            <w:r>
              <w:rPr>
                <w:rFonts w:ascii="Corbel" w:cs="Corbel" w:eastAsia="Corbel" w:hAnsi="Corbel"/>
                <w:b w:val="false"/>
                <w:bCs w:val="false"/>
                <w:i w:val="false"/>
                <w:iCs w:val="false"/>
                <w:color w:val="FFFFFF"/>
                <w:sz w:val="19"/>
                <w:szCs w:val="19"/>
              </w:rPr>
              <w:t xml:space="preserve">Ouvrir vers une projection à trois-cinq ans.</w:t>
            </w:r>
          </w:p>
        </w:tc>
      </w:tr>
    </w:tbl>
    <w:p>
      <w:pPr>
        <w:pBdr>
          <w:bottom w:val="single" w:color="0E5A66" w:sz="8"/>
        </w:pBdr>
        <w:spacing w:after="40" w:before="260"/>
      </w:pPr>
      <w:r>
        <w:rPr>
          <w:rFonts w:ascii="Corbel" w:cs="Corbel" w:eastAsia="Corbel" w:hAnsi="Corbel"/>
          <w:b/>
          <w:bCs/>
          <w:i w:val="false"/>
          <w:iCs w:val="false"/>
          <w:color w:val="0E5A66"/>
          <w:sz w:val="26"/>
          <w:szCs w:val="26"/>
        </w:rPr>
        <w:t xml:space="preserve">8. </w:t>
      </w:r>
      <w:r>
        <w:rPr>
          <w:rFonts w:ascii="Corbel" w:cs="Corbel" w:eastAsia="Corbel" w:hAnsi="Corbel"/>
          <w:b/>
          <w:bCs/>
          <w:i w:val="false"/>
          <w:iCs w:val="false"/>
          <w:color w:val="0E5A66"/>
          <w:sz w:val="26"/>
          <w:szCs w:val="26"/>
        </w:rPr>
        <w:t xml:space="preserve">Sélection hiérarchisée des preuves</w:t>
      </w:r>
    </w:p>
    <w:p>
      <w:pPr>
        <w:spacing w:after="120"/>
      </w:pPr>
      <w:r>
        <w:rPr>
          <w:rFonts w:ascii="Corbel" w:cs="Corbel" w:eastAsia="Corbel" w:hAnsi="Corbel"/>
          <w:b w:val="false"/>
          <w:bCs w:val="false"/>
          <w:i/>
          <w:iCs/>
          <w:color w:val="5A6B72"/>
          <w:sz w:val="18"/>
          <w:szCs w:val="18"/>
        </w:rPr>
        <w:t xml:space="preserve">Ce qu’un recruteur peut ouvrir et vérifier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300"/>
        <w:gridCol w:w="2200"/>
      </w:tblGrid>
      <w:tr>
        <w:tc>
          <w:tcPr>
            <w:tcW w:type="dxa" w:w="19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Priorité</w:t>
            </w:r>
          </w:p>
        </w:tc>
        <w:tc>
          <w:tcPr>
            <w:tcW w:type="dxa" w:w="25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Preuve</w:t>
            </w:r>
          </w:p>
        </w:tc>
        <w:tc>
          <w:tcPr>
            <w:tcW w:type="dxa" w:w="33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Ce qu’elle démontre</w:t>
            </w:r>
          </w:p>
        </w:tc>
        <w:tc>
          <w:tcPr>
            <w:tcW w:type="dxa" w:w="22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Accès</w:t>
            </w:r>
          </w:p>
        </w:tc>
      </w:tr>
      <w:tr>
        <w:tc>
          <w:tcPr>
            <w:tcW w:type="dxa" w:w="19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1 — Essentielle</w:t>
            </w:r>
          </w:p>
        </w:tc>
        <w:tc>
          <w:tcPr>
            <w:tcW w:type="dxa" w:w="25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bCs/>
                <w:i w:val="false"/>
                <w:iCs w:val="false"/>
                <w:color w:val="2B3538"/>
                <w:sz w:val="19"/>
                <w:szCs w:val="19"/>
              </w:rPr>
              <w:t xml:space="preserve">Dashboard stratégique</w:t>
            </w:r>
          </w:p>
        </w:tc>
        <w:tc>
          <w:tcPr>
            <w:tcW w:type="dxa" w:w="33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Structurer des KPI et rendre la performance lisible.</w:t>
            </w:r>
          </w:p>
        </w:tc>
        <w:tc>
          <w:tcPr>
            <w:tcW w:type="dxa" w:w="22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Capture Tableau + lien</w:t>
            </w:r>
          </w:p>
        </w:tc>
      </w:tr>
      <w:tr>
        <w:tc>
          <w:tcPr>
            <w:tcW w:type="dxa" w:w="19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2 — Essentielle</w:t>
            </w:r>
          </w:p>
        </w:tc>
        <w:tc>
          <w:tcPr>
            <w:tcW w:type="dxa" w:w="25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bCs/>
                <w:i w:val="false"/>
                <w:iCs w:val="false"/>
                <w:color w:val="2B3538"/>
                <w:sz w:val="19"/>
                <w:szCs w:val="19"/>
              </w:rPr>
              <w:t xml:space="preserve">Rapport d’analyse Excel</w:t>
            </w:r>
          </w:p>
        </w:tc>
        <w:tc>
          <w:tcPr>
            <w:tcW w:type="dxa" w:w="33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Rigueur, maîtrise d’Excel, profondeur et documentation.</w:t>
            </w:r>
          </w:p>
        </w:tc>
        <w:tc>
          <w:tcPr>
            <w:tcW w:type="dxa" w:w="22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Fiche PDF détaillée</w:t>
            </w:r>
          </w:p>
        </w:tc>
      </w:tr>
      <w:tr>
        <w:tc>
          <w:tcPr>
            <w:tcW w:type="dxa" w:w="19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3 — Forte</w:t>
            </w:r>
          </w:p>
        </w:tc>
        <w:tc>
          <w:tcPr>
            <w:tcW w:type="dxa" w:w="25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bCs/>
                <w:i w:val="false"/>
                <w:iCs w:val="false"/>
                <w:color w:val="2B3538"/>
                <w:sz w:val="19"/>
                <w:szCs w:val="19"/>
              </w:rPr>
              <w:t xml:space="preserve">Matrice 6 × 3</w:t>
            </w:r>
          </w:p>
        </w:tc>
        <w:tc>
          <w:tcPr>
            <w:tcW w:type="dxa" w:w="33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Créer une méthode réutilisable et orientée métier.</w:t>
            </w:r>
          </w:p>
        </w:tc>
        <w:tc>
          <w:tcPr>
            <w:tcW w:type="dxa" w:w="22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Visuel dans le portfolio</w:t>
            </w:r>
          </w:p>
        </w:tc>
      </w:tr>
      <w:tr>
        <w:tc>
          <w:tcPr>
            <w:tcW w:type="dxa" w:w="19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4 — Forte</w:t>
            </w:r>
          </w:p>
        </w:tc>
        <w:tc>
          <w:tcPr>
            <w:tcW w:type="dxa" w:w="25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bCs/>
                <w:i w:val="false"/>
                <w:iCs w:val="false"/>
                <w:color w:val="2B3538"/>
                <w:sz w:val="19"/>
                <w:szCs w:val="19"/>
              </w:rPr>
              <w:t xml:space="preserve">Du constat à la décision</w:t>
            </w:r>
          </w:p>
        </w:tc>
        <w:tc>
          <w:tcPr>
            <w:tcW w:type="dxa" w:w="33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Transformer les données en recommandations opérationnelles.</w:t>
            </w:r>
          </w:p>
        </w:tc>
        <w:tc>
          <w:tcPr>
            <w:tcW w:type="dxa" w:w="22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Écran 2 du projet</w:t>
            </w:r>
          </w:p>
        </w:tc>
      </w:tr>
      <w:tr>
        <w:tc>
          <w:tcPr>
            <w:tcW w:type="dxa" w:w="19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5 — Complémentaire</w:t>
            </w:r>
          </w:p>
        </w:tc>
        <w:tc>
          <w:tcPr>
            <w:tcW w:type="dxa" w:w="25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bCs/>
                <w:i w:val="false"/>
                <w:iCs w:val="false"/>
                <w:color w:val="2B3538"/>
                <w:sz w:val="19"/>
                <w:szCs w:val="19"/>
              </w:rPr>
              <w:t xml:space="preserve">Glossaire et accessibilité</w:t>
            </w:r>
          </w:p>
        </w:tc>
        <w:tc>
          <w:tcPr>
            <w:tcW w:type="dxa" w:w="33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Pédagogie, inclusion et communication non-spécialistes.</w:t>
            </w:r>
          </w:p>
        </w:tc>
        <w:tc>
          <w:tcPr>
            <w:tcW w:type="dxa" w:w="22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Annexe / PDF</w:t>
            </w:r>
          </w:p>
        </w:tc>
      </w:tr>
    </w:tbl>
    <w:p>
      <w:pPr>
        <w:pBdr>
          <w:bottom w:val="single" w:color="0E5A66" w:sz="8"/>
        </w:pBdr>
        <w:spacing w:after="120" w:before="260"/>
      </w:pPr>
      <w:r>
        <w:rPr>
          <w:rFonts w:ascii="Corbel" w:cs="Corbel" w:eastAsia="Corbel" w:hAnsi="Corbel"/>
          <w:b/>
          <w:bCs/>
          <w:i w:val="false"/>
          <w:iCs w:val="false"/>
          <w:color w:val="0E5A66"/>
          <w:sz w:val="26"/>
          <w:szCs w:val="26"/>
        </w:rPr>
        <w:t xml:space="preserve">9. </w:t>
      </w:r>
      <w:r>
        <w:rPr>
          <w:rFonts w:ascii="Corbel" w:cs="Corbel" w:eastAsia="Corbel" w:hAnsi="Corbel"/>
          <w:b/>
          <w:bCs/>
          <w:i w:val="false"/>
          <w:iCs w:val="false"/>
          <w:color w:val="0E5A66"/>
          <w:sz w:val="26"/>
          <w:szCs w:val="26"/>
        </w:rPr>
        <w:t xml:space="preserve">Compétences démontrées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700"/>
      </w:tblGrid>
      <w:tr>
        <w:tc>
          <w:tcPr>
            <w:tcW w:type="dxa" w:w="20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Type</w:t>
            </w:r>
          </w:p>
        </w:tc>
        <w:tc>
          <w:tcPr>
            <w:tcW w:type="dxa" w:w="32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Compétence</w:t>
            </w:r>
          </w:p>
        </w:tc>
        <w:tc>
          <w:tcPr>
            <w:tcW w:type="dxa" w:w="47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Preuve observable</w:t>
            </w:r>
          </w:p>
        </w:tc>
      </w:tr>
      <w:tr>
        <w:tc>
          <w:tcPr>
            <w:tcW w:type="dxa" w:w="20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bCs/>
                <w:i w:val="false"/>
                <w:iCs w:val="false"/>
                <w:color w:val="0E5A66"/>
                <w:sz w:val="18"/>
                <w:szCs w:val="18"/>
              </w:rPr>
              <w:t xml:space="preserve">Hard skill</w:t>
            </w:r>
          </w:p>
        </w:tc>
        <w:tc>
          <w:tcPr>
            <w:tcW w:type="dxa" w:w="32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bCs/>
                <w:i w:val="false"/>
                <w:iCs w:val="false"/>
                <w:color w:val="2B3538"/>
                <w:sz w:val="19"/>
                <w:szCs w:val="19"/>
              </w:rPr>
              <w:t xml:space="preserve">Cadrage métier</w:t>
            </w:r>
          </w:p>
        </w:tc>
        <w:tc>
          <w:tcPr>
            <w:tcW w:type="dxa" w:w="47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Objectif de montée en pro traduit en questions analytiques et critères de comparaison.</w:t>
            </w:r>
          </w:p>
        </w:tc>
      </w:tr>
      <w:tr>
        <w:tc>
          <w:tcPr>
            <w:tcW w:type="dxa" w:w="20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8"/>
                <w:szCs w:val="18"/>
              </w:rPr>
              <w:t xml:space="preserve">Hard skill</w:t>
            </w:r>
          </w:p>
        </w:tc>
        <w:tc>
          <w:tcPr>
            <w:tcW w:type="dxa" w:w="32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bCs/>
                <w:i w:val="false"/>
                <w:iCs w:val="false"/>
                <w:color w:val="2B3538"/>
                <w:sz w:val="19"/>
                <w:szCs w:val="19"/>
              </w:rPr>
              <w:t xml:space="preserve">Qualité et structuration</w:t>
            </w:r>
          </w:p>
        </w:tc>
        <w:tc>
          <w:tcPr>
            <w:tcW w:type="dxa" w:w="47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Nettoyage, harmonisation, tables structurées, enrichissement et glossaire.</w:t>
            </w:r>
          </w:p>
        </w:tc>
      </w:tr>
      <w:tr>
        <w:tc>
          <w:tcPr>
            <w:tcW w:type="dxa" w:w="20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bCs/>
                <w:i w:val="false"/>
                <w:iCs w:val="false"/>
                <w:color w:val="0E5A66"/>
                <w:sz w:val="18"/>
                <w:szCs w:val="18"/>
              </w:rPr>
              <w:t xml:space="preserve">Hard skill</w:t>
            </w:r>
          </w:p>
        </w:tc>
        <w:tc>
          <w:tcPr>
            <w:tcW w:type="dxa" w:w="32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bCs/>
                <w:i w:val="false"/>
                <w:iCs w:val="false"/>
                <w:color w:val="2B3538"/>
                <w:sz w:val="19"/>
                <w:szCs w:val="19"/>
              </w:rPr>
              <w:t xml:space="preserve">Analyse multidimensionnelle</w:t>
            </w:r>
          </w:p>
        </w:tc>
        <w:tc>
          <w:tcPr>
            <w:tcW w:type="dxa" w:w="47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Approche saison / équipe / joueur croisant 6 dimensions de performance.</w:t>
            </w:r>
          </w:p>
        </w:tc>
      </w:tr>
      <w:tr>
        <w:tc>
          <w:tcPr>
            <w:tcW w:type="dxa" w:w="20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8"/>
                <w:szCs w:val="18"/>
              </w:rPr>
              <w:t xml:space="preserve">Hard skill</w:t>
            </w:r>
          </w:p>
        </w:tc>
        <w:tc>
          <w:tcPr>
            <w:tcW w:type="dxa" w:w="32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bCs/>
                <w:i w:val="false"/>
                <w:iCs w:val="false"/>
                <w:color w:val="2B3538"/>
                <w:sz w:val="19"/>
                <w:szCs w:val="19"/>
              </w:rPr>
              <w:t xml:space="preserve">Data visualisation</w:t>
            </w:r>
          </w:p>
        </w:tc>
        <w:tc>
          <w:tcPr>
            <w:tcW w:type="dxa" w:w="47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Choix justifié des graphiques, TCD, seuils et zones de performance.</w:t>
            </w:r>
          </w:p>
        </w:tc>
      </w:tr>
      <w:tr>
        <w:tc>
          <w:tcPr>
            <w:tcW w:type="dxa" w:w="20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bCs/>
                <w:i w:val="false"/>
                <w:iCs w:val="false"/>
                <w:color w:val="0E5A66"/>
                <w:sz w:val="18"/>
                <w:szCs w:val="18"/>
              </w:rPr>
              <w:t xml:space="preserve">Hard skill</w:t>
            </w:r>
          </w:p>
        </w:tc>
        <w:tc>
          <w:tcPr>
            <w:tcW w:type="dxa" w:w="32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bCs/>
                <w:i w:val="false"/>
                <w:iCs w:val="false"/>
                <w:color w:val="2B3538"/>
                <w:sz w:val="19"/>
                <w:szCs w:val="19"/>
              </w:rPr>
              <w:t xml:space="preserve">Aide à la décision</w:t>
            </w:r>
          </w:p>
        </w:tc>
        <w:tc>
          <w:tcPr>
            <w:tcW w:type="dxa" w:w="47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Recommandations sur le recrutement, l’entraînement et le style de jeu.</w:t>
            </w:r>
          </w:p>
        </w:tc>
      </w:tr>
      <w:tr>
        <w:tc>
          <w:tcPr>
            <w:tcW w:type="dxa" w:w="20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bCs/>
                <w:i w:val="false"/>
                <w:iCs w:val="false"/>
                <w:color w:val="5A6B72"/>
                <w:sz w:val="18"/>
                <w:szCs w:val="18"/>
              </w:rPr>
              <w:t xml:space="preserve">Soft skill</w:t>
            </w:r>
          </w:p>
        </w:tc>
        <w:tc>
          <w:tcPr>
            <w:tcW w:type="dxa" w:w="32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bCs/>
                <w:i w:val="false"/>
                <w:iCs w:val="false"/>
                <w:color w:val="2B3538"/>
                <w:sz w:val="19"/>
                <w:szCs w:val="19"/>
              </w:rPr>
              <w:t xml:space="preserve">Analyse et résolution de problèmes</w:t>
            </w:r>
          </w:p>
        </w:tc>
        <w:tc>
          <w:tcPr>
            <w:tcW w:type="dxa" w:w="47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Décomposition d’un problème large en pipeline d’analyse et décisions.</w:t>
            </w:r>
          </w:p>
        </w:tc>
      </w:tr>
      <w:tr>
        <w:tc>
          <w:tcPr>
            <w:tcW w:type="dxa" w:w="20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bCs/>
                <w:i w:val="false"/>
                <w:iCs w:val="false"/>
                <w:color w:val="5A6B72"/>
                <w:sz w:val="18"/>
                <w:szCs w:val="18"/>
              </w:rPr>
              <w:t xml:space="preserve">Soft skill</w:t>
            </w:r>
          </w:p>
        </w:tc>
        <w:tc>
          <w:tcPr>
            <w:tcW w:type="dxa" w:w="32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bCs/>
                <w:i w:val="false"/>
                <w:iCs w:val="false"/>
                <w:color w:val="2B3538"/>
                <w:sz w:val="19"/>
                <w:szCs w:val="19"/>
              </w:rPr>
              <w:t xml:space="preserve">Organisation et autonomie</w:t>
            </w:r>
          </w:p>
        </w:tc>
        <w:tc>
          <w:tcPr>
            <w:tcW w:type="dxa" w:w="47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Pilotage de bout en bout : données, livrables, accessibilité, soutenance.</w:t>
            </w:r>
          </w:p>
        </w:tc>
      </w:tr>
      <w:tr>
        <w:tc>
          <w:tcPr>
            <w:tcW w:type="dxa" w:w="20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bCs/>
                <w:i w:val="false"/>
                <w:iCs w:val="false"/>
                <w:color w:val="5A6B72"/>
                <w:sz w:val="18"/>
                <w:szCs w:val="18"/>
              </w:rPr>
              <w:t xml:space="preserve">Soft skill</w:t>
            </w:r>
          </w:p>
        </w:tc>
        <w:tc>
          <w:tcPr>
            <w:tcW w:type="dxa" w:w="32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bCs/>
                <w:i w:val="false"/>
                <w:iCs w:val="false"/>
                <w:color w:val="2B3538"/>
                <w:sz w:val="19"/>
                <w:szCs w:val="19"/>
              </w:rPr>
              <w:t xml:space="preserve">Communication et pédagogie</w:t>
            </w:r>
          </w:p>
        </w:tc>
        <w:tc>
          <w:tcPr>
            <w:tcW w:type="dxa" w:w="47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Glossaire, graphiques compréhensibles sans commentaire et narration claire.</w:t>
            </w:r>
          </w:p>
        </w:tc>
      </w:tr>
      <w:tr>
        <w:tc>
          <w:tcPr>
            <w:tcW w:type="dxa" w:w="20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bCs/>
                <w:i w:val="false"/>
                <w:iCs w:val="false"/>
                <w:color w:val="5A6B72"/>
                <w:sz w:val="18"/>
                <w:szCs w:val="18"/>
              </w:rPr>
              <w:t xml:space="preserve">Soft skill</w:t>
            </w:r>
          </w:p>
        </w:tc>
        <w:tc>
          <w:tcPr>
            <w:tcW w:type="dxa" w:w="32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bCs/>
                <w:i w:val="false"/>
                <w:iCs w:val="false"/>
                <w:color w:val="2B3538"/>
                <w:sz w:val="19"/>
                <w:szCs w:val="19"/>
              </w:rPr>
              <w:t xml:space="preserve">Esprit critique et rigueur</w:t>
            </w:r>
          </w:p>
        </w:tc>
        <w:tc>
          <w:tcPr>
            <w:tcW w:type="dxa" w:w="47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Vérification des données et contextualisation avant interprétation.</w:t>
            </w:r>
          </w:p>
        </w:tc>
      </w:tr>
      <w:tr>
        <w:tc>
          <w:tcPr>
            <w:tcW w:type="dxa" w:w="20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bCs/>
                <w:i w:val="false"/>
                <w:iCs w:val="false"/>
                <w:color w:val="5A6B72"/>
                <w:sz w:val="18"/>
                <w:szCs w:val="18"/>
              </w:rPr>
              <w:t xml:space="preserve">Soft skill</w:t>
            </w:r>
          </w:p>
        </w:tc>
        <w:tc>
          <w:tcPr>
            <w:tcW w:type="dxa" w:w="32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bCs/>
                <w:i w:val="false"/>
                <w:iCs w:val="false"/>
                <w:color w:val="2B3538"/>
                <w:sz w:val="19"/>
                <w:szCs w:val="19"/>
              </w:rPr>
              <w:t xml:space="preserve">Orientation métier</w:t>
            </w:r>
          </w:p>
        </w:tc>
        <w:tc>
          <w:tcPr>
            <w:tcW w:type="dxa" w:w="47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Chaque analyse reliée à une action exploitable par le club.</w:t>
            </w:r>
          </w:p>
        </w:tc>
      </w:tr>
    </w:tbl>
    <w:p>
      <w:pPr>
        <w:pBdr>
          <w:bottom w:val="single" w:color="0E5A66" w:sz="8"/>
        </w:pBdr>
        <w:spacing w:after="120" w:before="260"/>
      </w:pPr>
      <w:r>
        <w:rPr>
          <w:rFonts w:ascii="Corbel" w:cs="Corbel" w:eastAsia="Corbel" w:hAnsi="Corbel"/>
          <w:b/>
          <w:bCs/>
          <w:i w:val="false"/>
          <w:iCs w:val="false"/>
          <w:color w:val="0E5A66"/>
          <w:sz w:val="26"/>
          <w:szCs w:val="26"/>
        </w:rPr>
        <w:t xml:space="preserve">10. </w:t>
      </w:r>
      <w:r>
        <w:rPr>
          <w:rFonts w:ascii="Corbel" w:cs="Corbel" w:eastAsia="Corbel" w:hAnsi="Corbel"/>
          <w:b/>
          <w:bCs/>
          <w:i w:val="false"/>
          <w:iCs w:val="false"/>
          <w:color w:val="0E5A66"/>
          <w:sz w:val="26"/>
          <w:szCs w:val="26"/>
        </w:rPr>
        <w:t xml:space="preserve">Veille métier et technologique mobilisée</w:t>
      </w:r>
    </w:p>
    <w:p>
      <w:pPr>
        <w:spacing w:after="100"/>
      </w:pPr>
      <w:r>
        <w:rPr>
          <w:rFonts w:ascii="Corbel" w:cs="Corbel" w:eastAsia="Corbel" w:hAnsi="Corbel"/>
          <w:b w:val="false"/>
          <w:bCs w:val="false"/>
          <w:i w:val="false"/>
          <w:iCs w:val="false"/>
          <w:color w:val="2B3538"/>
          <w:sz w:val="20"/>
          <w:szCs w:val="20"/>
        </w:rPr>
        <w:t xml:space="preserve">La veille est intégrée comme une preuve de posture professionnelle : elle a permis de sélectionner les méthodes, outils et règles de présentation les plus adaptés au besoin.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2400"/>
        <w:gridCol w:w="2700"/>
      </w:tblGrid>
      <w:tr>
        <w:tc>
          <w:tcPr>
            <w:tcW w:type="dxa" w:w="23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Sujet de veille</w:t>
            </w:r>
          </w:p>
        </w:tc>
        <w:tc>
          <w:tcPr>
            <w:tcW w:type="dxa" w:w="25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Sources / repères</w:t>
            </w:r>
          </w:p>
        </w:tc>
        <w:tc>
          <w:tcPr>
            <w:tcW w:type="dxa" w:w="24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Critères de choix</w:t>
            </w:r>
          </w:p>
        </w:tc>
        <w:tc>
          <w:tcPr>
            <w:tcW w:type="dxa" w:w="2700"/>
            <w:tcBorders>
              <w:top w:val="single" w:color="D3DEDF" w:sz="4"/>
              <w:left w:val="single" w:color="D3DEDF" w:sz="4"/>
              <w:bottom w:val="single" w:color="D3DEDF" w:sz="4"/>
              <w:right w:val="single" w:color="D3DEDF" w:sz="4"/>
            </w:tcBorders>
            <w:shd w:fill="0E5A66" w:color="auto" w:val="clear"/>
            <w:tcMar>
              <w:top w:type="dxa" w:w="90"/>
              <w:left w:type="dxa" w:w="130"/>
              <w:bottom w:type="dxa" w:w="90"/>
              <w:right w:type="dxa" w:w="130"/>
            </w:tcMar>
            <w:vAlign w:val="center"/>
          </w:tcPr>
          <w:p>
            <w:r>
              <w:rPr>
                <w:rFonts w:ascii="Corbel" w:cs="Corbel" w:eastAsia="Corbel" w:hAnsi="Corbel"/>
                <w:b/>
                <w:bCs/>
                <w:i w:val="false"/>
                <w:iCs w:val="false"/>
                <w:color w:val="FFFFFF"/>
                <w:sz w:val="19"/>
                <w:szCs w:val="19"/>
              </w:rPr>
              <w:t xml:space="preserve">Application au projet</w:t>
            </w:r>
          </w:p>
        </w:tc>
      </w:tr>
      <w:tr>
        <w:tc>
          <w:tcPr>
            <w:tcW w:type="dxa" w:w="23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Indicateurs de performance basket</w:t>
            </w:r>
          </w:p>
        </w:tc>
        <w:tc>
          <w:tcPr>
            <w:tcW w:type="dxa" w:w="25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Dictionnaire fourni, statistiques NBA et définitions officielles</w:t>
            </w:r>
          </w:p>
        </w:tc>
        <w:tc>
          <w:tcPr>
            <w:tcW w:type="dxa" w:w="24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Pertinence métier, compréhension par le public, disponibilité</w:t>
            </w:r>
          </w:p>
        </w:tc>
        <w:tc>
          <w:tcPr>
            <w:tcW w:type="dxa" w:w="27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Sélection des KPI et construction du glossaire</w:t>
            </w:r>
          </w:p>
        </w:tc>
      </w:tr>
      <w:tr>
        <w:tc>
          <w:tcPr>
            <w:tcW w:type="dxa" w:w="23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Méthodes d’analyse</w:t>
            </w:r>
          </w:p>
        </w:tc>
        <w:tc>
          <w:tcPr>
            <w:tcW w:type="dxa" w:w="25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Analyse descriptive, benchmarking, lecture multi-niveaux</w:t>
            </w:r>
          </w:p>
        </w:tc>
        <w:tc>
          <w:tcPr>
            <w:tcW w:type="dxa" w:w="24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Réutilisabilité, simplicité, lien diagnostic → décision</w:t>
            </w:r>
          </w:p>
        </w:tc>
        <w:tc>
          <w:tcPr>
            <w:tcW w:type="dxa" w:w="2700"/>
            <w:tcBorders>
              <w:top w:val="single" w:color="D3DEDF" w:sz="4"/>
              <w:left w:val="single" w:color="D3DEDF" w:sz="4"/>
              <w:bottom w:val="single" w:color="D3DEDF" w:sz="4"/>
              <w:right w:val="single" w:color="D3DEDF" w:sz="4"/>
            </w:tcBorders>
            <w:shd w:fill="F2F5F5"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Cadre saison / équipe / joueur et seuils de performance</w:t>
            </w:r>
          </w:p>
        </w:tc>
      </w:tr>
      <w:tr>
        <w:tc>
          <w:tcPr>
            <w:tcW w:type="dxa" w:w="2300"/>
            <w:tcBorders>
              <w:top w:val="single" w:color="D3DEDF" w:sz="4"/>
              <w:left w:val="single" w:color="D3DEDF" w:sz="4"/>
              <w:bottom w:val="single" w:color="D3DEDF" w:sz="4"/>
              <w:right w:val="single" w:color="D3DEDF" w:sz="4"/>
            </w:tcBorders>
            <w:shd w:fill="EAF3F5" w:color="auto" w:val="clear"/>
            <w:tcMar>
              <w:top w:type="dxa" w:w="90"/>
              <w:left w:type="dxa" w:w="130"/>
              <w:bottom w:type="dxa" w:w="90"/>
              <w:right w:type="dxa" w:w="130"/>
            </w:tcMar>
            <w:vAlign w:val="center"/>
          </w:tcPr>
          <w:p>
            <w:r>
              <w:rPr>
                <w:rFonts w:ascii="Corbel" w:cs="Corbel" w:eastAsia="Corbel" w:hAnsi="Corbel"/>
                <w:b/>
                <w:bCs/>
                <w:i w:val="false"/>
                <w:iCs w:val="false"/>
                <w:color w:val="0E5A66"/>
                <w:sz w:val="19"/>
                <w:szCs w:val="19"/>
              </w:rPr>
              <w:t xml:space="preserve">Visualisation Excel</w:t>
            </w:r>
          </w:p>
        </w:tc>
        <w:tc>
          <w:tcPr>
            <w:tcW w:type="dxa" w:w="25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Bonnes pratiques de datavisualisation et accessibilité Microsoft</w:t>
            </w:r>
          </w:p>
        </w:tc>
        <w:tc>
          <w:tcPr>
            <w:tcW w:type="dxa" w:w="24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Lisibilité, fidélité aux données, compréhension sans oral</w:t>
            </w:r>
          </w:p>
        </w:tc>
        <w:tc>
          <w:tcPr>
            <w:tcW w:type="dxa" w:w="2700"/>
            <w:tcBorders>
              <w:top w:val="single" w:color="D3DEDF" w:sz="4"/>
              <w:left w:val="single" w:color="D3DEDF" w:sz="4"/>
              <w:bottom w:val="single" w:color="D3DEDF" w:sz="4"/>
              <w:right w:val="single" w:color="D3DEDF" w:sz="4"/>
            </w:tcBorders>
            <w:shd w:fill="FFFFFF" w:color="auto" w:val="clear"/>
            <w:tcMar>
              <w:top w:type="dxa" w:w="90"/>
              <w:left w:type="dxa" w:w="130"/>
              <w:bottom w:type="dxa" w:w="90"/>
              <w:right w:type="dxa" w:w="130"/>
            </w:tcMar>
            <w:vAlign w:val="center"/>
          </w:tcPr>
          <w:p>
            <w:r>
              <w:rPr>
                <w:rFonts w:ascii="Corbel" w:cs="Corbel" w:eastAsia="Corbel" w:hAnsi="Corbel"/>
                <w:b w:val="false"/>
                <w:bCs w:val="false"/>
                <w:i w:val="false"/>
                <w:iCs w:val="false"/>
                <w:color w:val="2B3538"/>
                <w:sz w:val="19"/>
                <w:szCs w:val="19"/>
              </w:rPr>
              <w:t xml:space="preserve">TCD, nuages de points, graphiques combinés, titres explicites</w:t>
            </w:r>
          </w:p>
        </w:tc>
      </w:tr>
    </w:tbl>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bel" w:cs="Corbel" w:eastAsia="Corbel" w:hAnsi="Corbel"/>
        <w:color w:val="2B353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470092b3eccfbe542cd6af3957d6d7411724ac9.png"/><Relationship Id="rId8" Type="http://schemas.openxmlformats.org/officeDocument/2006/relationships/image" Target="media/033ce5d43c8d18c7d3de001c8b6718739c47af87.png"/><Relationship Id="rId9" Type="http://schemas.openxmlformats.org/officeDocument/2006/relationships/image" Target="media/eea58c53b6c5088a9c9aaabcb46fef31100a900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2026-07-18T16:51:44.812Z</dcterms:created>
  <dcterms:modified xsi:type="dcterms:W3CDTF">2026-07-18T16:51:44.823Z</dcterms:modified>
</cp:coreProperties>
</file>

<file path=docProps/custom.xml><?xml version="1.0" encoding="utf-8"?>
<Properties xmlns="http://schemas.openxmlformats.org/officeDocument/2006/custom-properties" xmlns:vt="http://schemas.openxmlformats.org/officeDocument/2006/docPropsVTypes"/>
</file>