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orbel" w:cs="Corbel" w:eastAsia="Corbel" w:hAnsi="Corbel"/>
          <w:b/>
          <w:bCs/>
          <w:color w:val="C25438"/>
          <w:spacing w:val="40"/>
          <w:sz w:val="20"/>
          <w:szCs w:val="20"/>
        </w:rPr>
        <w:t xml:space="preserve">PROJET 04</w:t>
      </w:r>
    </w:p>
    <w:p>
      <w:pPr>
        <w:spacing w:after="20"/>
      </w:pPr>
      <w:r>
        <w:rPr>
          <w:rFonts w:ascii="Corbel" w:cs="Corbel" w:eastAsia="Corbel" w:hAnsi="Corbel"/>
          <w:b/>
          <w:bCs/>
          <w:color w:val="0E5A66"/>
          <w:sz w:val="32"/>
          <w:szCs w:val="32"/>
        </w:rPr>
        <w:t xml:space="preserve">Manipuler une base de données SQL pour suivre la satisfaction client</w:t>
      </w:r>
    </w:p>
    <w:p>
      <w:pPr>
        <w:spacing w:after="20"/>
      </w:pPr>
      <w:r>
        <w:rPr>
          <w:rFonts w:ascii="Corbel" w:cs="Corbel" w:eastAsia="Corbel" w:hAnsi="Corbel"/>
          <w:color w:val="1E2A2E"/>
          <w:sz w:val="20"/>
          <w:szCs w:val="20"/>
        </w:rPr>
        <w:t>Centraliser 3 000 retours dans une base relationnelle unique, l'enrichir d'une dimension géographique et livrer 17 indicateurs contrôlés — notes, NPS et recommandation — à un service client non technique.</w:t>
      </w:r>
    </w:p>
    <w:p>
      <w:pPr>
        <w:pBdr>
          <w:bottom w:val="single" w:color="0E5A66" w:sz="4"/>
        </w:pBdr>
        <w:spacing w:after="160"/>
      </w:pPr>
      <w:r>
        <w:rPr>
          <w:rFonts w:ascii="Corbel" w:cs="Corbel" w:eastAsia="Corbel" w:hAnsi="Corbel"/>
          <w:color w:val="6C7B7E"/>
          <w:sz w:val="17"/>
          <w:szCs w:val="17"/>
        </w:rPr>
        <w:t xml:space="preserve">SQL · Modélisation relationnelle · Analyse de données · Satisfaction client · Aide à la décision</w:t>
      </w:r>
    </w:p>
    <w:tbl>
      <w:tblPr>
        <w:tblW w:type="dxa" w:w="10466"/>
        <w:tblBorders>
          <w:top w:val="single" w:color="DCE6E7" w:sz="4"/>
          <w:left w:val="single" w:color="DCE6E7" w:sz="4"/>
          <w:bottom w:val="single" w:color="DCE6E7" w:sz="4"/>
          <w:right w:val="single" w:color="DCE6E7" w:sz="4"/>
          <w:insideH w:val="single" w:color="DCE6E7" w:sz="4"/>
          <w:insideV w:val="single" w:color="DCE6E7" w:sz="4"/>
        </w:tblBorders>
      </w:tblPr>
      <w:tblGrid>
        <w:gridCol w:w="640"/>
        <w:gridCol w:w="1976"/>
        <w:gridCol w:w="640"/>
        <w:gridCol w:w="1976"/>
        <w:gridCol w:w="640"/>
        <w:gridCol w:w="1976"/>
        <w:gridCol w:w="640"/>
        <w:gridCol w:w="1976"/>
      </w:tblGrid>
      <w:tr>
        <w:tc>
          <w:tcPr>
            <w:tcW w:type="dxa" w:w="64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Période</w:t>
            </w:r>
          </w:p>
        </w:tc>
        <w:tc>
          <w:tcPr>
            <w:tcW w:type="dxa" w:w="197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 xml:space="preserve">30 oct. – 7 déc. 2025 (27 j ouvrables)</w:t>
            </w:r>
          </w:p>
        </w:tc>
        <w:tc>
          <w:tcPr>
            <w:tcW w:type="dxa" w:w="64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Cadre</w:t>
            </w:r>
          </w:p>
        </w:tc>
        <w:tc>
          <w:tcPr>
            <w:tcW w:type="dxa" w:w="197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 xml:space="preserve">Certification Business Intelligence (RNCP)</w:t>
            </w:r>
          </w:p>
        </w:tc>
      </w:tr>
      <w:tr>
        <w:tc>
          <w:tcPr>
            <w:tcW w:type="dxa" w:w="64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Secteur</w:t>
            </w:r>
          </w:p>
        </w:tc>
        <w:tc>
          <w:tcPr>
            <w:tcW w:type="dxa" w:w="197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 xml:space="preserve">Grande distribution · Satisfaction client</w:t>
            </w:r>
          </w:p>
        </w:tc>
        <w:tc>
          <w:tcPr>
            <w:tcW w:type="dxa" w:w="64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Public</w:t>
            </w:r>
          </w:p>
        </w:tc>
        <w:tc>
          <w:tcPr>
            <w:tcW w:type="dxa" w:w="197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 xml:space="preserve">Service client &amp; direction (non technique)</w:t>
            </w:r>
          </w:p>
        </w:tc>
      </w:tr>
      <w:tr>
        <w:tc>
          <w:tcPr>
            <w:tcW w:type="dxa" w:w="64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Données</w:t>
            </w:r>
          </w:p>
        </w:tc>
        <w:tc>
          <w:tcPr>
            <w:tcW w:type="dxa" w:w="197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 xml:space="preserve">3 000 retours · 145 produits · 84 magasins</w:t>
            </w:r>
          </w:p>
        </w:tc>
        <w:tc>
          <w:tcPr>
            <w:tcW w:type="dxa" w:w="64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Nombre</w:t>
            </w:r>
          </w:p>
        </w:tc>
        <w:tc>
          <w:tcPr>
            <w:tcW w:type="dxa" w:w="197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 xml:space="preserve">3 tables · 5 axes · 17 indicateurs</w:t>
            </w:r>
          </w:p>
        </w:tc>
      </w:tr>
      <w:tr>
        <w:tc>
          <w:tcPr>
            <w:tcW w:type="dxa" w:w="64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Livrables</w:t>
            </w:r>
          </w:p>
        </w:tc>
        <w:tc>
          <w:tcPr>
            <w:tcW w:type="dxa" w:w="197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 xml:space="preserve">Base SQL enrichie · 17 requêtes · dictionnaire &amp; schéma · présentation</w:t>
            </w:r>
          </w:p>
        </w:tc>
        <w:tc>
          <w:tcPr>
            <w:tcW w:type="dxa" w:w="64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Posture</w:t>
            </w:r>
          </w:p>
        </w:tc>
        <w:tc>
          <w:tcPr>
            <w:tcW w:type="dxa" w:w="197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 xml:space="preserve">Rigueur, pédagogie &amp; sens métier</w:t>
            </w:r>
          </w:p>
        </w:tc>
      </w:tr>
    </w:tbl>
    <w:p>
      <w:pPr>
        <w:spacing w:after="120"/>
      </w:pPr>
    </w:p>
    <w:tbl>
      <w:tblPr>
        <w:tblW w:type="dxa" w:w="10466"/>
        <w:tblBorders>
          <w:top w:val="single" w:color="DCE6E7" w:sz="4"/>
          <w:left w:val="single" w:color="DCE6E7" w:sz="4"/>
          <w:bottom w:val="single" w:color="DCE6E7" w:sz="4"/>
          <w:right w:val="single" w:color="DCE6E7" w:sz="4"/>
          <w:insideH w:val="single" w:color="DCE6E7" w:sz="4"/>
          <w:insideV w:val="single" w:color="DCE6E7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FBEE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MA VALEUR AJOUTÉE</w:t>
            </w:r>
          </w:p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8"/>
                <w:szCs w:val="18"/>
              </w:rPr>
              <w:t>J'ai transformé 3 000 retours issus de trois canaux en une base relationnelle unique et exploitable, puis en 17 indicateurs de satisfaction prêts pour la décision. Au-delà du requêtage, j'ai enrichi le modèle d'une dimension géographique, contrôlé les dénominateurs et la cohérence des données, et restitué les résultats à un interlocuteur non technique sans surinterpréter les écarts.</w:t>
            </w:r>
          </w:p>
        </w:tc>
      </w:tr>
    </w:tbl>
    <w:p>
      <w:pPr>
        <w:spacing w:after="80"/>
      </w:pPr>
    </w:p>
    <w:p>
      <w:pPr>
        <w:pBdr>
          <w:bottom w:val="single" w:color="0E5A66" w:sz="4"/>
        </w:pBdr>
        <w:spacing w:after="90" w:before="240"/>
      </w:pPr>
      <w:r>
        <w:rPr>
          <w:rFonts w:ascii="Corbel" w:cs="Corbel" w:eastAsia="Corbel" w:hAnsi="Corbel"/>
          <w:b/>
          <w:bCs/>
          <w:color w:val="C25438"/>
          <w:sz w:val="24"/>
          <w:szCs w:val="24"/>
        </w:rPr>
        <w:t xml:space="preserve">1.  </w:t>
      </w:r>
      <w:r>
        <w:rPr>
          <w:rFonts w:ascii="Corbel" w:cs="Corbel" w:eastAsia="Corbel" w:hAnsi="Corbel"/>
          <w:b/>
          <w:bCs/>
          <w:color w:val="0E5A66"/>
          <w:sz w:val="24"/>
          <w:szCs w:val="24"/>
        </w:rPr>
        <w:t xml:space="preserve">Synthèse exécutive</w:t>
      </w:r>
    </w:p>
    <w:p>
      <w:pPr>
        <w:spacing w:after="100" w:before="0"/>
      </w:pPr>
      <w:r>
        <w:rPr>
          <w:rFonts w:ascii="Corbel" w:cs="Corbel" w:eastAsia="Corbel" w:hAnsi="Corbel"/>
          <w:i/>
          <w:iCs/>
          <w:color w:val="6C7B7E"/>
          <w:sz w:val="18"/>
          <w:szCs w:val="18"/>
        </w:rPr>
        <w:t xml:space="preserve">Lecture recruteur / manager en moins d'une minute</w:t>
      </w:r>
    </w:p>
    <w:p>
      <w:pPr>
        <w:spacing w:after="80" w:before="0" w:line="264"/>
      </w:pPr>
      <w:r>
        <w:rPr>
          <w:rFonts w:ascii="Corbel" w:cs="Corbel" w:eastAsia="Corbel" w:hAnsi="Corbel"/>
          <w:b/>
          <w:bCs/>
          <w:i w:val="false"/>
          <w:iCs w:val="false"/>
          <w:color w:val="0E5A66"/>
          <w:sz w:val="20"/>
          <w:szCs w:val="20"/>
        </w:rPr>
        <w:t xml:space="preserve">Question directrice — </w:t>
      </w:r>
      <w:r>
        <w:rPr>
          <w:rFonts w:ascii="Corbel" w:cs="Corbel" w:eastAsia="Corbel" w:hAnsi="Corbel"/>
          <w:b w:val="false"/>
          <w:bCs w:val="false"/>
          <w:i w:val="false"/>
          <w:iCs w:val="false"/>
          <w:color w:val="1E2A2E"/>
          <w:sz w:val="20"/>
          <w:szCs w:val="20"/>
        </w:rPr>
        <w:t xml:space="preserve">comment transformer des retours clients dispersés sur trois canaux en une base exploitable et en indicateurs de satisfaction lisibles par un service client non technique ?</w:t>
      </w:r>
    </w:p>
    <w:p>
      <w:pPr>
        <w:spacing w:after="60" w:before="0" w:line="264"/>
      </w:pPr>
      <w:r>
        <w:rPr>
          <w:rFonts w:ascii="Corbel" w:cs="Corbel" w:eastAsia="Corbel" w:hAnsi="Corbel"/>
          <w:b/>
          <w:bCs/>
          <w:i w:val="false"/>
          <w:iCs w:val="false"/>
          <w:color w:val="0E5A66"/>
          <w:sz w:val="20"/>
          <w:szCs w:val="20"/>
        </w:rPr>
        <w:t xml:space="preserve">5 enjeux — </w:t>
      </w:r>
      <w:r>
        <w:rPr>
          <w:rFonts w:ascii="Corbel" w:cs="Corbel" w:eastAsia="Corbel" w:hAnsi="Corbel"/>
          <w:b w:val="false"/>
          <w:bCs w:val="false"/>
          <w:i w:val="false"/>
          <w:iCs w:val="false"/>
          <w:color w:val="1E2A2E"/>
          <w:sz w:val="20"/>
          <w:szCs w:val="20"/>
        </w:rPr>
        <w:t xml:space="preserve">vision consolidée des retours, satisfaction mesurée par des indicateurs clés, identification des leviers d'amélioration, décision data-driven et fidélisation client.</w:t>
      </w:r>
    </w:p>
    <w:p>
      <w:pPr>
        <w:pBdr>
          <w:bottom w:val="single" w:color="0E5A66" w:sz="4"/>
        </w:pBdr>
        <w:spacing w:after="90" w:before="240"/>
      </w:pPr>
      <w:r>
        <w:rPr>
          <w:rFonts w:ascii="Corbel" w:cs="Corbel" w:eastAsia="Corbel" w:hAnsi="Corbel"/>
          <w:b/>
          <w:bCs/>
          <w:color w:val="C25438"/>
          <w:sz w:val="24"/>
          <w:szCs w:val="24"/>
        </w:rPr>
        <w:t xml:space="preserve">2.  </w:t>
      </w:r>
      <w:r>
        <w:rPr>
          <w:rFonts w:ascii="Corbel" w:cs="Corbel" w:eastAsia="Corbel" w:hAnsi="Corbel"/>
          <w:b/>
          <w:bCs/>
          <w:color w:val="0E5A66"/>
          <w:sz w:val="24"/>
          <w:szCs w:val="24"/>
        </w:rPr>
        <w:t xml:space="preserve">Données : sources, qualité et limites</w:t>
      </w:r>
    </w:p>
    <w:tbl>
      <w:tblPr>
        <w:tblW w:type="dxa" w:w="10466"/>
        <w:tblBorders>
          <w:top w:val="single" w:color="DCE6E7" w:sz="4"/>
          <w:left w:val="single" w:color="DCE6E7" w:sz="4"/>
          <w:bottom w:val="single" w:color="DCE6E7" w:sz="4"/>
          <w:right w:val="single" w:color="DCE6E7" w:sz="4"/>
          <w:insideH w:val="single" w:color="DCE6E7" w:sz="4"/>
          <w:insideV w:val="single" w:color="DCE6E7" w:sz="4"/>
        </w:tblBorders>
      </w:tblPr>
      <w:tblGrid>
        <w:gridCol w:w="2600"/>
        <w:gridCol w:w="7866"/>
      </w:tblGrid>
      <w:tr>
        <w:trPr>
          <w:tblHeader/>
        </w:trPr>
        <w:tc>
          <w:tcPr>
            <w:tcW w:type="dxa" w:w="26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Élément</w:t>
            </w:r>
          </w:p>
        </w:tc>
        <w:tc>
          <w:tcPr>
            <w:tcW w:type="dxa" w:w="78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7"/>
                <w:szCs w:val="17"/>
              </w:rPr>
              <w:t xml:space="preserve">Source principale</w:t>
            </w:r>
          </w:p>
        </w:tc>
        <w:tc>
          <w:tcPr>
            <w:tcW w:type="dxa" w:w="78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>Base SQLite customer_data_feedback — 3 000 retours de 2021 : note (0–10), canal, catégorie, recommandation codée 1 / 0 / vide et date d'achat.</w:t>
            </w:r>
          </w:p>
        </w:tc>
      </w:tr>
      <w:tr>
        <w:tc>
          <w:tcPr>
            <w:tcW w:type="dxa" w:w="26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7"/>
                <w:szCs w:val="17"/>
              </w:rPr>
              <w:t xml:space="preserve">Dimension produit</w:t>
            </w:r>
          </w:p>
        </w:tc>
        <w:tc>
          <w:tcPr>
            <w:tcW w:type="dxa" w:w="78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 xml:space="preserve">Table produit (145 lignes) — typologie et titre de produit.</w:t>
            </w:r>
          </w:p>
        </w:tc>
      </w:tr>
      <w:tr>
        <w:tc>
          <w:tcPr>
            <w:tcW w:type="dxa" w:w="26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7"/>
                <w:szCs w:val="17"/>
              </w:rPr>
              <w:t xml:space="preserve">Dimension magasin</w:t>
            </w:r>
          </w:p>
        </w:tc>
        <w:tc>
          <w:tcPr>
            <w:tcW w:type="dxa" w:w="78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 xml:space="preserve">Table ref_magasin (84 lignes, référentiel INSEE) — département, commune, population, coordonnées.</w:t>
            </w:r>
          </w:p>
        </w:tc>
      </w:tr>
      <w:tr>
        <w:tc>
          <w:tcPr>
            <w:tcW w:type="dxa" w:w="26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7"/>
                <w:szCs w:val="17"/>
              </w:rPr>
              <w:t xml:space="preserve">Enrichissement</w:t>
            </w:r>
          </w:p>
        </w:tc>
        <w:tc>
          <w:tcPr>
            <w:tcW w:type="dxa" w:w="78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 xml:space="preserve">Table ref_magasin ajoutée à partir d'un fichier CSV (encodage UTF-8) pour permettre l'analyse géographique.</w:t>
            </w:r>
          </w:p>
        </w:tc>
      </w:tr>
      <w:tr>
        <w:tc>
          <w:tcPr>
            <w:tcW w:type="dxa" w:w="26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7"/>
                <w:szCs w:val="17"/>
              </w:rPr>
              <w:t xml:space="preserve">Volumétrie</w:t>
            </w:r>
          </w:p>
        </w:tc>
        <w:tc>
          <w:tcPr>
            <w:tcW w:type="dxa" w:w="78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 xml:space="preserve">3 tables · schéma en étoile · 2 clés étrangères reliant retour_client à produit et à ref_magasin.</w:t>
            </w:r>
          </w:p>
        </w:tc>
      </w:tr>
      <w:tr>
        <w:tc>
          <w:tcPr>
            <w:tcW w:type="dxa" w:w="26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7"/>
                <w:szCs w:val="17"/>
              </w:rPr>
              <w:t xml:space="preserve">Qualité</w:t>
            </w:r>
          </w:p>
        </w:tc>
        <w:tc>
          <w:tcPr>
            <w:tcW w:type="dxa" w:w="78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>0 doublon de clé primaire · 0 référence produit ou magasin orpheline · notes et dates dans les plages attendues · 674 recommandations manquantes isolées.</w:t>
            </w:r>
          </w:p>
        </w:tc>
      </w:tr>
      <w:tr>
        <w:tc>
          <w:tcPr>
            <w:tcW w:type="dxa" w:w="26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7"/>
                <w:szCs w:val="17"/>
              </w:rPr>
              <w:t xml:space="preserve">Limites</w:t>
            </w:r>
          </w:p>
        </w:tc>
        <w:tc>
          <w:tcPr>
            <w:tcW w:type="dxa" w:w="78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>Un retour n'équivaut pas à un client unique · données 2021 uniquement · 674 recommandations manquantes (22,5 %), toutes concentrées sur les réseaux sociaux · effectifs très inégaux (Alimentaire 2 440 vs Maison 67).</w:t>
            </w:r>
          </w:p>
        </w:tc>
      </w:tr>
    </w:tbl>
    <w:p>
      <w:pPr>
        <w:pBdr>
          <w:bottom w:val="single" w:color="0E5A66" w:sz="4"/>
        </w:pBdr>
        <w:spacing w:after="90" w:before="240"/>
      </w:pPr>
      <w:r>
        <w:rPr>
          <w:rFonts w:ascii="Corbel" w:cs="Corbel" w:eastAsia="Corbel" w:hAnsi="Corbel"/>
          <w:b/>
          <w:bCs/>
          <w:color w:val="C25438"/>
          <w:sz w:val="24"/>
          <w:szCs w:val="24"/>
        </w:rPr>
        <w:t xml:space="preserve">3.  </w:t>
      </w:r>
      <w:r>
        <w:rPr>
          <w:rFonts w:ascii="Corbel" w:cs="Corbel" w:eastAsia="Corbel" w:hAnsi="Corbel"/>
          <w:b/>
          <w:bCs/>
          <w:color w:val="0E5A66"/>
          <w:sz w:val="24"/>
          <w:szCs w:val="24"/>
        </w:rPr>
        <w:t xml:space="preserve">Démarche STAR</w:t>
      </w:r>
    </w:p>
    <w:p>
      <w:pPr>
        <w:spacing w:after="100" w:before="0"/>
      </w:pPr>
      <w:r>
        <w:rPr>
          <w:rFonts w:ascii="Corbel" w:cs="Corbel" w:eastAsia="Corbel" w:hAnsi="Corbel"/>
          <w:i/>
          <w:iCs/>
          <w:color w:val="6C7B7E"/>
          <w:sz w:val="18"/>
          <w:szCs w:val="18"/>
        </w:rPr>
        <w:t xml:space="preserve">Une narration orientée recruteur / client</w:t>
      </w:r>
    </w:p>
    <w:tbl>
      <w:tblPr>
        <w:tblW w:type="dxa" w:w="10466"/>
        <w:tblBorders>
          <w:top w:val="single" w:color="DCE6E7" w:sz="4"/>
          <w:left w:val="single" w:color="DCE6E7" w:sz="4"/>
          <w:bottom w:val="single" w:color="DCE6E7" w:sz="4"/>
          <w:right w:val="single" w:color="DCE6E7" w:sz="4"/>
          <w:insideH w:val="single" w:color="DCE6E7" w:sz="4"/>
          <w:insideV w:val="single" w:color="DCE6E7" w:sz="4"/>
        </w:tblBorders>
      </w:tblPr>
      <w:tblGrid>
        <w:gridCol w:w="620"/>
        <w:gridCol w:w="9846"/>
      </w:tblGrid>
      <w:tr>
        <w:tc>
          <w:tcPr>
            <w:tcW w:type="dxa" w:w="62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28"/>
                <w:szCs w:val="28"/>
              </w:rPr>
              <w:t xml:space="preserve">S</w:t>
            </w:r>
          </w:p>
        </w:tc>
        <w:tc>
          <w:tcPr>
            <w:tcW w:type="dxa" w:w="984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SITUATION</w:t>
            </w:r>
          </w:p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>BestMarket dispose de 3 000 retours collectés en 2021 via trois canaux (réseaux sociaux, email, téléphone), mais sans lecture consolidée de la satisfaction ni des écarts par produit, magasin ou période.</w:t>
            </w:r>
          </w:p>
        </w:tc>
      </w:tr>
      <w:tr>
        <w:tc>
          <w:tcPr>
            <w:tcW w:type="dxa" w:w="62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28"/>
                <w:szCs w:val="28"/>
              </w:rPr>
              <w:t xml:space="preserve">T</w:t>
            </w:r>
          </w:p>
        </w:tc>
        <w:tc>
          <w:tcPr>
            <w:tcW w:type="dxa" w:w="984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TÂCHE</w:t>
            </w:r>
          </w:p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 xml:space="preserve">Centraliser ces retours dans une base SQL, enrichir le modèle pour permettre l'analyse géographique, produire les 17 indicateurs demandés (notes, NPS, recommandation) et les restituer à un responsable non technique.</w:t>
            </w:r>
          </w:p>
        </w:tc>
      </w:tr>
      <w:tr>
        <w:tc>
          <w:tcPr>
            <w:tcW w:type="dxa" w:w="62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984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ACTIONS</w:t>
            </w:r>
          </w:p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 xml:space="preserve">1. Reformuler le besoin (5 axes, 17 indicateurs). 2. Charger la base SQLite et vérifier son intégrité. 3. Enrichir le modèle — table ref_magasin (CSV UTF-8), dictionnaire et schéma à jour. 4. Écrire les requêtes SQL (JOIN, GROUP BY, agrégats, dates, CTE). 5. Contrôler la cohérence. 6. Restituer les résultats en langage métier.</w:t>
            </w:r>
          </w:p>
        </w:tc>
      </w:tr>
      <w:tr>
        <w:tc>
          <w:tcPr>
            <w:tcW w:type="dxa" w:w="62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28"/>
                <w:szCs w:val="28"/>
              </w:rPr>
              <w:t xml:space="preserve">R</w:t>
            </w:r>
          </w:p>
        </w:tc>
        <w:tc>
          <w:tcPr>
            <w:tcW w:type="dxa" w:w="984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RÉSULTATS</w:t>
            </w:r>
          </w:p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7"/>
                <w:szCs w:val="17"/>
              </w:rPr>
              <w:t>Une base en étoile de 3 tables et 17 indicateurs livrés sur 5 axes. Note moyenne : 8,05/10 ; NPS : +31 ; 90,9 % de recommandations parmi les 2 326 réponses exploitables (70,5 % rapporté aux 3 000 retours). Le téléphone est légèrement mieux noté (8,14) et le Drive est la catégorie la moins bien notée (7,94), avec des écarts descriptifs à investiguer.</w:t>
            </w:r>
          </w:p>
        </w:tc>
      </w:tr>
    </w:tbl>
    <w:p>
      <w:pPr>
        <w:spacing w:after="80"/>
      </w:pPr>
    </w:p>
    <w:p>
      <w:pPr>
        <w:spacing w:after="60" w:before="0" w:line="264"/>
      </w:pPr>
      <w:r>
        <w:rPr>
          <w:rFonts w:ascii="Corbel" w:cs="Corbel" w:eastAsia="Corbel" w:hAnsi="Corbel"/>
          <w:b/>
          <w:bCs/>
          <w:i w:val="false"/>
          <w:iCs w:val="false"/>
          <w:color w:val="0E5A66"/>
          <w:sz w:val="20"/>
          <w:szCs w:val="20"/>
        </w:rPr>
        <w:t xml:space="preserve">Pipeline de travail — </w:t>
      </w:r>
      <w:r>
        <w:rPr>
          <w:rFonts w:ascii="Corbel" w:cs="Corbel" w:eastAsia="Corbel" w:hAnsi="Corbel"/>
          <w:b w:val="false"/>
          <w:bCs w:val="false"/>
          <w:i/>
          <w:iCs/>
          <w:color w:val="6C7B7E"/>
          <w:sz w:val="20"/>
          <w:szCs w:val="20"/>
        </w:rPr>
        <w:t xml:space="preserve">des retours dispersés aux indicateurs de décision.</w:t>
      </w:r>
    </w:p>
    <w:tbl>
      <w:tblPr>
        <w:tblW w:type="dxa" w:w="10466"/>
        <w:tblBorders>
          <w:top w:val="single" w:color="DCE6E7" w:sz="4"/>
          <w:left w:val="single" w:color="DCE6E7" w:sz="4"/>
          <w:bottom w:val="single" w:color="DCE6E7" w:sz="4"/>
          <w:right w:val="single" w:color="DCE6E7" w:sz="4"/>
          <w:insideH w:val="single" w:color="DCE6E7" w:sz="4"/>
          <w:insideV w:val="single" w:color="DCE6E7" w:sz="4"/>
        </w:tblBorders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W w:type="dxa" w:w="1744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22"/>
                <w:szCs w:val="22"/>
              </w:rPr>
              <w:t xml:space="preserve">1</w:t>
            </w:r>
          </w:p>
          <w:p>
            <w:pPr>
              <w:spacing w:after="16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 xml:space="preserve">Reformuler</w:t>
            </w:r>
          </w:p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6C7B7E"/>
                <w:sz w:val="13"/>
                <w:szCs w:val="13"/>
              </w:rPr>
              <w:t xml:space="preserve">5 axes · 17 indicateurs</w:t>
            </w:r>
          </w:p>
        </w:tc>
        <w:tc>
          <w:tcPr>
            <w:tcW w:type="dxa" w:w="1744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22"/>
                <w:szCs w:val="22"/>
              </w:rPr>
              <w:t xml:space="preserve">2</w:t>
            </w:r>
          </w:p>
          <w:p>
            <w:pPr>
              <w:spacing w:after="16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 xml:space="preserve">Charger</w:t>
            </w:r>
          </w:p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6C7B7E"/>
                <w:sz w:val="13"/>
                <w:szCs w:val="13"/>
              </w:rPr>
              <w:t xml:space="preserve">base SQLite vérifiée</w:t>
            </w:r>
          </w:p>
        </w:tc>
        <w:tc>
          <w:tcPr>
            <w:tcW w:type="dxa" w:w="1744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22"/>
                <w:szCs w:val="22"/>
              </w:rPr>
              <w:t xml:space="preserve">3</w:t>
            </w:r>
          </w:p>
          <w:p>
            <w:pPr>
              <w:spacing w:after="16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 xml:space="preserve">Enrichir</w:t>
            </w:r>
          </w:p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6C7B7E"/>
                <w:sz w:val="13"/>
                <w:szCs w:val="13"/>
              </w:rPr>
              <w:t xml:space="preserve">table magasin · schéma</w:t>
            </w:r>
          </w:p>
        </w:tc>
        <w:tc>
          <w:tcPr>
            <w:tcW w:type="dxa" w:w="1744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22"/>
                <w:szCs w:val="22"/>
              </w:rPr>
              <w:t xml:space="preserve">4</w:t>
            </w:r>
          </w:p>
          <w:p>
            <w:pPr>
              <w:spacing w:after="16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 xml:space="preserve">Requêter</w:t>
            </w:r>
          </w:p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6C7B7E"/>
                <w:sz w:val="13"/>
                <w:szCs w:val="13"/>
              </w:rPr>
              <w:t xml:space="preserve">JOIN · agrégats · CTE</w:t>
            </w:r>
          </w:p>
        </w:tc>
        <w:tc>
          <w:tcPr>
            <w:tcW w:type="dxa" w:w="1744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22"/>
                <w:szCs w:val="22"/>
              </w:rPr>
              <w:t xml:space="preserve">5</w:t>
            </w:r>
          </w:p>
          <w:p>
            <w:pPr>
              <w:spacing w:after="16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 xml:space="preserve">Contrôler</w:t>
            </w:r>
          </w:p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6C7B7E"/>
                <w:sz w:val="13"/>
                <w:szCs w:val="13"/>
              </w:rPr>
              <w:t xml:space="preserve">doublons · nuls · FK</w:t>
            </w:r>
          </w:p>
        </w:tc>
        <w:tc>
          <w:tcPr>
            <w:tcW w:type="dxa" w:w="1744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22"/>
                <w:szCs w:val="22"/>
              </w:rPr>
              <w:t xml:space="preserve">6</w:t>
            </w:r>
          </w:p>
          <w:p>
            <w:pPr>
              <w:spacing w:after="16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 xml:space="preserve">Restituer</w:t>
            </w:r>
          </w:p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6C7B7E"/>
                <w:sz w:val="13"/>
                <w:szCs w:val="13"/>
              </w:rPr>
              <w:t xml:space="preserve">service client non tech.</w:t>
            </w:r>
          </w:p>
        </w:tc>
      </w:tr>
    </w:tbl>
    <w:p>
      <w:pPr>
        <w:pBdr>
          <w:bottom w:val="single" w:color="0E5A66" w:sz="4"/>
        </w:pBdr>
        <w:spacing w:after="90" w:before="240"/>
      </w:pPr>
      <w:r>
        <w:rPr>
          <w:rFonts w:ascii="Corbel" w:cs="Corbel" w:eastAsia="Corbel" w:hAnsi="Corbel"/>
          <w:b/>
          <w:bCs/>
          <w:color w:val="C25438"/>
          <w:sz w:val="24"/>
          <w:szCs w:val="24"/>
        </w:rPr>
        <w:t xml:space="preserve">4.  </w:t>
      </w:r>
      <w:r>
        <w:rPr>
          <w:rFonts w:ascii="Corbel" w:cs="Corbel" w:eastAsia="Corbel" w:hAnsi="Corbel"/>
          <w:b/>
          <w:bCs/>
          <w:color w:val="0E5A66"/>
          <w:sz w:val="24"/>
          <w:szCs w:val="24"/>
        </w:rPr>
        <w:t xml:space="preserve">Le modèle de données — 3 tables en étoile</w:t>
      </w:r>
    </w:p>
    <w:p>
      <w:pPr>
        <w:spacing w:after="40" w:before="0" w:line="264"/>
      </w:pPr>
      <w:r>
        <w:rPr>
          <w:rFonts w:ascii="Corbel" w:cs="Corbel" w:eastAsia="Corbel" w:hAnsi="Corbel"/>
          <w:b w:val="false"/>
          <w:bCs w:val="false"/>
          <w:i w:val="false"/>
          <w:iCs w:val="false"/>
          <w:color w:val="1E2A2E"/>
          <w:sz w:val="20"/>
          <w:szCs w:val="20"/>
        </w:rPr>
        <w:t xml:space="preserve">Le projet repose sur un schéma en étoile : une table de faits centrale et deux dimensions, reliées par des clés étrangères.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orbel" w:cs="Corbel" w:eastAsia="Corbel" w:hAnsi="Corbel"/>
          <w:color w:val="33454A"/>
          <w:sz w:val="19"/>
          <w:szCs w:val="19"/>
        </w:rPr>
        <w:t xml:space="preserve">Table de faits : retour_client (3 000 lignes) — chaque avis client.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orbel" w:cs="Corbel" w:eastAsia="Corbel" w:hAnsi="Corbel"/>
          <w:color w:val="33454A"/>
          <w:sz w:val="19"/>
          <w:szCs w:val="19"/>
        </w:rPr>
        <w:t xml:space="preserve">Deux dimensions : produit (145) et ref_magasin (84, ajoutée pour la géographie).</w:t>
      </w:r>
    </w:p>
    <w:p>
      <w:pPr>
        <w:pStyle w:val="ListParagraph"/>
        <w:numPr>
          <w:ilvl w:val="0"/>
          <w:numId w:val="1"/>
        </w:numPr>
        <w:spacing w:after="40" w:line="252"/>
      </w:pPr>
      <w:r>
        <w:rPr>
          <w:rFonts w:ascii="Corbel" w:cs="Corbel" w:eastAsia="Corbel" w:hAnsi="Corbel"/>
          <w:color w:val="33454A"/>
          <w:sz w:val="19"/>
          <w:szCs w:val="19"/>
        </w:rPr>
        <w:t xml:space="preserve">Deux clés étrangères : cle_produit → produit, ref_magasin → ref_magasin.</w:t>
      </w:r>
    </w:p>
    <w:p>
      <w:pPr>
        <w:spacing w:after="40"/>
      </w:pPr>
    </w:p>
    <w:tbl>
      <w:tblPr>
        <w:tblW w:type="dxa" w:w="10466"/>
        <w:tblBorders>
          <w:top w:val="single" w:color="DCE6E7" w:sz="4"/>
          <w:left w:val="single" w:color="DCE6E7" w:sz="4"/>
          <w:bottom w:val="single" w:color="DCE6E7" w:sz="4"/>
          <w:right w:val="single" w:color="DCE6E7" w:sz="4"/>
          <w:insideH w:val="single" w:color="DCE6E7" w:sz="4"/>
          <w:insideV w:val="single" w:color="DCE6E7" w:sz="4"/>
        </w:tblBorders>
      </w:tblPr>
      <w:tblGrid>
        <w:gridCol w:w="2000"/>
        <w:gridCol w:w="2400"/>
        <w:gridCol w:w="4066"/>
        <w:gridCol w:w="2000"/>
      </w:tblGrid>
      <w:tr>
        <w:trPr>
          <w:tblHeader/>
        </w:trPr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  <w:tc>
          <w:tcPr>
            <w:tcW w:type="dxa" w:w="40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Colonnes clés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Volume</w:t>
            </w:r>
          </w:p>
        </w:tc>
      </w:tr>
      <w:tr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produit</w:t>
            </w:r>
          </w:p>
        </w:tc>
        <w:tc>
          <w:tcPr>
            <w:tcW w:type="dxa" w:w="2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Dimension</w:t>
            </w:r>
          </w:p>
        </w:tc>
        <w:tc>
          <w:tcPr>
            <w:tcW w:type="dxa" w:w="40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 xml:space="preserve">cle_produit (PK), typologie_produit, titre_produit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145 lignes</w:t>
            </w:r>
          </w:p>
        </w:tc>
      </w:tr>
      <w:tr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retour_client</w:t>
            </w:r>
          </w:p>
        </w:tc>
        <w:tc>
          <w:tcPr>
            <w:tcW w:type="dxa" w:w="2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Table de faits</w:t>
            </w:r>
          </w:p>
        </w:tc>
        <w:tc>
          <w:tcPr>
            <w:tcW w:type="dxa" w:w="40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 xml:space="preserve">cle_retour_client (PK), note, recommandation, date_achat, libelle_source, libelle_categorie, cle_produit (FK), ref_magasin (FK)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3 000 lignes</w:t>
            </w:r>
          </w:p>
        </w:tc>
      </w:tr>
      <w:tr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ref_magasin  (+ ajoutée)</w:t>
            </w:r>
          </w:p>
        </w:tc>
        <w:tc>
          <w:tcPr>
            <w:tcW w:type="dxa" w:w="2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Dimension</w:t>
            </w:r>
          </w:p>
        </w:tc>
        <w:tc>
          <w:tcPr>
            <w:tcW w:type="dxa" w:w="40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 xml:space="preserve">ref_magasin (PK), departement, libelle_de_commune, population, geo_point_2d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84 lignes</w:t>
            </w:r>
          </w:p>
        </w:tc>
      </w:tr>
    </w:tbl>
    <w:p>
      <w:pPr>
        <w:pBdr>
          <w:bottom w:val="single" w:color="0E5A66" w:sz="4"/>
        </w:pBdr>
        <w:spacing w:after="90" w:before="240"/>
      </w:pPr>
      <w:r>
        <w:rPr>
          <w:rFonts w:ascii="Corbel" w:cs="Corbel" w:eastAsia="Corbel" w:hAnsi="Corbel"/>
          <w:b/>
          <w:bCs/>
          <w:color w:val="C25438"/>
          <w:sz w:val="24"/>
          <w:szCs w:val="24"/>
        </w:rPr>
        <w:t xml:space="preserve">5.  </w:t>
      </w:r>
      <w:r>
        <w:rPr>
          <w:rFonts w:ascii="Corbel" w:cs="Corbel" w:eastAsia="Corbel" w:hAnsi="Corbel"/>
          <w:b/>
          <w:bCs/>
          <w:color w:val="0E5A66"/>
          <w:sz w:val="24"/>
          <w:szCs w:val="24"/>
        </w:rPr>
        <w:t xml:space="preserve">Ce que j'ai réalisé (SQL)</w:t>
      </w:r>
    </w:p>
    <w:p>
      <w:pPr>
        <w:spacing w:after="100" w:before="0"/>
      </w:pPr>
      <w:r>
        <w:rPr>
          <w:rFonts w:ascii="Corbel" w:cs="Corbel" w:eastAsia="Corbel" w:hAnsi="Corbel"/>
          <w:i/>
          <w:iCs/>
          <w:color w:val="6C7B7E"/>
          <w:sz w:val="18"/>
          <w:szCs w:val="18"/>
        </w:rPr>
        <w:t xml:space="preserve">Compétences techniques observables</w:t>
      </w:r>
    </w:p>
    <w:tbl>
      <w:tblPr>
        <w:tblW w:type="dxa" w:w="10466"/>
        <w:tblBorders>
          <w:top w:val="single" w:color="DCE6E7" w:sz="4"/>
          <w:left w:val="single" w:color="DCE6E7" w:sz="4"/>
          <w:bottom w:val="single" w:color="DCE6E7" w:sz="4"/>
          <w:right w:val="single" w:color="DCE6E7" w:sz="4"/>
          <w:insideH w:val="single" w:color="DCE6E7" w:sz="4"/>
          <w:insideV w:val="single" w:color="DCE6E7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Étape</w:t>
            </w:r>
          </w:p>
        </w:tc>
        <w:tc>
          <w:tcPr>
            <w:tcW w:type="dxa" w:w="52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Actions réalisées</w:t>
            </w:r>
          </w:p>
        </w:tc>
        <w:tc>
          <w:tcPr>
            <w:tcW w:type="dxa" w:w="3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Fonctionnalités / outils</w:t>
            </w:r>
          </w:p>
        </w:tc>
      </w:tr>
      <w:tr>
        <w:tc>
          <w:tcPr>
            <w:tcW w:type="dxa" w:w="22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Chargement</w:t>
            </w:r>
          </w:p>
        </w:tc>
        <w:tc>
          <w:tcPr>
            <w:tcW w:type="dxa" w:w="52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Import de la base SQLite, vérification de l'intégrité et d'une requête de test.</w:t>
            </w:r>
          </w:p>
        </w:tc>
        <w:tc>
          <w:tcPr>
            <w:tcW w:type="dxa" w:w="3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 xml:space="preserve">SQLite · SQLiteStudio</w:t>
            </w:r>
          </w:p>
        </w:tc>
      </w:tr>
      <w:tr>
        <w:tc>
          <w:tcPr>
            <w:tcW w:type="dxa" w:w="22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Enrichissement du modèle</w:t>
            </w:r>
          </w:p>
        </w:tc>
        <w:tc>
          <w:tcPr>
            <w:tcW w:type="dxa" w:w="52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Création de la table ref_magasin depuis un CSV (UTF-8) ; mise à jour du dictionnaire de données et du schéma relationnel.</w:t>
            </w:r>
          </w:p>
        </w:tc>
        <w:tc>
          <w:tcPr>
            <w:tcW w:type="dxa" w:w="3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 xml:space="preserve">Import CSV · SQL Power Architect · DDL</w:t>
            </w:r>
          </w:p>
        </w:tc>
      </w:tr>
      <w:tr>
        <w:tc>
          <w:tcPr>
            <w:tcW w:type="dxa" w:w="22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Requêtage</w:t>
            </w:r>
          </w:p>
        </w:tc>
        <w:tc>
          <w:tcPr>
            <w:tcW w:type="dxa" w:w="52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17 requêtes d'analyse : agrégats, classements, filtres sur agrégats, croisements.</w:t>
            </w:r>
          </w:p>
        </w:tc>
        <w:tc>
          <w:tcPr>
            <w:tcW w:type="dxa" w:w="3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 xml:space="preserve">SELECT · JOIN · GROUP BY · HAVING · ORDER BY · LIMIT</w:t>
            </w:r>
          </w:p>
        </w:tc>
      </w:tr>
      <w:tr>
        <w:tc>
          <w:tcPr>
            <w:tcW w:type="dxa" w:w="22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Analyse temporelle</w:t>
            </w:r>
          </w:p>
        </w:tc>
        <w:tc>
          <w:tcPr>
            <w:tcW w:type="dxa" w:w="52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Score par jour, retours SAV par mois, variation T1/T2 par typologie.</w:t>
            </w:r>
          </w:p>
        </w:tc>
        <w:tc>
          <w:tcPr>
            <w:tcW w:type="dxa" w:w="3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 xml:space="preserve">strftime · CASE · WITH (CTE)</w:t>
            </w:r>
          </w:p>
        </w:tc>
      </w:tr>
      <w:tr>
        <w:tc>
          <w:tcPr>
            <w:tcW w:type="dxa" w:w="22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Contrôle de cohérence</w:t>
            </w:r>
          </w:p>
        </w:tc>
        <w:tc>
          <w:tcPr>
            <w:tcW w:type="dxa" w:w="52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Vérification des doublons, des valeurs nulles et de l'intégrité des clés étrangères.</w:t>
            </w:r>
          </w:p>
        </w:tc>
        <w:tc>
          <w:tcPr>
            <w:tcW w:type="dxa" w:w="3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 xml:space="preserve">SQL de contrôle · jointures</w:t>
            </w:r>
          </w:p>
        </w:tc>
      </w:tr>
      <w:tr>
        <w:tc>
          <w:tcPr>
            <w:tcW w:type="dxa" w:w="22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Restitution</w:t>
            </w:r>
          </w:p>
        </w:tc>
        <w:tc>
          <w:tcPr>
            <w:tcW w:type="dxa" w:w="52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Synthèse claire et non technique des résultats pour le service client.</w:t>
            </w:r>
          </w:p>
        </w:tc>
        <w:tc>
          <w:tcPr>
            <w:tcW w:type="dxa" w:w="3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 xml:space="preserve">PowerPoint · PDF</w:t>
            </w:r>
          </w:p>
        </w:tc>
      </w:tr>
    </w:tbl>
    <w:p>
      <w:pPr>
        <w:pBdr>
          <w:bottom w:val="single" w:color="0E5A66" w:sz="4"/>
        </w:pBdr>
        <w:spacing w:after="90" w:before="240"/>
      </w:pPr>
      <w:r>
        <w:rPr>
          <w:rFonts w:ascii="Corbel" w:cs="Corbel" w:eastAsia="Corbel" w:hAnsi="Corbel"/>
          <w:b/>
          <w:bCs/>
          <w:color w:val="C25438"/>
          <w:sz w:val="24"/>
          <w:szCs w:val="24"/>
        </w:rPr>
        <w:t xml:space="preserve">6.  </w:t>
      </w:r>
      <w:r>
        <w:rPr>
          <w:rFonts w:ascii="Corbel" w:cs="Corbel" w:eastAsia="Corbel" w:hAnsi="Corbel"/>
          <w:b/>
          <w:bCs/>
          <w:color w:val="0E5A66"/>
          <w:sz w:val="24"/>
          <w:szCs w:val="24"/>
        </w:rPr>
        <w:t xml:space="preserve">Résultats, impact et recommandations</w:t>
      </w:r>
    </w:p>
    <w:p>
      <w:pPr>
        <w:spacing w:after="100" w:before="0"/>
      </w:pPr>
      <w:r>
        <w:rPr>
          <w:rFonts w:ascii="Corbel" w:cs="Corbel" w:eastAsia="Corbel" w:hAnsi="Corbel"/>
          <w:i/>
          <w:iCs/>
          <w:color w:val="6C7B7E"/>
          <w:sz w:val="18"/>
          <w:szCs w:val="18"/>
        </w:rPr>
        <w:t xml:space="preserve">Des données aux décisions</w:t>
      </w:r>
    </w:p>
    <w:tbl>
      <w:tblPr>
        <w:tblW w:type="dxa" w:w="10466"/>
        <w:tblBorders>
          <w:top w:val="single" w:color="DCE6E7" w:sz="4"/>
          <w:left w:val="single" w:color="DCE6E7" w:sz="4"/>
          <w:bottom w:val="single" w:color="DCE6E7" w:sz="4"/>
          <w:right w:val="single" w:color="DCE6E7" w:sz="4"/>
          <w:insideH w:val="single" w:color="DCE6E7" w:sz="4"/>
          <w:insideV w:val="single" w:color="DCE6E7" w:sz="4"/>
        </w:tblBorders>
      </w:tblPr>
      <w:tblGrid>
        <w:gridCol w:w="3489"/>
        <w:gridCol w:w="3489"/>
        <w:gridCol w:w="3488"/>
      </w:tblGrid>
      <w:tr>
        <w:tc>
          <w:tcPr>
            <w:tcW w:type="dxa" w:w="3489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A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6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30"/>
                <w:szCs w:val="30"/>
              </w:rPr>
              <w:t xml:space="preserve">8,05 / 10</w:t>
            </w:r>
          </w:p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6C7B7E"/>
                <w:sz w:val="14"/>
                <w:szCs w:val="14"/>
              </w:rPr>
              <w:t xml:space="preserve">note moyenne · 3 000 retours</w:t>
            </w:r>
          </w:p>
        </w:tc>
        <w:tc>
          <w:tcPr>
            <w:tcW w:type="dxa" w:w="3489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E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6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30"/>
                <w:szCs w:val="30"/>
              </w:rPr>
              <w:t xml:space="preserve">+31</w:t>
            </w:r>
          </w:p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6C7B7E"/>
                <w:sz w:val="14"/>
                <w:szCs w:val="14"/>
              </w:rPr>
              <w:t>NPS global · 40,0 % promoteurs · 9,0 % détracteurs</w:t>
            </w:r>
          </w:p>
        </w:tc>
        <w:tc>
          <w:tcPr>
            <w:tcW w:type="dxa" w:w="3488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6" w:line="252"/>
              <w:jc w:val="center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30"/>
                <w:szCs w:val="30"/>
              </w:rPr>
              <w:t>90,9 %</w:t>
            </w:r>
          </w:p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6C7B7E"/>
                <w:sz w:val="14"/>
                <w:szCs w:val="14"/>
              </w:rPr>
              <w:t>des 2 326 réponses exploitables · 70,5 % de tous les retours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DCE6E7" w:sz="4"/>
          <w:left w:val="single" w:color="DCE6E7" w:sz="4"/>
          <w:bottom w:val="single" w:color="DCE6E7" w:sz="4"/>
          <w:right w:val="single" w:color="DCE6E7" w:sz="4"/>
          <w:insideH w:val="single" w:color="DCE6E7" w:sz="4"/>
          <w:insideV w:val="single" w:color="DCE6E7" w:sz="4"/>
        </w:tblBorders>
      </w:tblPr>
      <w:tblGrid>
        <w:gridCol w:w="3300"/>
        <w:gridCol w:w="5166"/>
        <w:gridCol w:w="2000"/>
      </w:tblGrid>
      <w:tr>
        <w:trPr>
          <w:tblHeader/>
        </w:trPr>
        <w:tc>
          <w:tcPr>
            <w:tcW w:type="dxa" w:w="33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Constat</w:t>
            </w:r>
          </w:p>
        </w:tc>
        <w:tc>
          <w:tcPr>
            <w:tcW w:type="dxa" w:w="51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Lecture métier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Indicateur</w:t>
            </w:r>
          </w:p>
        </w:tc>
      </w:tr>
      <w:tr>
        <w:tc>
          <w:tcPr>
            <w:tcW w:type="dxa" w:w="33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>Satisfaction globale élevée</w:t>
            </w:r>
          </w:p>
        </w:tc>
        <w:tc>
          <w:tcPr>
            <w:tcW w:type="dxa" w:w="51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Note moyenne 8,05 et NPS +31 ; le taux de recommandation doit toujours être accompagné de son dénominateur.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0E5A66"/>
                <w:sz w:val="15"/>
                <w:szCs w:val="15"/>
              </w:rPr>
              <w:t xml:space="preserve">I13 · I14</w:t>
            </w:r>
          </w:p>
        </w:tc>
      </w:tr>
      <w:tr>
        <w:tc>
          <w:tcPr>
            <w:tcW w:type="dxa" w:w="33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>Le téléphone est légèrement en tête (8,14 vs email 7,98)</w:t>
            </w:r>
          </w:p>
        </w:tc>
        <w:tc>
          <w:tcPr>
            <w:tcW w:type="dxa" w:w="51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Écart modéré et descriptif : comparer motifs, délais et profils avant d'attribuer l'écart au canal.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0E5A66"/>
                <w:sz w:val="15"/>
                <w:szCs w:val="15"/>
              </w:rPr>
              <w:t xml:space="preserve">I15 · AC1</w:t>
            </w:r>
          </w:p>
        </w:tc>
      </w:tr>
      <w:tr>
        <w:tc>
          <w:tcPr>
            <w:tcW w:type="dxa" w:w="33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>Le Drive est la catégorie la moins bien notée (7,94)</w:t>
            </w:r>
          </w:p>
        </w:tc>
        <w:tc>
          <w:tcPr>
            <w:tcW w:type="dxa" w:w="51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Priorité d'investigation, pas preuve d'un incident : l'écart avec la meilleure catégorie reste de 0,25 point ; la gamme Maison (7,85 ; 67 avis) demande aussi de la prudence.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0E5A66"/>
                <w:sz w:val="15"/>
                <w:szCs w:val="15"/>
              </w:rPr>
              <w:t xml:space="preserve">I3 · I6</w:t>
            </w:r>
          </w:p>
        </w:tc>
      </w:tr>
    </w:tbl>
    <w:p>
      <w:pPr>
        <w:pBdr>
          <w:bottom w:val="single" w:color="0E5A66" w:sz="4"/>
        </w:pBdr>
        <w:spacing w:after="90" w:before="240"/>
      </w:pPr>
      <w:r>
        <w:rPr>
          <w:rFonts w:ascii="Corbel" w:cs="Corbel" w:eastAsia="Corbel" w:hAnsi="Corbel"/>
          <w:b/>
          <w:bCs/>
          <w:color w:val="C25438"/>
          <w:sz w:val="24"/>
          <w:szCs w:val="24"/>
        </w:rPr>
        <w:t xml:space="preserve">7.  </w:t>
      </w:r>
      <w:r>
        <w:rPr>
          <w:rFonts w:ascii="Corbel" w:cs="Corbel" w:eastAsia="Corbel" w:hAnsi="Corbel"/>
          <w:b/>
          <w:bCs/>
          <w:color w:val="0E5A66"/>
          <w:sz w:val="24"/>
          <w:szCs w:val="24"/>
        </w:rPr>
        <w:t xml:space="preserve">Limites et prochaines pistes</w:t>
      </w:r>
    </w:p>
    <w:tbl>
      <w:tblPr>
        <w:tblW w:type="dxa" w:w="10466"/>
        <w:tblBorders>
          <w:top w:val="single" w:color="DCE6E7" w:sz="4"/>
          <w:left w:val="single" w:color="DCE6E7" w:sz="4"/>
          <w:bottom w:val="single" w:color="DCE6E7" w:sz="4"/>
          <w:right w:val="single" w:color="DCE6E7" w:sz="4"/>
          <w:insideH w:val="single" w:color="DCE6E7" w:sz="4"/>
          <w:insideV w:val="single" w:color="DCE6E7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FBEE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rbel" w:cs="Corbel" w:eastAsia="Corbel" w:hAnsi="Corbel"/>
                <w:b/>
                <w:bCs/>
                <w:color w:val="C25438"/>
                <w:sz w:val="15"/>
                <w:szCs w:val="15"/>
              </w:rPr>
              <w:t xml:space="preserve">CE QUE LE PROJET NE COUVRE PAS ENCORE</w:t>
            </w:r>
          </w:p>
          <w:p>
            <w:pPr>
              <w:spacing w:after="2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— Analyse descriptive sur une seule année, sans causalité ni modèle prédictif.</w:t>
            </w:r>
          </w:p>
          <w:p>
            <w:pPr>
              <w:spacing w:after="2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— 674 recommandations manquantes ; aucun verbatim ; 4 notes seulement pour TV × réseaux sociaux.</w:t>
            </w:r>
          </w:p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— Périmètre « Boissons » dérivé de mots-clés dans le titre ; petits effectifs sur certaines gammes.</w:t>
            </w:r>
          </w:p>
        </w:tc>
        <w:tc>
          <w:tcPr>
            <w:tcW w:type="dxa" w:w="5233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A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PROCHAINES PISTES</w:t>
            </w:r>
          </w:p>
          <w:p>
            <w:pPr>
              <w:spacing w:after="2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— Rendre la recommandation obligatoire ou documenter le motif de non-réponse.</w:t>
            </w:r>
          </w:p>
          <w:p>
            <w:pPr>
              <w:spacing w:after="2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— Collecter des verbatims, délais et motifs pour expliquer Drive, canaux et écarts magasins.</w:t>
            </w:r>
          </w:p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— Industrialiser des vues SQL et un tableau de bord avec seuils d'effectif et suivi pluriannuel.</w:t>
            </w:r>
          </w:p>
        </w:tc>
      </w:tr>
    </w:tbl>
    <w:p>
      <w:pPr>
        <w:pBdr>
          <w:bottom w:val="single" w:color="0E5A66" w:sz="4"/>
        </w:pBdr>
        <w:spacing w:after="90" w:before="240"/>
      </w:pPr>
      <w:r>
        <w:rPr>
          <w:rFonts w:ascii="Corbel" w:cs="Corbel" w:eastAsia="Corbel" w:hAnsi="Corbel"/>
          <w:b/>
          <w:bCs/>
          <w:color w:val="C25438"/>
          <w:sz w:val="24"/>
          <w:szCs w:val="24"/>
        </w:rPr>
        <w:t xml:space="preserve">8.  </w:t>
      </w:r>
      <w:r>
        <w:rPr>
          <w:rFonts w:ascii="Corbel" w:cs="Corbel" w:eastAsia="Corbel" w:hAnsi="Corbel"/>
          <w:b/>
          <w:bCs/>
          <w:color w:val="0E5A66"/>
          <w:sz w:val="24"/>
          <w:szCs w:val="24"/>
        </w:rPr>
        <w:t xml:space="preserve">Sélection hiérarchisée des preuves</w:t>
      </w:r>
    </w:p>
    <w:p>
      <w:pPr>
        <w:spacing w:after="100" w:before="0"/>
      </w:pPr>
      <w:r>
        <w:rPr>
          <w:rFonts w:ascii="Corbel" w:cs="Corbel" w:eastAsia="Corbel" w:hAnsi="Corbel"/>
          <w:i/>
          <w:iCs/>
          <w:color w:val="6C7B7E"/>
          <w:sz w:val="18"/>
          <w:szCs w:val="18"/>
        </w:rPr>
        <w:t xml:space="preserve">Ce qu'un recruteur peut ouvrir et vérifier</w:t>
      </w:r>
    </w:p>
    <w:tbl>
      <w:tblPr>
        <w:tblW w:type="dxa" w:w="10466"/>
        <w:tblBorders>
          <w:top w:val="single" w:color="DCE6E7" w:sz="4"/>
          <w:left w:val="single" w:color="DCE6E7" w:sz="4"/>
          <w:bottom w:val="single" w:color="DCE6E7" w:sz="4"/>
          <w:right w:val="single" w:color="DCE6E7" w:sz="4"/>
          <w:insideH w:val="single" w:color="DCE6E7" w:sz="4"/>
          <w:insideV w:val="single" w:color="DCE6E7" w:sz="4"/>
        </w:tblBorders>
      </w:tblPr>
      <w:tblGrid>
        <w:gridCol w:w="1700"/>
        <w:gridCol w:w="3400"/>
        <w:gridCol w:w="3366"/>
        <w:gridCol w:w="2000"/>
      </w:tblGrid>
      <w:tr>
        <w:trPr>
          <w:tblHeader/>
        </w:trPr>
        <w:tc>
          <w:tcPr>
            <w:tcW w:type="dxa" w:w="17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Preuve</w:t>
            </w:r>
          </w:p>
        </w:tc>
        <w:tc>
          <w:tcPr>
            <w:tcW w:type="dxa" w:w="33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Ce qu'elle démontre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Accès</w:t>
            </w:r>
          </w:p>
        </w:tc>
      </w:tr>
      <w:tr>
        <w:tc>
          <w:tcPr>
            <w:tcW w:type="dxa" w:w="17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1 — Essentielle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Base SQL enrichie (3 tables, schéma en étoile)</w:t>
            </w:r>
          </w:p>
        </w:tc>
        <w:tc>
          <w:tcPr>
            <w:tcW w:type="dxa" w:w="33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Concevoir et enrichir un modèle relationnel exploitable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 xml:space="preserve">Base .db</w:t>
            </w:r>
          </w:p>
        </w:tc>
      </w:tr>
      <w:tr>
        <w:tc>
          <w:tcPr>
            <w:tcW w:type="dxa" w:w="17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2 — Essentielle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Recueil des 17 requêtes SQL commentées</w:t>
            </w:r>
          </w:p>
        </w:tc>
        <w:tc>
          <w:tcPr>
            <w:tcW w:type="dxa" w:w="33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Écrire un SQL d'analyse : agrégats, jointures, dates, CTE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 xml:space="preserve">Document requêtes</w:t>
            </w:r>
          </w:p>
        </w:tc>
      </w:tr>
      <w:tr>
        <w:tc>
          <w:tcPr>
            <w:tcW w:type="dxa" w:w="17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3 — Importante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Dictionnaire de données &amp; schéma relationnel</w:t>
            </w:r>
          </w:p>
        </w:tc>
        <w:tc>
          <w:tcPr>
            <w:tcW w:type="dxa" w:w="33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Documenter et rendre le modèle reproductible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 xml:space="preserve">PDF / SQL Power Architect</w:t>
            </w:r>
          </w:p>
        </w:tc>
      </w:tr>
      <w:tr>
        <w:tc>
          <w:tcPr>
            <w:tcW w:type="dxa" w:w="17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4 — Importante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Présentation service client</w:t>
            </w:r>
          </w:p>
        </w:tc>
        <w:tc>
          <w:tcPr>
            <w:tcW w:type="dxa" w:w="33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Restituer des résultats en langage non technique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 xml:space="preserve">PPTX / PDF</w:t>
            </w:r>
          </w:p>
        </w:tc>
      </w:tr>
      <w:tr>
        <w:tc>
          <w:tcPr>
            <w:tcW w:type="dxa" w:w="17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5 — Complémentaire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Contrôles de cohérence et dénominateurs documentés</w:t>
            </w:r>
          </w:p>
        </w:tc>
        <w:tc>
          <w:tcPr>
            <w:tcW w:type="dxa" w:w="33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Fiabiliser la donnée et éviter les conclusions trompeuses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>SQL + tableau de contrôles</w:t>
            </w:r>
          </w:p>
        </w:tc>
      </w:tr>
    </w:tbl>
    <w:p>
      <w:pPr>
        <w:pBdr>
          <w:bottom w:val="single" w:color="0E5A66" w:sz="4"/>
        </w:pBdr>
        <w:spacing w:after="90" w:before="240"/>
      </w:pPr>
      <w:r>
        <w:rPr>
          <w:rFonts w:ascii="Corbel" w:cs="Corbel" w:eastAsia="Corbel" w:hAnsi="Corbel"/>
          <w:b/>
          <w:bCs/>
          <w:color w:val="C25438"/>
          <w:sz w:val="24"/>
          <w:szCs w:val="24"/>
        </w:rPr>
        <w:t xml:space="preserve">9.  </w:t>
      </w:r>
      <w:r>
        <w:rPr>
          <w:rFonts w:ascii="Corbel" w:cs="Corbel" w:eastAsia="Corbel" w:hAnsi="Corbel"/>
          <w:b/>
          <w:bCs/>
          <w:color w:val="0E5A66"/>
          <w:sz w:val="24"/>
          <w:szCs w:val="24"/>
        </w:rPr>
        <w:t xml:space="preserve">Compétences démontrées</w:t>
      </w:r>
    </w:p>
    <w:tbl>
      <w:tblPr>
        <w:tblW w:type="dxa" w:w="10466"/>
        <w:tblBorders>
          <w:top w:val="single" w:color="DCE6E7" w:sz="4"/>
          <w:left w:val="single" w:color="DCE6E7" w:sz="4"/>
          <w:bottom w:val="single" w:color="DCE6E7" w:sz="4"/>
          <w:right w:val="single" w:color="DCE6E7" w:sz="4"/>
          <w:insideH w:val="single" w:color="DCE6E7" w:sz="4"/>
          <w:insideV w:val="single" w:color="DCE6E7" w:sz="4"/>
        </w:tblBorders>
      </w:tblPr>
      <w:tblGrid>
        <w:gridCol w:w="1900"/>
        <w:gridCol w:w="3400"/>
        <w:gridCol w:w="5166"/>
      </w:tblGrid>
      <w:tr>
        <w:trPr>
          <w:tblHeader/>
        </w:trPr>
        <w:tc>
          <w:tcPr>
            <w:tcW w:type="dxa" w:w="19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Compétence</w:t>
            </w:r>
          </w:p>
        </w:tc>
        <w:tc>
          <w:tcPr>
            <w:tcW w:type="dxa" w:w="51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Preuve observable</w:t>
            </w:r>
          </w:p>
        </w:tc>
      </w:tr>
      <w:tr>
        <w:tc>
          <w:tcPr>
            <w:tcW w:type="dxa" w:w="19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Hard skill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 xml:space="preserve">Modélisation relationnelle</w:t>
            </w:r>
          </w:p>
        </w:tc>
        <w:tc>
          <w:tcPr>
            <w:tcW w:type="dxa" w:w="51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Schéma en étoile, 3 tables, clés PK/FK, table magasin ajoutée</w:t>
            </w:r>
          </w:p>
        </w:tc>
      </w:tr>
      <w:tr>
        <w:tc>
          <w:tcPr>
            <w:tcW w:type="dxa" w:w="19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Hard skill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 xml:space="preserve">SQL d'analyse</w:t>
            </w:r>
          </w:p>
        </w:tc>
        <w:tc>
          <w:tcPr>
            <w:tcW w:type="dxa" w:w="51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17 requêtes : JOIN, GROUP BY, agrégats, HAVING, CTE, fonctions de date</w:t>
            </w:r>
          </w:p>
        </w:tc>
      </w:tr>
      <w:tr>
        <w:tc>
          <w:tcPr>
            <w:tcW w:type="dxa" w:w="19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Hard skill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 xml:space="preserve">Intégration &amp; documentation</w:t>
            </w:r>
          </w:p>
        </w:tc>
        <w:tc>
          <w:tcPr>
            <w:tcW w:type="dxa" w:w="51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Import CSV UTF-8, dictionnaire de données et schéma mis à jour</w:t>
            </w:r>
          </w:p>
        </w:tc>
      </w:tr>
      <w:tr>
        <w:tc>
          <w:tcPr>
            <w:tcW w:type="dxa" w:w="19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Hard skill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 xml:space="preserve">Fiabilisation des données</w:t>
            </w:r>
          </w:p>
        </w:tc>
        <w:tc>
          <w:tcPr>
            <w:tcW w:type="dxa" w:w="51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0 doublon, 0 clé orpheline, plages contrôlées, 674 valeurs manquantes analysées et réconciliées</w:t>
            </w:r>
          </w:p>
        </w:tc>
      </w:tr>
      <w:tr>
        <w:tc>
          <w:tcPr>
            <w:tcW w:type="dxa" w:w="19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 xml:space="preserve">Hard skill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 xml:space="preserve">Restitution &amp; aide à la décision</w:t>
            </w:r>
          </w:p>
        </w:tc>
        <w:tc>
          <w:tcPr>
            <w:tcW w:type="dxa" w:w="51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Synthèse non technique, constats hiérarchisés et recommandations assorties de limites</w:t>
            </w:r>
          </w:p>
        </w:tc>
      </w:tr>
      <w:tr>
        <w:tc>
          <w:tcPr>
            <w:tcW w:type="dxa" w:w="19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C25438"/>
                <w:sz w:val="15"/>
                <w:szCs w:val="15"/>
              </w:rPr>
              <w:t xml:space="preserve">Soft skill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 xml:space="preserve">Rigueur analytique &amp; esprit critique</w:t>
            </w:r>
          </w:p>
        </w:tc>
        <w:tc>
          <w:tcPr>
            <w:tcW w:type="dxa" w:w="51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Dénominateurs explicités, causalité évitée, faibles effectifs et périmètres dérivés signalés</w:t>
            </w:r>
          </w:p>
        </w:tc>
      </w:tr>
      <w:tr>
        <w:tc>
          <w:tcPr>
            <w:tcW w:type="dxa" w:w="19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C25438"/>
                <w:sz w:val="15"/>
                <w:szCs w:val="15"/>
              </w:rPr>
              <w:t xml:space="preserve">Soft skill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 xml:space="preserve">Vulgarisation &amp; communication</w:t>
            </w:r>
          </w:p>
        </w:tc>
        <w:tc>
          <w:tcPr>
            <w:tcW w:type="dxa" w:w="51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Traduction d'analyses SQL en langage métier pour Olivier</w:t>
            </w:r>
          </w:p>
        </w:tc>
      </w:tr>
      <w:tr>
        <w:tc>
          <w:tcPr>
            <w:tcW w:type="dxa" w:w="19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C25438"/>
                <w:sz w:val="15"/>
                <w:szCs w:val="15"/>
              </w:rPr>
              <w:t xml:space="preserve">Soft skill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1E2A2E"/>
                <w:sz w:val="16"/>
                <w:szCs w:val="16"/>
              </w:rPr>
              <w:t xml:space="preserve">Résolution de problèmes</w:t>
            </w:r>
          </w:p>
        </w:tc>
        <w:tc>
          <w:tcPr>
            <w:tcW w:type="dxa" w:w="51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Enrichissement du modèle pour débloquer l'analyse géographique</w:t>
            </w:r>
          </w:p>
        </w:tc>
      </w:tr>
    </w:tbl>
    <w:tbl>
      <w:tblPr>
        <w:tblW w:type="dxa" w:w="10466"/>
        <w:tblBorders>
          <w:top w:val="single" w:color="DCE6E7" w:sz="4"/>
          <w:left w:val="single" w:color="DCE6E7" w:sz="4"/>
          <w:bottom w:val="single" w:color="DCE6E7" w:sz="4"/>
          <w:right w:val="single" w:color="DCE6E7" w:sz="4"/>
          <w:insideH w:val="single" w:color="DCE6E7" w:sz="4"/>
          <w:insideV w:val="single" w:color="DCE6E7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FBEE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rbel" w:cs="Corbel" w:eastAsia="Corbel" w:hAnsi="Corbel"/>
                <w:b/>
                <w:bCs/>
                <w:color w:val="C25438"/>
                <w:sz w:val="15"/>
                <w:szCs w:val="15"/>
              </w:rPr>
              <w:t>POINT DE RIGUEUR — DÉNOMINATEURS</w:t>
            </w:r>
          </w:p>
          <w:p>
            <w:pPr>
              <w:spacing w:after="2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90,9 % = 2 115 Oui / 2 326 réponses renseignées.</w:t>
            </w:r>
          </w:p>
          <w:p>
            <w:pPr>
              <w:spacing w:after="2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70,5 % = 2 115 Oui / 3 000 retours au total.</w:t>
            </w:r>
          </w:p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Les deux valeurs répondent à des questions différentes.</w:t>
            </w:r>
          </w:p>
        </w:tc>
        <w:tc>
          <w:tcPr>
            <w:tcW w:type="dxa" w:w="5233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A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>POINT DE RIGUEUR — ROBUSTESSE</w:t>
            </w:r>
          </w:p>
          <w:p>
            <w:pPr>
              <w:spacing w:after="2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674 valeurs manquantes, toutes sur les réseaux sociaux.</w:t>
            </w:r>
          </w:p>
          <w:p>
            <w:pPr>
              <w:spacing w:after="2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Maison : 67 avis ; TV × réseaux sociaux : 4 notes.</w:t>
            </w:r>
          </w:p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Ces limites sont visibles dans chaque interprétation.</w:t>
            </w:r>
          </w:p>
        </w:tc>
      </w:tr>
    </w:tbl>
    <w:p>
      <w:pPr>
        <w:pBdr>
          <w:bottom w:val="single" w:color="0E5A66" w:sz="4"/>
        </w:pBdr>
        <w:spacing w:after="90" w:before="240"/>
      </w:pPr>
      <w:r>
        <w:rPr>
          <w:rFonts w:ascii="Corbel" w:cs="Corbel" w:eastAsia="Corbel" w:hAnsi="Corbel"/>
          <w:b/>
          <w:bCs/>
          <w:color w:val="C25438"/>
          <w:sz w:val="24"/>
          <w:szCs w:val="24"/>
        </w:rPr>
        <w:t xml:space="preserve">10.  </w:t>
      </w:r>
      <w:r>
        <w:rPr>
          <w:rFonts w:ascii="Corbel" w:cs="Corbel" w:eastAsia="Corbel" w:hAnsi="Corbel"/>
          <w:b/>
          <w:bCs/>
          <w:color w:val="0E5A66"/>
          <w:sz w:val="24"/>
          <w:szCs w:val="24"/>
        </w:rPr>
        <w:t xml:space="preserve">Veille métier et technique mobilisée</w:t>
      </w:r>
    </w:p>
    <w:p>
      <w:pPr>
        <w:spacing w:after="100" w:before="0"/>
      </w:pPr>
      <w:r>
        <w:rPr>
          <w:rFonts w:ascii="Corbel" w:cs="Corbel" w:eastAsia="Corbel" w:hAnsi="Corbel"/>
          <w:i/>
          <w:iCs/>
          <w:color w:val="6C7B7E"/>
          <w:sz w:val="18"/>
          <w:szCs w:val="18"/>
        </w:rPr>
        <w:t xml:space="preserve">La veille a orienté les choix de modélisation, de requêtage et de restitution.</w:t>
      </w:r>
    </w:p>
    <w:tbl>
      <w:tblPr>
        <w:tblW w:type="dxa" w:w="10466"/>
        <w:tblBorders>
          <w:top w:val="single" w:color="DCE6E7" w:sz="4"/>
          <w:left w:val="single" w:color="DCE6E7" w:sz="4"/>
          <w:bottom w:val="single" w:color="DCE6E7" w:sz="4"/>
          <w:right w:val="single" w:color="DCE6E7" w:sz="4"/>
          <w:insideH w:val="single" w:color="DCE6E7" w:sz="4"/>
          <w:insideV w:val="single" w:color="DCE6E7" w:sz="4"/>
        </w:tblBorders>
      </w:tblPr>
      <w:tblGrid>
        <w:gridCol w:w="2800"/>
        <w:gridCol w:w="3400"/>
        <w:gridCol w:w="4266"/>
      </w:tblGrid>
      <w:tr>
        <w:trPr>
          <w:tblHeader/>
        </w:trPr>
        <w:tc>
          <w:tcPr>
            <w:tcW w:type="dxa" w:w="28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Sujet de veille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Sources / repères</w:t>
            </w:r>
          </w:p>
        </w:tc>
        <w:tc>
          <w:tcPr>
            <w:tcW w:type="dxa" w:w="42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 xml:space="preserve">Application au projet</w:t>
            </w:r>
          </w:p>
        </w:tc>
      </w:tr>
      <w:tr>
        <w:tc>
          <w:tcPr>
            <w:tcW w:type="dxa" w:w="28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Modélisation relationnelle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 xml:space="preserve">Schéma en étoile, normalisation, clés PK/FK</w:t>
            </w:r>
          </w:p>
        </w:tc>
        <w:tc>
          <w:tcPr>
            <w:tcW w:type="dxa" w:w="42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Structuration de la base en table de faits + dimensions</w:t>
            </w:r>
          </w:p>
        </w:tc>
      </w:tr>
      <w:tr>
        <w:tc>
          <w:tcPr>
            <w:tcW w:type="dxa" w:w="28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SQL d'analyse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 xml:space="preserve">Documentation SQLite (fonctions de date, agrégats, CTE)</w:t>
            </w:r>
          </w:p>
        </w:tc>
        <w:tc>
          <w:tcPr>
            <w:tcW w:type="dxa" w:w="42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 xml:space="preserve">Requêtes de moyennes, classements et analyses temporelles</w:t>
            </w:r>
          </w:p>
        </w:tc>
      </w:tr>
      <w:tr>
        <w:tc>
          <w:tcPr>
            <w:tcW w:type="dxa" w:w="28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Indicateurs de satisfaction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>NPS : promoteurs 9–10, passifs 7–8, détracteurs 0–6 · taux de recommandation avec dénominateur explicite</w:t>
            </w:r>
          </w:p>
        </w:tc>
        <w:tc>
          <w:tcPr>
            <w:tcW w:type="dxa" w:w="42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Calcul du NPS global et par canal ; double lecture du taux de recommandation (réponses valides / ensemble des retours)</w:t>
            </w:r>
          </w:p>
        </w:tc>
      </w:tr>
      <w:tr>
        <w:tc>
          <w:tcPr>
            <w:tcW w:type="dxa" w:w="28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6"/>
                <w:szCs w:val="16"/>
              </w:rPr>
              <w:t xml:space="preserve">Stockage &amp; continuité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 xml:space="preserve">Bonnes pratiques de sauvegarde et d'accès aux données</w:t>
            </w:r>
          </w:p>
        </w:tc>
        <w:tc>
          <w:tcPr>
            <w:tcW w:type="dxa" w:w="42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Bonnes pratiques proposées au service client ; elles ne constituent pas une preuve d'implémentation technique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  <w:p>
      <w:pPr>
        <w:pBdr>
          <w:bottom w:val="single" w:color="0E5A66" w:sz="4"/>
        </w:pBdr>
        <w:spacing w:after="90" w:before="240"/>
      </w:pPr>
      <w:r>
        <w:rPr>
          <w:rFonts w:ascii="Corbel" w:cs="Corbel" w:eastAsia="Corbel" w:hAnsi="Corbel"/>
          <w:b/>
          <w:bCs/>
          <w:color w:val="C25438"/>
          <w:sz w:val="24"/>
          <w:szCs w:val="24"/>
        </w:rPr>
        <w:t>11.  Recommandations prioritaires</w:t>
      </w:r>
      <w:r>
        <w:rPr>
          <w:rFonts w:ascii="Corbel" w:cs="Corbel" w:eastAsia="Corbel" w:hAnsi="Corbel"/>
          <w:b/>
          <w:bCs/>
          <w:color w:val="0E5A66"/>
          <w:sz w:val="24"/>
          <w:szCs w:val="24"/>
        </w:rPr>
      </w:r>
    </w:p>
    <w:p>
      <w:pPr>
        <w:spacing w:after="100" w:before="0"/>
      </w:pPr>
      <w:r>
        <w:rPr>
          <w:rFonts w:ascii="Corbel" w:cs="Corbel" w:eastAsia="Corbel" w:hAnsi="Corbel"/>
          <w:i/>
          <w:iCs/>
          <w:color w:val="6C7B7E"/>
          <w:sz w:val="18"/>
          <w:szCs w:val="18"/>
        </w:rPr>
        <w:t>Des constats SQL à un plan d'action mesurable et proportionné.</w:t>
      </w:r>
    </w:p>
    <w:tbl>
      <w:tblPr>
        <w:tblW w:type="dxa" w:w="10466"/>
        <w:tblBorders>
          <w:top w:val="single" w:color="DCE6E7" w:sz="4"/>
          <w:left w:val="single" w:color="DCE6E7" w:sz="4"/>
          <w:bottom w:val="single" w:color="DCE6E7" w:sz="4"/>
          <w:right w:val="single" w:color="DCE6E7" w:sz="4"/>
          <w:insideH w:val="single" w:color="DCE6E7" w:sz="4"/>
          <w:insideV w:val="single" w:color="DCE6E7" w:sz="4"/>
        </w:tblBorders>
      </w:tblPr>
      <w:tblGrid>
        <w:gridCol w:w="1700"/>
        <w:gridCol w:w="3400"/>
        <w:gridCol w:w="3366"/>
        <w:gridCol w:w="2000"/>
      </w:tblGrid>
      <w:tr>
        <w:trPr>
          <w:tblHeader/>
        </w:trPr>
        <w:tc>
          <w:tcPr>
            <w:tcW w:type="dxa" w:w="17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>Priorité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type="dxa" w:w="33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>Pourquoi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0E5A6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FFFFFF"/>
                <w:sz w:val="17"/>
                <w:szCs w:val="17"/>
              </w:rPr>
              <w:t>Mesure de succès</w:t>
            </w:r>
          </w:p>
        </w:tc>
      </w:tr>
      <w:tr>
        <w:tc>
          <w:tcPr>
            <w:tcW w:type="dxa" w:w="17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>1 — Immédiate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Fiabiliser la recommandation</w:t>
            </w:r>
          </w:p>
        </w:tc>
        <w:tc>
          <w:tcPr>
            <w:tcW w:type="dxa" w:w="33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674 valeurs manquantes, toutes sur les réseaux sociaux.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>Taux de complétude ≥ 98 % et motif de non-réponse tracé.</w:t>
            </w:r>
          </w:p>
        </w:tc>
      </w:tr>
      <w:tr>
        <w:tc>
          <w:tcPr>
            <w:tcW w:type="dxa" w:w="17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>2 — Haute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Diagnostiquer le parcours Drive</w:t>
            </w:r>
          </w:p>
        </w:tc>
        <w:tc>
          <w:tcPr>
            <w:tcW w:type="dxa" w:w="33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Catégorie la moins bien notée (7,94), sans preuve de cause.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>Motifs, délais et incidents suivis ; écart réduit sur plusieurs mois.</w:t>
            </w:r>
          </w:p>
        </w:tc>
      </w:tr>
      <w:tr>
        <w:tc>
          <w:tcPr>
            <w:tcW w:type="dxa" w:w="17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>3 — Haute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Surveiller la gamme Maison</w:t>
            </w:r>
          </w:p>
        </w:tc>
        <w:tc>
          <w:tcPr>
            <w:tcW w:type="dxa" w:w="33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Note 7,85 et baisse T1→T2 de –0,95, mais seulement 67 avis.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>Seuil d'effectif défini et enquête qualitative ciblée.</w:t>
            </w:r>
          </w:p>
        </w:tc>
      </w:tr>
      <w:tr>
        <w:tc>
          <w:tcPr>
            <w:tcW w:type="dxa" w:w="17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shd w:fill="E8F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/>
                <w:bCs/>
                <w:color w:val="0E5A66"/>
                <w:sz w:val="15"/>
                <w:szCs w:val="15"/>
              </w:rPr>
              <w:t>4 — Structurante</w:t>
            </w:r>
          </w:p>
        </w:tc>
        <w:tc>
          <w:tcPr>
            <w:tcW w:type="dxa" w:w="34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Industrialiser le pilotage</w:t>
            </w:r>
          </w:p>
        </w:tc>
        <w:tc>
          <w:tcPr>
            <w:tcW w:type="dxa" w:w="3366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6"/>
                <w:szCs w:val="16"/>
              </w:rPr>
              <w:t>Requêtes encore ponctuelles et données limitées à 2021.</w:t>
            </w:r>
          </w:p>
        </w:tc>
        <w:tc>
          <w:tcPr>
            <w:tcW w:type="dxa" w:w="2000"/>
            <w:tcBorders>
              <w:top w:val="single" w:color="DCE6E7" w:sz="4"/>
              <w:left w:val="single" w:color="DCE6E7" w:sz="4"/>
              <w:bottom w:val="single" w:color="DCE6E7" w:sz="4"/>
              <w:right w:val="single" w:color="DCE6E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orbel" w:cs="Corbel" w:eastAsia="Corbel" w:hAnsi="Corbel"/>
                <w:b w:val="false"/>
                <w:bCs w:val="false"/>
                <w:color w:val="33454A"/>
                <w:sz w:val="15"/>
                <w:szCs w:val="15"/>
              </w:rPr>
              <w:t>Vues SQL, dashboard, historique pluriannuel et alertes documentées.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bel" w:cs="Corbel" w:eastAsia="Corbel" w:hAnsi="Corbel"/>
        <w:color w:val="1E2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2026-07-21T19:26:08.580Z</dcterms:created>
  <dcterms:modified xsi:type="dcterms:W3CDTF">2026-07-21T19:26:08.592Z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