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Noto Sans" w:hAnsi="Noto Sans"/>
          <w:b/>
          <w:color w:val="C25438"/>
          <w:sz w:val="21"/>
        </w:rPr>
        <w:t>PROJET 05</w:t>
      </w:r>
    </w:p>
    <w:p>
      <w:pPr>
        <w:spacing w:after="40"/>
      </w:pPr>
      <w:r>
        <w:rPr>
          <w:rFonts w:ascii="Noto Sans" w:hAnsi="Noto Sans"/>
          <w:b/>
          <w:color w:val="0A3D46"/>
          <w:sz w:val="44"/>
        </w:rPr>
        <w:t>Fiabiliser les données stock &amp; ventes d'un marchand de vin</w:t>
      </w:r>
    </w:p>
    <w:p>
      <w:pPr>
        <w:spacing w:after="40"/>
      </w:pPr>
      <w:r>
        <w:rPr>
          <w:rFonts w:ascii="Noto Sans" w:hAnsi="Noto Sans"/>
          <w:color w:val="1E2A2E"/>
          <w:sz w:val="20"/>
        </w:rPr>
        <w:t>Transformer trois exports hétérogènes en une base consolidée fiable avec Python, puis en analyses de chiffre d'affaires, de stock, de marge et de pricing pour le CODIR.</w:t>
      </w:r>
    </w:p>
    <w:p>
      <w:pPr>
        <w:spacing w:after="80"/>
      </w:pPr>
      <w:r>
        <w:rPr>
          <w:rFonts w:ascii="Noto Sans" w:hAnsi="Noto Sans"/>
          <w:color w:val="6C7B7E"/>
          <w:sz w:val="16"/>
        </w:rPr>
        <w:t>Python · pandas · Nettoyage de données · Jointures · IQR / Z-score · Pareto · Analyse financière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rPr>
          <w:cantSplit/>
        </w:trPr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PÉRIODE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8 déc. 2025 – 21 janv. 2026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CADRE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Certification BI Analyst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SECTEUR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Vins &amp; spiritueux · e-commerce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PUBLIC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Comité de direction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DONNÉES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3 exports · 825 produits</w:t>
            </w:r>
          </w:p>
        </w:tc>
      </w:tr>
      <w:tr>
        <w:trPr>
          <w:cantSplit/>
        </w:trPr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MISSION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Nettoyer · consolider · analyser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QUALITÉ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11 types d’anomalies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ANALYSES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Prix · CA · stock · marge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LIVRABLES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Notebook · présentation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POSTURE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Rigueur · décision · pédagogie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602"/>
            <w:shd w:fill="E8F2F3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7" w:color="0E5A66"/>
              <w:left w:val="single" w:sz="7" w:color="0E5A66"/>
              <w:bottom w:val="single" w:sz="7" w:color="0E5A66"/>
              <w:right w:val="single" w:sz="7" w:color="0E5A66"/>
            </w:tcBorders>
          </w:tcPr>
          <w:p>
            <w:pPr>
              <w:spacing w:after="40"/>
            </w:pPr>
            <w:r>
              <w:rPr>
                <w:rFonts w:ascii="Noto Sans" w:hAnsi="Noto Sans"/>
                <w:b/>
                <w:color w:val="0E5A66"/>
                <w:sz w:val="16"/>
              </w:rPr>
              <w:t>MA VALEUR AJOUTÉE</w:t>
            </w:r>
          </w:p>
          <w:p>
            <w:pPr>
              <w:spacing w:after="0"/>
            </w:pPr>
            <w:r>
              <w:rPr>
                <w:rFonts w:ascii="Noto Sans" w:hAnsi="Noto Sans"/>
                <w:color w:val="35464A"/>
                <w:sz w:val="17"/>
              </w:rPr>
              <w:t>J’ai sécurisé le socle avant l’analyse : 11 types d’anomalies audités, traitements traçables, normalisation des clés et deux LEFT JOIN contrôlés. La base finale conserve 100 % des 825 produits ERP et en apparie 714 au Web. J’ai ensuite relié les résultats aux décisions : 143,7 K€ de CA Web, 298,6 K€ de stock au coût, 167,5 K€ en stock élevé ou surstock à arbitrer, et un risque de marge ciblé.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1. Synthèse exécutive</w:t>
      </w:r>
    </w:p>
    <w:p>
      <w:pPr>
        <w:keepNext/>
        <w:spacing w:before="0" w:after="80"/>
      </w:pPr>
      <w:r>
        <w:rPr>
          <w:rFonts w:ascii="Noto Sans" w:hAnsi="Noto Sans"/>
          <w:i/>
          <w:color w:val="6C7B7E"/>
          <w:sz w:val="16"/>
        </w:rPr>
        <w:t>Lecture recruteur / manager en moins d’une minute</w:t>
      </w:r>
    </w:p>
    <w:p>
      <w:pPr>
        <w:spacing w:after="60"/>
      </w:pPr>
      <w:r>
        <w:rPr>
          <w:rFonts w:ascii="Noto Sans" w:hAnsi="Noto Sans"/>
          <w:b/>
          <w:color w:val="1E2A2E"/>
          <w:sz w:val="17"/>
        </w:rPr>
        <w:t xml:space="preserve">Question directrice — </w:t>
      </w:r>
      <w:r>
        <w:rPr>
          <w:rFonts w:ascii="Noto Sans" w:hAnsi="Noto Sans"/>
          <w:color w:val="35464A"/>
          <w:sz w:val="17"/>
        </w:rPr>
        <w:t>comment fiabiliser trois exports incohérents sans perdre le référentiel ERP, puis transformer la donnée en décisions de pricing, de stock et de rentabilité 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rPr>
          <w:cantSplit/>
        </w:trPr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E9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BASE FIABLE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0 perte · 0 duplication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CA MAÎTRISÉ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143,7 K€ · 5 751 u.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STOCK PILOTÉ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167,5 K€ à arbitrer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MARGE SÉCURISÉE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818 marges positives</w:t>
            </w:r>
          </w:p>
        </w:tc>
        <w:tc>
          <w:tcPr>
            <w:tcW w:type="dxa" w:w="20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5DBCC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ERP PRÉVENTIF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contrôles à la source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2. Démarche STAR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rPr>
          <w:cantSplit/>
        </w:trPr>
        <w:tc>
          <w:tcPr>
            <w:tcW w:type="dxa" w:w="510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E9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3B4668"/>
                <w:sz w:val="24"/>
              </w:rPr>
              <w:t>S</w:t>
            </w:r>
          </w:p>
        </w:tc>
        <w:tc>
          <w:tcPr>
            <w:tcW w:type="dxa" w:w="997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3B4668"/>
                <w:sz w:val="16"/>
              </w:rPr>
              <w:t xml:space="preserve">SITUATION — </w:t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BottleNeck travaille avec trois exports artisanaux aux références incohérentes. Les erreurs de saisie, de type et de calcul fragilisent le pilotage du stock et des ventes.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E9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3B4668"/>
                <w:sz w:val="24"/>
              </w:rPr>
              <w:t>T</w:t>
            </w:r>
          </w:p>
        </w:tc>
        <w:tc>
          <w:tcPr>
            <w:tcW w:type="dxa" w:w="997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3B4668"/>
                <w:sz w:val="16"/>
              </w:rPr>
              <w:t xml:space="preserve">TÂCHE — </w:t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Rapprocher les sources, identifier au moins huit erreurs, analyser prix, CA, stock, marges et corrélations, puis présenter des recommandations au CODIR.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C25438"/>
                <w:sz w:val="24"/>
              </w:rPr>
              <w:t>A</w:t>
            </w:r>
          </w:p>
        </w:tc>
        <w:tc>
          <w:tcPr>
            <w:tcW w:type="dxa" w:w="997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6"/>
              </w:rPr>
              <w:t xml:space="preserve">ACTIONS — </w:t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Explorer les sources ; auditer 11 types d’anomalies ; nettoyer et flaguer ; consolider par LEFT JOIN ; créer les indicateurs ; interpréter et recommander.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24"/>
              </w:rPr>
              <w:t>R</w:t>
            </w:r>
          </w:p>
        </w:tc>
        <w:tc>
          <w:tcPr>
            <w:tcW w:type="dxa" w:w="997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E5A66"/>
                <w:sz w:val="16"/>
              </w:rPr>
              <w:t xml:space="preserve">RÉSULTATS — </w:t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825 produits conservés, 714 appariés au Web, CA 143,7 K€, stock 298,6 K€, 52,7 % des produits pour 80 % du CA et 99 % de marges positives.</w:t>
            </w:r>
          </w:p>
        </w:tc>
      </w:tr>
    </w:tbl>
    <w:p>
      <w:r>
        <w:br w:type="page"/>
      </w:r>
    </w:p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3. Données, périmètre et limites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cantSplit/>
          <w:tblHeader w:val="true"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6"/>
              </w:rPr>
              <w:t>Rôle et volume</w:t>
            </w:r>
          </w:p>
        </w:tc>
        <w:tc>
          <w:tcPr>
            <w:tcW w:type="dxa" w:w="442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6"/>
              </w:rPr>
              <w:t>Points de vigilance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ERP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825 produits × 6 variables · référentiel prix, achat et stock</w:t>
            </w:r>
          </w:p>
        </w:tc>
        <w:tc>
          <w:tcPr>
            <w:tcW w:type="dxa" w:w="442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3 prix négatifs · 2 stocks négatifs · 7 alertes de marge · 4 statuts incohérents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Web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1 513 lignes × 29 colonnes → 714 produits uniques</w:t>
            </w:r>
          </w:p>
        </w:tc>
        <w:tc>
          <w:tcPr>
            <w:tcW w:type="dxa" w:w="442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produits + pièces jointes · 85 SKU manquants · 106 catégories vides · 15 colonnes supprimées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Liaison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825 lignes · product_id ↔ id_web</w:t>
            </w:r>
          </w:p>
        </w:tc>
        <w:tc>
          <w:tcPr>
            <w:tcW w:type="dxa" w:w="442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91 produits sans id_web · typage hétérogène avant fusion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Périmètre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stock au 31/10/2025 · ventes Web du 01 au 31/10/2025</w:t>
            </w:r>
          </w:p>
        </w:tc>
        <w:tc>
          <w:tcPr>
            <w:tcW w:type="dxa" w:w="442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photographie d’un mois · pas d’historique ni de saisonnalité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4. Du brut à une base consolidée décisionnelle</w:t>
      </w:r>
    </w:p>
    <w:p>
      <w:pPr>
        <w:keepNext/>
        <w:spacing w:before="0" w:after="80"/>
      </w:pPr>
      <w:r>
        <w:rPr>
          <w:rFonts w:ascii="Noto Sans" w:hAnsi="Noto Sans"/>
          <w:i/>
          <w:color w:val="6C7B7E"/>
          <w:sz w:val="16"/>
        </w:rPr>
        <w:t>Pipeline reproductible et contrôles visibles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cantSplit/>
        </w:trPr>
        <w:tc>
          <w:tcPr>
            <w:tcW w:type="dxa" w:w="174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E9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1</w:t>
              <w:br/>
            </w: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EXPLORER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dimensions · types</w:t>
            </w:r>
          </w:p>
        </w:tc>
        <w:tc>
          <w:tcPr>
            <w:tcW w:type="dxa" w:w="174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2</w:t>
              <w:br/>
            </w: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AUDITER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11 types</w:t>
            </w:r>
          </w:p>
        </w:tc>
        <w:tc>
          <w:tcPr>
            <w:tcW w:type="dxa" w:w="174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3</w:t>
              <w:br/>
            </w: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NETTOYER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corrections + flags</w:t>
            </w:r>
          </w:p>
        </w:tc>
        <w:tc>
          <w:tcPr>
            <w:tcW w:type="dxa" w:w="174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4</w:t>
              <w:br/>
            </w: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CONSOLIDER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2 LEFT JOIN</w:t>
            </w:r>
          </w:p>
        </w:tc>
        <w:tc>
          <w:tcPr>
            <w:tcW w:type="dxa" w:w="174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5</w:t>
              <w:br/>
            </w: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ANALYSER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prix · CA · stock</w:t>
            </w:r>
          </w:p>
        </w:tc>
        <w:tc>
          <w:tcPr>
            <w:tcW w:type="dxa" w:w="174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6</w:t>
              <w:br/>
            </w: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RESTITUER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4"/>
              </w:rPr>
              <w:t>décisions CODIR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5. Audit qualité : 11 types d’anomalies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rPr>
          <w:cantSplit/>
        </w:trPr>
        <w:tc>
          <w:tcPr>
            <w:tcW w:type="dxa" w:w="408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3809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dit_11_anomali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80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6"/>
              </w:rPr>
              <w:t>BLOQUANTES · 6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doublons Web, SKU manquants, types de clés, prix négatifs, stocks négatifs, marges négatives</w:t>
              <w:br/>
              <w:br/>
            </w:r>
            <w:r>
              <w:rPr>
                <w:rFonts w:ascii="Noto Sans" w:hAnsi="Noto Sans"/>
                <w:b/>
                <w:i w:val="0"/>
                <w:color w:val="0E5A66"/>
                <w:sz w:val="16"/>
              </w:rPr>
              <w:t>MAJEURES · 3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stock_status incohérent, ventes négatives, catégorie produit manquante</w:t>
              <w:br/>
              <w:br/>
            </w:r>
            <w:r>
              <w:rPr>
                <w:rFonts w:ascii="Noto Sans" w:hAnsi="Noto Sans"/>
                <w:b/>
                <w:i w:val="0"/>
                <w:color w:val="3B4668"/>
                <w:sz w:val="16"/>
              </w:rPr>
              <w:t>MODÉRÉES · 2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6"/>
              </w:rPr>
              <w:t>colonnes entièrement vides et formats de SKU hétérogènes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rPr>
          <w:cantSplit/>
          <w:tblHeader w:val="true"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Niveau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Exemple vérifié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Traitement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Prévention recommandée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Bloquante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714 SKU × 2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filtre post_type = product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export Web déjà filtré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Bloquante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3 prix &lt; 0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valeur source conservée, calcul neutralisé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blocage prix ≤ 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Bloquante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2 stocks &lt; 0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stock analytique ramené à 0 + flag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interdiction stock &lt; 0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Bloquante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4 marges négatives après calcul HT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flag + audit métier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alerte prix HT &lt; prix d’achat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Majeure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23 ruptures actives · 4 statuts incohérents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statut recalculé depuis la quantité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stock_status automatique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Majeure / modérée</w:t>
            </w:r>
          </w:p>
        </w:tc>
        <w:tc>
          <w:tcPr>
            <w:tcW w:type="dxa" w:w="24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106 catégories vides · 4 colonnes NaN</w:t>
            </w:r>
          </w:p>
        </w:tc>
        <w:tc>
          <w:tcPr>
            <w:tcW w:type="dxa" w:w="226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flag et suppression ciblée</w:t>
            </w:r>
          </w:p>
        </w:tc>
        <w:tc>
          <w:tcPr>
            <w:tcW w:type="dxa" w:w="430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schéma d’export obligatoire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602"/>
            <w:shd w:fill="FBEEE4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7" w:color="C25438"/>
              <w:left w:val="single" w:sz="7" w:color="C25438"/>
              <w:bottom w:val="single" w:sz="7" w:color="C25438"/>
              <w:right w:val="single" w:sz="7" w:color="C25438"/>
            </w:tcBorders>
          </w:tcPr>
          <w:p>
            <w:pPr>
              <w:spacing w:after="40"/>
            </w:pPr>
            <w:r>
              <w:rPr>
                <w:rFonts w:ascii="Noto Sans" w:hAnsi="Noto Sans"/>
                <w:b/>
                <w:color w:val="C25438"/>
                <w:sz w:val="16"/>
              </w:rPr>
              <w:t>PRINCIPE DE RIGUEUR</w:t>
            </w:r>
          </w:p>
          <w:p>
            <w:pPr>
              <w:spacing w:after="0"/>
            </w:pPr>
            <w:r>
              <w:rPr>
                <w:rFonts w:ascii="Noto Sans" w:hAnsi="Noto Sans"/>
                <w:color w:val="35464A"/>
                <w:sz w:val="17"/>
              </w:rPr>
              <w:t>Une anomalie statistique n’est pas automatiquement une erreur métier. Les prix supérieurs à 83 € sont signalés par l’IQR, mais ils correspondent majoritairement à des grands crus, Champagnes et spiritueux premium : ils sont conservés et contextualisés.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6. Consolidation et contrôle des jointures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ERP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5"/>
              </w:rPr>
              <w:t>825 produits</w:t>
            </w:r>
          </w:p>
        </w:tc>
        <w:tc>
          <w:tcPr>
            <w:tcW w:type="dxa" w:w="45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→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5"/>
              </w:rPr>
              <w:t>product_id</w:t>
            </w:r>
          </w:p>
        </w:tc>
        <w:tc>
          <w:tcPr>
            <w:tcW w:type="dxa" w:w="260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E9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LIAISON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5"/>
              </w:rPr>
              <w:t>825 lignes · 734 id_web</w:t>
            </w:r>
          </w:p>
        </w:tc>
        <w:tc>
          <w:tcPr>
            <w:tcW w:type="dxa" w:w="45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→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5"/>
              </w:rPr>
              <w:t>id_web = sku</w:t>
            </w:r>
          </w:p>
        </w:tc>
        <w:tc>
          <w:tcPr>
            <w:tcW w:type="dxa" w:w="453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WEB NETTOYÉ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5"/>
              </w:rPr>
              <w:t>714 SKU uniques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TYPE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clés converties en texte</w:t>
            </w:r>
          </w:p>
        </w:tc>
        <w:tc>
          <w:tcPr>
            <w:tcW w:type="dxa" w:w="45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CARDINALITÉ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unicité contrôlée</w:t>
            </w:r>
          </w:p>
        </w:tc>
        <w:tc>
          <w:tcPr>
            <w:tcW w:type="dxa" w:w="260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JOINTURE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LEFT JOIN pour préserver ERP</w:t>
            </w:r>
          </w:p>
        </w:tc>
        <w:tc>
          <w:tcPr>
            <w:tcW w:type="dxa" w:w="45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VOLUMES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825 lignes avant / après</w:t>
            </w:r>
          </w:p>
        </w:tc>
        <w:tc>
          <w:tcPr>
            <w:tcW w:type="dxa" w:w="453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E5A66"/>
                <w:sz w:val="14"/>
              </w:rPr>
              <w:t>RÉSULTAT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714 appariés · 111 sans données Web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6"/>
              </w:rPr>
              <w:t>100 %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6"/>
              </w:rPr>
              <w:t>ERP conservé</w:t>
            </w:r>
          </w:p>
        </w:tc>
        <w:tc>
          <w:tcPr>
            <w:tcW w:type="dxa" w:w="45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6"/>
              </w:rPr>
              <w:t>0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6"/>
              </w:rPr>
              <w:t>perte de lignes</w:t>
            </w:r>
          </w:p>
        </w:tc>
        <w:tc>
          <w:tcPr>
            <w:tcW w:type="dxa" w:w="260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6"/>
              </w:rPr>
              <w:t>0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6"/>
              </w:rPr>
              <w:t>duplication</w:t>
            </w:r>
          </w:p>
        </w:tc>
        <w:tc>
          <w:tcPr>
            <w:tcW w:type="dxa" w:w="45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6"/>
              </w:rPr>
              <w:t>86,5 %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6"/>
              </w:rPr>
              <w:t>appariés Web</w:t>
            </w:r>
          </w:p>
        </w:tc>
        <w:tc>
          <w:tcPr>
            <w:tcW w:type="dxa" w:w="453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6"/>
              </w:rPr>
              <w:t>BASE</w:t>
              <w:br/>
            </w:r>
            <w:r>
              <w:rPr>
                <w:rFonts w:ascii="Noto Sans" w:hAnsi="Noto Sans"/>
                <w:b w:val="0"/>
                <w:i w:val="0"/>
                <w:color w:val="6C7B7E"/>
                <w:sz w:val="16"/>
              </w:rPr>
              <w:t>prête pour analyse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7. Compétences Python observables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cantSplit/>
          <w:tblHeader w:val="true"/>
        </w:trPr>
        <w:tc>
          <w:tcPr>
            <w:tcW w:type="dxa" w:w="204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6"/>
              </w:rPr>
              <w:t>Étape</w:t>
            </w:r>
          </w:p>
        </w:tc>
        <w:tc>
          <w:tcPr>
            <w:tcW w:type="dxa" w:w="464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6"/>
              </w:rPr>
              <w:t>Mise en œuvre</w:t>
            </w:r>
          </w:p>
        </w:tc>
        <w:tc>
          <w:tcPr>
            <w:tcW w:type="dxa" w:w="37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6"/>
              </w:rPr>
              <w:t>Fonctions / méthodes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Exploration</w:t>
            </w:r>
          </w:p>
        </w:tc>
        <w:tc>
          <w:tcPr>
            <w:tcW w:type="dxa" w:w="464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dimensions, types, doublons, valeurs manquantes et règles métier</w:t>
            </w:r>
          </w:p>
        </w:tc>
        <w:tc>
          <w:tcPr>
            <w:tcW w:type="dxa" w:w="37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shape · info · describe · isna · duplicated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Nettoyage</w:t>
            </w:r>
          </w:p>
        </w:tc>
        <w:tc>
          <w:tcPr>
            <w:tcW w:type="dxa" w:w="464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filtrage Web, conversion des types, neutralisation et flags</w:t>
            </w:r>
          </w:p>
        </w:tc>
        <w:tc>
          <w:tcPr>
            <w:tcW w:type="dxa" w:w="37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query · astype · fillna · clip · np.where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Feature engineering</w:t>
            </w:r>
          </w:p>
        </w:tc>
        <w:tc>
          <w:tcPr>
            <w:tcW w:type="dxa" w:w="464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prix HT, CA, marge, valeur et mois de stock</w:t>
            </w:r>
          </w:p>
        </w:tc>
        <w:tc>
          <w:tcPr>
            <w:tcW w:type="dxa" w:w="37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colonnes calculées · groupby · transform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Analyse</w:t>
            </w:r>
          </w:p>
        </w:tc>
        <w:tc>
          <w:tcPr>
            <w:tcW w:type="dxa" w:w="464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IQR, Z-score, Pareto, corrélations et visualisations</w:t>
            </w:r>
          </w:p>
        </w:tc>
        <w:tc>
          <w:tcPr>
            <w:tcW w:type="dxa" w:w="379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quantile · cumsum · corr · Matplotlib / Plotly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8. Résultats : de la donnée aux décisions</w:t>
      </w:r>
    </w:p>
    <w:p>
      <w:pPr>
        <w:keepNext/>
        <w:spacing w:before="0" w:after="80"/>
      </w:pPr>
      <w:r>
        <w:rPr>
          <w:rFonts w:ascii="Noto Sans" w:hAnsi="Noto Sans"/>
          <w:i/>
          <w:color w:val="6C7B7E"/>
          <w:sz w:val="16"/>
        </w:rPr>
        <w:t>Les principaux indicateurs vérifiés dans le notebook final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p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40"/>
      </w:pPr>
      <w:r>
        <w:rPr>
          <w:rFonts w:ascii="Noto Sans" w:hAnsi="Noto Sans"/>
          <w:b/>
          <w:color w:val="0A3D46"/>
          <w:sz w:val="22"/>
        </w:rPr>
        <w:t>8.1 Six analyses stratégiques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rPr>
          <w:cantSplit/>
          <w:tblHeader w:val="true"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Axe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Méthode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Résultat clé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Lecture métier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Prix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boxplot · IQR · Z-score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médiane 24,4 € · 36 prix &gt; 83 € · 17 &gt; 112,22 €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premium légitime ; zone 42–83 € peu dense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CA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CA par produit · Top 20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143 680 € · 5 751 unités · Top 20 ≈ 16 K€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volume standard = moteur du CA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Pareto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courbe cumulée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435 produits = 80 % du CA (52,73 %)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portefeuille diversifié, longue traîne coûteuse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Stock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valeur · mois · segments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298,6 K€ · surstock 115,0 K€ · médiane 2,5 mois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167,5 K€ de stock élevé ou surstock à arbitrer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Marge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prix HT · taux de marge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818 positives · 4 négatives · 3 prix manquants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rentabilité solide, risque ciblé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Corrélations</w:t>
            </w:r>
          </w:p>
        </w:tc>
        <w:tc>
          <w:tcPr>
            <w:tcW w:type="dxa" w:w="243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Pearson</w:t>
            </w:r>
          </w:p>
        </w:tc>
        <w:tc>
          <w:tcPr>
            <w:tcW w:type="dxa" w:w="28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−0,41 · −0,09 · +0,46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stock partiellement lié aux ventes, mais pilotage bruité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22"/>
        </w:rPr>
        <w:t>8.2 Stock : le risque est concentré en valeur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51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_valeur_seg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512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602"/>
            <w:shd w:fill="E8F2F3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7" w:color="0E5A66"/>
              <w:left w:val="single" w:sz="7" w:color="0E5A66"/>
              <w:bottom w:val="single" w:sz="7" w:color="0E5A66"/>
              <w:right w:val="single" w:sz="7" w:color="0E5A66"/>
            </w:tcBorders>
          </w:tcPr>
          <w:p>
            <w:pPr>
              <w:spacing w:after="40"/>
            </w:pPr>
            <w:r>
              <w:rPr>
                <w:rFonts w:ascii="Noto Sans" w:hAnsi="Noto Sans"/>
                <w:b/>
                <w:color w:val="0E5A66"/>
                <w:sz w:val="16"/>
              </w:rPr>
              <w:t>LECTURE CODIR</w:t>
            </w:r>
          </w:p>
          <w:p>
            <w:pPr>
              <w:spacing w:after="0"/>
            </w:pPr>
            <w:r>
              <w:rPr>
                <w:rFonts w:ascii="Noto Sans" w:hAnsi="Noto Sans"/>
                <w:color w:val="35464A"/>
                <w:sz w:val="17"/>
              </w:rPr>
              <w:t>32 produits en surstock immobilisent 115,0 K€. Avec le stock élevé, 167,5 K€ sont à arbitrer ; ce montant n’est pas un gain intégral garanti.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22"/>
        </w:rPr>
        <w:t>8.3 Risque de marge : corriger le chiffre avant de vendre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rPr>
          <w:cantSplit/>
          <w:tblHeader w:val="true"/>
        </w:trPr>
        <w:tc>
          <w:tcPr>
            <w:tcW w:type="dxa" w:w="272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Produit</w:t>
            </w:r>
          </w:p>
        </w:tc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Stock</w:t>
            </w:r>
          </w:p>
        </w:tc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Prix HT</w:t>
            </w:r>
          </w:p>
        </w:tc>
        <w:tc>
          <w:tcPr>
            <w:tcW w:type="dxa" w:w="170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Prix d’achat</w:t>
            </w:r>
          </w:p>
        </w:tc>
        <w:tc>
          <w:tcPr>
            <w:tcW w:type="dxa" w:w="317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Risque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5"/>
              </w:rPr>
              <w:t>Champagne Egly-Ouriet Grand Cru Blanc de Noirs</w:t>
            </w:r>
          </w:p>
        </w:tc>
        <w:tc>
          <w:tcPr>
            <w:tcW w:type="dxa" w:w="141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97 unités</w:t>
            </w:r>
          </w:p>
        </w:tc>
        <w:tc>
          <w:tcPr>
            <w:tcW w:type="dxa" w:w="147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10,54 €</w:t>
            </w:r>
          </w:p>
        </w:tc>
        <w:tc>
          <w:tcPr>
            <w:tcW w:type="dxa" w:w="170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77,48 €</w:t>
            </w:r>
          </w:p>
        </w:tc>
        <w:tc>
          <w:tcPr>
            <w:tcW w:type="dxa" w:w="317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C25438"/>
                <w:sz w:val="15"/>
              </w:rPr>
              <w:t>7,5 K€ de stock exposé · ≈ 6,5 K€ de perte potentielle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22"/>
        </w:rPr>
        <w:t>8.4 Corrélations : un signal, pas une causalité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1626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s_p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2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9. Plan d’action priorisé</w:t>
      </w:r>
    </w:p>
    <w:p>
      <w:pPr>
        <w:keepNext/>
        <w:spacing w:before="0" w:after="80"/>
      </w:pPr>
      <w:r>
        <w:rPr>
          <w:rFonts w:ascii="Noto Sans" w:hAnsi="Noto Sans"/>
          <w:i/>
          <w:color w:val="6C7B7E"/>
          <w:sz w:val="16"/>
        </w:rPr>
        <w:t>Du risque immédiat à la gouvernance durable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rPr>
          <w:cantSplit/>
          <w:tblHeader w:val="true"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Volet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Preuve / impact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Horizon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1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4"/>
              </w:rPr>
              <w:t>Risque financier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Bloquer la référence Egly-Ouriet ou corriger son prix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97 unités · ≈ 6,5 K€ de perte potentielle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Immédiat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2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Stock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Arbitrer les 32 surstocks et 180 stocks élevés ; commencer par le premium lent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167,5 K€ au coût à examiner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Court terme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3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Disponibilité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Traiter les 23 ruptures et calculer stock_status depuis les quantités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ventes constatées avec stock nul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Court terme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4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Pricing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Clarifier la zone 42–83 € et tester des hausses mesurées sur le premium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prix/ventes r ≈ −0,41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Moyen terme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5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ERP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Bloquer prix ≤ 0, stock &lt; 0 et alerter si prix HT &lt; prix d’achat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12 occurrences ERP ciblées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Structurel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6</w:t>
            </w:r>
          </w:p>
        </w:tc>
        <w:tc>
          <w:tcPr>
            <w:tcW w:type="dxa" w:w="181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Exports</w:t>
            </w:r>
          </w:p>
        </w:tc>
        <w:tc>
          <w:tcPr>
            <w:tcW w:type="dxa" w:w="419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SKU unique et obligatoire · clés texte · catégorie renseignée · filtre products</w:t>
            </w:r>
          </w:p>
        </w:tc>
        <w:tc>
          <w:tcPr>
            <w:tcW w:type="dxa" w:w="266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jointures et analyses durables</w:t>
            </w:r>
          </w:p>
        </w:tc>
        <w:tc>
          <w:tcPr>
            <w:tcW w:type="dxa" w:w="1247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Structurel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10. Preuves à ouvrir dans le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rPr>
          <w:cantSplit/>
          <w:tblHeader w:val="true"/>
        </w:trPr>
        <w:tc>
          <w:tcPr>
            <w:tcW w:type="dxa" w:w="11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Priorité</w:t>
            </w:r>
          </w:p>
        </w:tc>
        <w:tc>
          <w:tcPr>
            <w:tcW w:type="dxa" w:w="294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Livrable</w:t>
            </w:r>
          </w:p>
        </w:tc>
        <w:tc>
          <w:tcPr>
            <w:tcW w:type="dxa" w:w="498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Ce qu’il démontre</w:t>
            </w:r>
          </w:p>
        </w:tc>
        <w:tc>
          <w:tcPr>
            <w:tcW w:type="dxa" w:w="16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E5A6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15"/>
              </w:rPr>
              <w:t>Format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1</w:t>
            </w:r>
          </w:p>
        </w:tc>
        <w:tc>
          <w:tcPr>
            <w:tcW w:type="dxa" w:w="294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Notebook Python final</w:t>
            </w:r>
          </w:p>
        </w:tc>
        <w:tc>
          <w:tcPr>
            <w:tcW w:type="dxa" w:w="498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Nettoyage, contrôles, jointures, calculs et analyses reproductibles</w:t>
            </w:r>
          </w:p>
        </w:tc>
        <w:tc>
          <w:tcPr>
            <w:tcW w:type="dxa" w:w="16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.ipynb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2</w:t>
            </w:r>
          </w:p>
        </w:tc>
        <w:tc>
          <w:tcPr>
            <w:tcW w:type="dxa" w:w="294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Présentation CODIR</w:t>
            </w:r>
          </w:p>
        </w:tc>
        <w:tc>
          <w:tcPr>
            <w:tcW w:type="dxa" w:w="498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Capacité à synthétiser et orienter la décision en 15 minutes</w:t>
            </w:r>
          </w:p>
        </w:tc>
        <w:tc>
          <w:tcPr>
            <w:tcW w:type="dxa" w:w="16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.pptx / PDF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3</w:t>
            </w:r>
          </w:p>
        </w:tc>
        <w:tc>
          <w:tcPr>
            <w:tcW w:type="dxa" w:w="294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Base consolidée / exports</w:t>
            </w:r>
          </w:p>
        </w:tc>
        <w:tc>
          <w:tcPr>
            <w:tcW w:type="dxa" w:w="498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Préservation du référentiel ERP et appariement avec le Web</w:t>
            </w:r>
          </w:p>
        </w:tc>
        <w:tc>
          <w:tcPr>
            <w:tcW w:type="dxa" w:w="16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.xlsx / CSV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5"/>
              </w:rPr>
              <w:t>4</w:t>
            </w:r>
          </w:p>
        </w:tc>
        <w:tc>
          <w:tcPr>
            <w:tcW w:type="dxa" w:w="2948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Audit qualité et dictionnaire</w:t>
            </w:r>
          </w:p>
        </w:tc>
        <w:tc>
          <w:tcPr>
            <w:tcW w:type="dxa" w:w="4989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Documentation des anomalies, traitements et règles préventives</w:t>
            </w:r>
          </w:p>
        </w:tc>
        <w:tc>
          <w:tcPr>
            <w:tcW w:type="dxa" w:w="16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.xlsx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11. Compétences démontrées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rPr>
          <w:cantSplit/>
        </w:trPr>
        <w:tc>
          <w:tcPr>
            <w:tcW w:type="dxa" w:w="340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DATA &amp; PYTHON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pandas · nettoyage · feature engineering · jointures · contrôles d’intégrité</w:t>
            </w:r>
          </w:p>
        </w:tc>
        <w:tc>
          <w:tcPr>
            <w:tcW w:type="dxa" w:w="340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ANALYSE BUSINESS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CA · Pareto · valorisation · couverture · taux de marge · corrélations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POSTURE DÉCISIONNELLE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esprit critique · vulgarisation · synthèse CODIR · recommandations priorisées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7E9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QUALITÉ DES DONNÉES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anomalies classées · source conservée · flags · prévention dans l’ERP</w:t>
            </w:r>
          </w:p>
        </w:tc>
        <w:tc>
          <w:tcPr>
            <w:tcW w:type="dxa" w:w="340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5DBCC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DATA VISUALISATION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boxplot · histogramme · Pareto · graphiques de stock et de corrélation</w:t>
            </w:r>
          </w:p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2F3"/>
          </w:tcPr>
          <w:p>
            <w:pPr>
              <w:spacing w:before="0" w:after="0"/>
              <w:jc w:val="center"/>
            </w:pPr>
            <w:r>
              <w:rPr>
                <w:rFonts w:ascii="Noto Sans" w:hAnsi="Noto Sans"/>
                <w:b/>
                <w:i w:val="0"/>
                <w:color w:val="0A3D46"/>
                <w:sz w:val="14"/>
              </w:rPr>
              <w:t>PRISE DE RECUL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4"/>
              </w:rPr>
              <w:t>distinction appariement / vente · outlier / erreur · stock à arbitrer / gain garanti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/>
        </w:tc>
        <w:tc>
          <w:tcPr>
            <w:tcW w:type="dxa" w:w="3402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/>
        </w:tc>
        <w:tc>
          <w:tcPr>
            <w:tcW w:type="dxa" w:w="3685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/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A3D46"/>
          <w:sz w:val="30"/>
        </w:rPr>
        <w:t>12. Limites et prochaines étapes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rPr>
          <w:cantSplit/>
        </w:trPr>
        <w:tc>
          <w:tcPr>
            <w:tcW w:type="dxa" w:w="52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BEEE4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C25438"/>
                <w:sz w:val="15"/>
              </w:rPr>
              <w:t>LIMITES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• extraction d’un seul mois</w:t>
              <w:br/>
              <w:t>• ventes Web uniquement</w:t>
              <w:br/>
              <w:t>• 111 produits sans données Web finales</w:t>
              <w:br/>
              <w:t>• analyse descriptive, sans saisonnalité ni prévision</w:t>
              <w:br/>
              <w:t>• les 167,5 K€ représentent du stock à arbitrer, pas un gain garanti</w:t>
            </w:r>
          </w:p>
        </w:tc>
        <w:tc>
          <w:tcPr>
            <w:tcW w:type="dxa" w:w="5244"/>
            <w:tcBorders>
              <w:top w:val="single" w:sz="4" w:color="DCE6E7"/>
              <w:left w:val="single" w:sz="4" w:color="DCE6E7"/>
              <w:bottom w:val="single" w:sz="4" w:color="DCE6E7"/>
              <w:right w:val="single" w:sz="4" w:color="DCE6E7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E6"/>
          </w:tcPr>
          <w:p>
            <w:pPr>
              <w:spacing w:before="0" w:after="0"/>
              <w:jc w:val="left"/>
            </w:pPr>
            <w:r>
              <w:rPr>
                <w:rFonts w:ascii="Noto Sans" w:hAnsi="Noto Sans"/>
                <w:b/>
                <w:i w:val="0"/>
                <w:color w:val="0E5A66"/>
                <w:sz w:val="15"/>
              </w:rPr>
              <w:t>PROCHAINES ÉTAPES</w:t>
              <w:br/>
            </w:r>
            <w:r>
              <w:rPr>
                <w:rFonts w:ascii="Noto Sans" w:hAnsi="Noto Sans"/>
                <w:b w:val="0"/>
                <w:i w:val="0"/>
                <w:color w:val="35464A"/>
                <w:sz w:val="15"/>
              </w:rPr>
              <w:t>• automatiser les contrôles et le rapprochement</w:t>
              <w:br/>
              <w:t>• historiser ventes, stock, prix et marges</w:t>
              <w:br/>
              <w:t>• construire un dashboard Power BI</w:t>
              <w:br/>
              <w:t>• définir des seuils de couverture par catégorie</w:t>
              <w:br/>
              <w:t>• ajouter prévisions de ventes et saisonnalité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10" w:right="652" w:bottom="482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C7B7E"/>
        <w:sz w:val="13"/>
      </w:rPr>
      <w:t>BottleNeck · Python · Nettoyage &amp; consolidation · Stock &amp; ventes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6C7B7E"/>
        <w:sz w:val="13"/>
      </w:rPr>
      <w:t>SONIA GRAFF · PORTFOLIO BUSINESS INTELLIGENCE · PROJET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Noto Sans" w:hAnsi="Noto Sans"/>
      <w:color w:val="35464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