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52"/>
      </w:pPr>
      <w:r>
        <w:rPr>
          <w:rFonts w:ascii="Corbel" w:cs="Corbel" w:eastAsia="Corbel" w:hAnsi="Corbel"/>
          <w:b/>
          <w:bCs/>
          <w:i w:val="false"/>
          <w:iCs w:val="false"/>
          <w:color w:val="C25438"/>
          <w:sz w:val="20"/>
          <w:szCs w:val="20"/>
        </w:rPr>
        <w:t xml:space="preserve">PROJET 06</w:t>
      </w:r>
    </w:p>
    <w:p>
      <w:pPr>
        <w:spacing w:after="20" w:before="0" w:line="252"/>
      </w:pPr>
      <w:r>
        <w:rPr>
          <w:rFonts w:ascii="Corbel" w:cs="Corbel" w:eastAsia="Corbel" w:hAnsi="Corbel"/>
          <w:b/>
          <w:bCs/>
          <w:i w:val="false"/>
          <w:iCs w:val="false"/>
          <w:color w:val="0E5A66"/>
          <w:sz w:val="32"/>
          <w:szCs w:val="32"/>
        </w:rPr>
        <w:t xml:space="preserve">Créer un tableau de bord dynamique avec Power BI</w:t>
      </w:r>
    </w:p>
    <w:p>
      <w:pPr>
        <w:spacing w:after="20" w:before="0" w:line="252"/>
      </w:pPr>
      <w:r>
        <w:rPr>
          <w:rFonts w:ascii="Corbel" w:cs="Corbel" w:eastAsia="Corbel" w:hAnsi="Corbel"/>
          <w:b w:val="false"/>
          <w:bCs w:val="false"/>
          <w:i w:val="false"/>
          <w:iCs w:val="false"/>
          <w:color w:val="1E2A2E"/>
          <w:sz w:val="20"/>
          <w:szCs w:val="20"/>
        </w:rPr>
        <w:t xml:space="preserve">Transformer 7 onglets Excel bruts en un modèle de données fiable, puis en un rapport Power BI de 17 pages filtré par rôle — avec alertes, diagnostic des dérives et proposition d'axe stratégique.</w:t>
      </w:r>
    </w:p>
    <w:p>
      <w:pPr>
        <w:pBdr>
          <w:bottom w:val="single" w:color="0E5A66" w:sz="4"/>
        </w:pBdr>
        <w:spacing w:after="160" w:before="0" w:line="252"/>
      </w:pPr>
      <w:r>
        <w:rPr>
          <w:rFonts w:ascii="Corbel" w:cs="Corbel" w:eastAsia="Corbel" w:hAnsi="Corbel"/>
          <w:b w:val="false"/>
          <w:bCs w:val="false"/>
          <w:i w:val="false"/>
          <w:iCs w:val="false"/>
          <w:color w:val="6C7B7E"/>
          <w:sz w:val="17"/>
          <w:szCs w:val="17"/>
        </w:rPr>
        <w:t xml:space="preserve">Power BI · Power Query · DAX · Modélisation dimensionnelle · Row Level Security · Data storytelling</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640"/>
        <w:gridCol w:w="1976"/>
        <w:gridCol w:w="640"/>
        <w:gridCol w:w="1976"/>
        <w:gridCol w:w="640"/>
        <w:gridCol w:w="1976"/>
        <w:gridCol w:w="640"/>
        <w:gridCol w:w="1978"/>
      </w:tblGrid>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Période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22 janv. – 18 mars 2026 (40 j ouvrables)</w:t>
            </w:r>
          </w:p>
        </w:tc>
        <w:tc>
          <w:tcPr>
            <w:tcW w:type="dxa" w:w="64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Cadre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Certification Business Intelligence (RNCP)</w:t>
            </w:r>
          </w:p>
        </w:tc>
        <w:tc>
          <w:tcPr>
            <w:tcW w:type="dxa" w:w="64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Secteur</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Santé · Soins bucco-dentaires</w:t>
            </w:r>
          </w:p>
        </w:tc>
        <w:tc>
          <w:tcPr>
            <w:tcW w:type="dxa" w:w="64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Public</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Comité de direction (DG, régional, pays)</w:t>
            </w:r>
          </w:p>
        </w:tc>
      </w:tr>
      <w:tr>
        <w:tc>
          <w:tcPr>
            <w:tcW w:type="dxa" w:w="64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Données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7 onglets · 104 projets · 520 phases · 2018-2022</w:t>
            </w:r>
          </w:p>
        </w:tc>
        <w:tc>
          <w:tcPr>
            <w:tcW w:type="dxa" w:w="64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Nombre</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9 tables · 7 relations · 17 pages</w:t>
            </w:r>
          </w:p>
        </w:tc>
        <w:tc>
          <w:tcPr>
            <w:tcW w:type="dxa" w:w="64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Livrables</w:t>
            </w:r>
          </w:p>
        </w:tc>
        <w:tc>
          <w:tcPr>
            <w:tcW w:type="dxa" w:w="197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Rapport Power BI (.pbix) · support de soutenance</w:t>
            </w:r>
          </w:p>
        </w:tc>
        <w:tc>
          <w:tcPr>
            <w:tcW w:type="dxa" w:w="64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Posture</w:t>
            </w:r>
          </w:p>
        </w:tc>
        <w:tc>
          <w:tcPr>
            <w:tcW w:type="dxa" w:w="1978"/>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Écoute utilisateur, rigueur &amp; sens business</w:t>
            </w:r>
          </w:p>
        </w:tc>
      </w:tr>
    </w:tbl>
    <w:p>
      <w:pPr>
        <w:spacing w:after="120" w:before="0" w:line="252"/>
      </w:pPr>
      <w:r>
        <w:rPr>
          <w:rFonts w:ascii="Corbel" w:cs="Corbel" w:eastAsia="Corbel" w:hAnsi="Corbel"/>
          <w:b w:val="false"/>
          <w:bCs w:val="false"/>
          <w:i w:val="false"/>
          <w:iCs w:val="false"/>
          <w:color w:val="33454A"/>
          <w:sz w:val="17"/>
          <w:szCs w:val="17"/>
        </w:rPr>
        <w:t xml:space="preserve"/>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0466"/>
      </w:tblGrid>
      <w:tr>
        <w:tc>
          <w:tcPr>
            <w:tcW w:type="dxa" w:w="10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MA VALEUR AJOUTÉE</w:t>
            </w:r>
          </w:p>
          <w:p>
            <w:pPr>
              <w:spacing w:after="0" w:before="0" w:line="252"/>
            </w:pPr>
            <w:r>
              <w:rPr>
                <w:rFonts w:ascii="Corbel" w:cs="Corbel" w:eastAsia="Corbel" w:hAnsi="Corbel"/>
                <w:b w:val="false"/>
                <w:bCs w:val="false"/>
                <w:i w:val="false"/>
                <w:iCs w:val="false"/>
                <w:color w:val="33454A"/>
                <w:sz w:val="17"/>
                <w:szCs w:val="17"/>
              </w:rPr>
              <w:t xml:space="preserve">J'ai transformé un export Excel brut, inexploitable en l'état, en un véritable système de pilotage : un pipeline Power Query rejouable, un modèle de données en constellation (9 tables, 7 relations), une couche de calcul DAX et une sécurité par rôle qui permet à trois niveaux de direction de lire le même rapport à leur maille. Au-delà de l'outil, l'analyse a révélé un problème que le client ne voyait pas : le portefeuille livre plus vite, mais moins et plus cher — soit environ 5,9 M€ de valeur non produite. J'ai traduit ce constat en un axe stratégique et quatre chantiers de gouvernance priorisés.</w:t>
            </w:r>
          </w:p>
        </w:tc>
      </w:tr>
    </w:tbl>
    <w:p>
      <w:pPr>
        <w:spacing w:after="20" w:before="200" w:line="252"/>
      </w:pPr>
      <w:r>
        <w:rPr>
          <w:rFonts w:ascii="Corbel" w:cs="Corbel" w:eastAsia="Corbel" w:hAnsi="Corbel"/>
          <w:b/>
          <w:bCs/>
          <w:i w:val="false"/>
          <w:iCs w:val="false"/>
          <w:color w:val="0E5A66"/>
          <w:sz w:val="24"/>
          <w:szCs w:val="24"/>
        </w:rPr>
        <w:t xml:space="preserve">1. Synthèse exécutive</w:t>
      </w:r>
    </w:p>
    <w:p>
      <w:pPr>
        <w:spacing w:after="120" w:before="0" w:line="252"/>
      </w:pPr>
      <w:r>
        <w:rPr>
          <w:rFonts w:ascii="Corbel" w:cs="Corbel" w:eastAsia="Corbel" w:hAnsi="Corbel"/>
          <w:b w:val="false"/>
          <w:bCs w:val="false"/>
          <w:i/>
          <w:iCs/>
          <w:color w:val="6C7B7E"/>
          <w:sz w:val="17"/>
          <w:szCs w:val="17"/>
        </w:rPr>
        <w:t xml:space="preserve">Lecture recruteur / manager en moins d'une minute</w:t>
      </w:r>
    </w:p>
    <w:p>
      <w:pPr>
        <w:spacing w:after="80" w:before="0" w:line="252"/>
      </w:pPr>
      <w:r>
        <w:rPr>
          <w:rFonts w:ascii="Corbel" w:cs="Corbel" w:eastAsia="Corbel" w:hAnsi="Corbel"/>
          <w:b/>
          <w:bCs/>
          <w:i w:val="false"/>
          <w:iCs w:val="false"/>
          <w:color w:val="1E2A2E"/>
          <w:sz w:val="18"/>
          <w:szCs w:val="18"/>
        </w:rPr>
        <w:t xml:space="preserve">Question directrice — </w:t>
      </w:r>
      <w:r>
        <w:rPr>
          <w:rFonts w:ascii="Corbel" w:cs="Corbel" w:eastAsia="Corbel" w:hAnsi="Corbel"/>
          <w:b w:val="false"/>
          <w:bCs w:val="false"/>
          <w:i w:val="false"/>
          <w:iCs w:val="false"/>
          <w:color w:val="33454A"/>
          <w:sz w:val="17"/>
          <w:szCs w:val="17"/>
        </w:rPr>
        <w:t xml:space="preserve">comment transformer un fichier Excel de suivi de projets en un outil de pilotage capable de servir trois niveaux de décision, de détecter les dérives et d'orienter une décision stratégique ?</w:t>
      </w:r>
    </w:p>
    <w:p>
      <w:pPr>
        <w:spacing w:after="80" w:before="0" w:line="252"/>
      </w:pPr>
      <w:r>
        <w:rPr>
          <w:rFonts w:ascii="Corbel" w:cs="Corbel" w:eastAsia="Corbel" w:hAnsi="Corbel"/>
          <w:b/>
          <w:bCs/>
          <w:i w:val="false"/>
          <w:iCs w:val="false"/>
          <w:color w:val="1E2A2E"/>
          <w:sz w:val="18"/>
          <w:szCs w:val="18"/>
        </w:rPr>
        <w:t xml:space="preserve">5 enjeux — </w:t>
      </w:r>
      <w:r>
        <w:rPr>
          <w:rFonts w:ascii="Corbel" w:cs="Corbel" w:eastAsia="Corbel" w:hAnsi="Corbel"/>
          <w:b w:val="false"/>
          <w:bCs w:val="false"/>
          <w:i w:val="false"/>
          <w:iCs w:val="false"/>
          <w:color w:val="33454A"/>
          <w:sz w:val="17"/>
          <w:szCs w:val="17"/>
        </w:rPr>
        <w:t xml:space="preserve">une donnée exploitable et actualisable, une vision partagée entre trois niveaux de responsabilité, une détection fiable des dérives, une aide réelle à l'arbitrage et une gouvernance durable de l'outil.</w:t>
      </w:r>
    </w:p>
    <w:p>
      <w:pPr>
        <w:spacing w:after="20" w:before="200" w:line="252"/>
      </w:pPr>
      <w:r>
        <w:rPr>
          <w:rFonts w:ascii="Corbel" w:cs="Corbel" w:eastAsia="Corbel" w:hAnsi="Corbel"/>
          <w:b/>
          <w:bCs/>
          <w:i w:val="false"/>
          <w:iCs w:val="false"/>
          <w:color w:val="0E5A66"/>
          <w:sz w:val="24"/>
          <w:szCs w:val="24"/>
        </w:rPr>
        <w:t xml:space="preserve">2. Données : sources, qualité et limites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00"/>
        <w:gridCol w:w="8766"/>
      </w:tblGrid>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w:t>
            </w:r>
          </w:p>
        </w:tc>
        <w:tc>
          <w:tcPr>
            <w:tcW w:type="dxa" w:w="8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Fichier Excel unique extrait du logiciel de gestion de projets du client — 7 onglets : données planifiées (Projects_plans), données réelles (coûts, durées, livrables), localisations, types de projets et référentiel pays.</w:t>
            </w:r>
          </w:p>
        </w:tc>
      </w:tr>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Volumétrie</w:t>
            </w:r>
          </w:p>
        </w:tc>
        <w:tc>
          <w:tcPr>
            <w:tcW w:type="dxa" w:w="8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104 projets (52 IT, 52 Marketing) · 520 phases · 52 pays · 4 régions. Phases IT numérotées A à F (6), phases Marketing 1 à 4.</w:t>
            </w:r>
          </w:p>
        </w:tc>
      </w:tr>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Périmètre</w:t>
            </w:r>
          </w:p>
        </w:tc>
        <w:tc>
          <w:tcPr>
            <w:tcW w:type="dxa" w:w="8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Projets clos entre 2018 et le début 2022. Trois indicateurs de pilotage : coûts, respect des délais, livrables produits par rapport au planning.</w:t>
            </w:r>
          </w:p>
        </w:tc>
      </w:tr>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Règle métier</w:t>
            </w:r>
          </w:p>
        </w:tc>
        <w:tc>
          <w:tcPr>
            <w:tcW w:type="dxa" w:w="8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Un écart supérieur à 15 % entre le prévisionnel et le réel sur l'un des trois indicateurs déclenche une alerte auprès des directeurs. Toutes les phases ont une importance équivalente.</w:t>
            </w:r>
          </w:p>
        </w:tc>
      </w:tr>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Qualité</w:t>
            </w:r>
          </w:p>
        </w:tc>
        <w:tc>
          <w:tcPr>
            <w:tcW w:type="dxa" w:w="8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Nettoyage entièrement automatisé dans Power Query (en-têtes, lignes et colonnes vides, typage, doublons) : aucune retouche manuelle du fichier source, aucune ligne perdue sur les 520 phases.</w:t>
            </w:r>
          </w:p>
        </w:tc>
      </w:tr>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Limites</w:t>
            </w:r>
          </w:p>
        </w:tc>
        <w:tc>
          <w:tcPr>
            <w:tcW w:type="dxa" w:w="8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Portefeuille clos : pas de suivi en cours de vie et reste à faire nul. Ni charge ni ressources dans la source ; aucun motif de dérive documenté.</w:t>
            </w:r>
          </w:p>
        </w:tc>
      </w:tr>
    </w:tbl>
    <w:p>
      <w:pPr>
        <w:spacing w:after="20" w:before="200" w:line="252"/>
      </w:pPr>
      <w:r>
        <w:rPr>
          <w:rFonts w:ascii="Corbel" w:cs="Corbel" w:eastAsia="Corbel" w:hAnsi="Corbel"/>
          <w:b/>
          <w:bCs/>
          <w:i w:val="false"/>
          <w:iCs w:val="false"/>
          <w:color w:val="0E5A66"/>
          <w:sz w:val="24"/>
          <w:szCs w:val="24"/>
        </w:rPr>
        <w:t xml:space="preserve">3. Démarche STAR</w:t>
      </w:r>
    </w:p>
    <w:p>
      <w:pPr>
        <w:spacing w:after="120" w:before="0" w:line="252"/>
      </w:pPr>
      <w:r>
        <w:rPr>
          <w:rFonts w:ascii="Corbel" w:cs="Corbel" w:eastAsia="Corbel" w:hAnsi="Corbel"/>
          <w:b w:val="false"/>
          <w:bCs w:val="false"/>
          <w:i/>
          <w:iCs/>
          <w:color w:val="6C7B7E"/>
          <w:sz w:val="17"/>
          <w:szCs w:val="17"/>
        </w:rPr>
        <w:t xml:space="preserve">Une narration orientée recruteur / client</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60"/>
        <w:gridCol w:w="9906"/>
      </w:tblGrid>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S</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SITUATION</w:t>
            </w:r>
          </w:p>
          <w:p>
            <w:pPr>
              <w:spacing w:after="0" w:before="0" w:line="252"/>
            </w:pPr>
            <w:r>
              <w:rPr>
                <w:rFonts w:ascii="Corbel" w:cs="Corbel" w:eastAsia="Corbel" w:hAnsi="Corbel"/>
                <w:b w:val="false"/>
                <w:bCs w:val="false"/>
                <w:i w:val="false"/>
                <w:iCs w:val="false"/>
                <w:color w:val="33454A"/>
                <w:sz w:val="17"/>
                <w:szCs w:val="17"/>
              </w:rPr>
              <w:t xml:space="preserve">Sanitoral, société internationale de soins bucco-dentaires présente dans 52 pays et 4 régions, pilote un portefeuille de 104 projets IT et Marketing. Le service PMO dispose de beaucoup de données — 7 onglets Excel bruts — mais d'aucun outil pour les exploiter : impossible de suivre l'avancement, d'identifier les retards ou d'alerter les directeurs sur les dérives de coûts, de délais et de livrables.</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T</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TÂCHE</w:t>
            </w:r>
          </w:p>
          <w:p>
            <w:pPr>
              <w:spacing w:after="0" w:before="0" w:line="252"/>
            </w:pPr>
            <w:r>
              <w:rPr>
                <w:rFonts w:ascii="Corbel" w:cs="Corbel" w:eastAsia="Corbel" w:hAnsi="Corbel"/>
                <w:b w:val="false"/>
                <w:bCs w:val="false"/>
                <w:i w:val="false"/>
                <w:iCs w:val="false"/>
                <w:color w:val="33454A"/>
                <w:sz w:val="17"/>
                <w:szCs w:val="17"/>
              </w:rPr>
              <w:t xml:space="preserve">Concevoir un tableau de bord Power BI unique répondant aux besoins de trois profils de décideurs (Directeur Général, Directeur Régional, Directeur Pays), avec un nettoyage automatisé permettant une actualisation hebdomadaire, un modèle de données fiable, un système d'alerte à 15 % d'écart et une proposition d'axe stratégique issue de l'analyse.</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A</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ACTIONS</w:t>
            </w:r>
          </w:p>
          <w:p>
            <w:pPr>
              <w:spacing w:after="0" w:before="0" w:line="252"/>
            </w:pPr>
            <w:r>
              <w:rPr>
                <w:rFonts w:ascii="Corbel" w:cs="Corbel" w:eastAsia="Corbel" w:hAnsi="Corbel"/>
                <w:b w:val="false"/>
                <w:bCs w:val="false"/>
                <w:i w:val="false"/>
                <w:iCs w:val="false"/>
                <w:color w:val="33454A"/>
                <w:sz w:val="17"/>
                <w:szCs w:val="17"/>
              </w:rPr>
              <w:t xml:space="preserve">1. Cadrer le besoin — Product Strategy Canvas et 9 user stories (3 par profil), validés avant toute conception. 2. Nettoyer — pipeline Power Query rejouable sur les 7 onglets. 3. Structurer — merges planifié/réel, agrégation au niveau projet, création des 5 tables absentes de la source. 4. Modéliser — constellation de 9 tables et 7 relations 1→n à sens de filtre unique. 5. Calculer et sécuriser — colonnes calculées, mesures DAX regroupées dans une table _Measures, Row Level Security dynamique. 6. Concevoir — 17 pages avec carte, Gantt, scatter, Pareto, Key Influencers, Q&amp;R et drill-through. 7. Restituer — storytelling de soutenance et 4 axes de recommandations.</w:t>
            </w:r>
          </w:p>
        </w:tc>
      </w:tr>
      <w:tr>
        <w:tc>
          <w:tcPr>
            <w:tcW w:type="dxa" w:w="560"/>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0" w:before="0" w:line="252"/>
              <w:jc w:val="center"/>
            </w:pPr>
            <w:r>
              <w:rPr>
                <w:rFonts w:ascii="Corbel" w:cs="Corbel" w:eastAsia="Corbel" w:hAnsi="Corbel"/>
                <w:b/>
                <w:bCs/>
                <w:i w:val="false"/>
                <w:iCs w:val="false"/>
                <w:color w:val="0E5A66"/>
                <w:sz w:val="26"/>
                <w:szCs w:val="26"/>
              </w:rPr>
              <w:t xml:space="preserve">R</w:t>
            </w:r>
          </w:p>
        </w:tc>
        <w:tc>
          <w:tcPr>
            <w:tcW w:type="dxa" w:w="990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40" w:before="0" w:line="252"/>
            </w:pPr>
            <w:r>
              <w:rPr>
                <w:rFonts w:ascii="Corbel" w:cs="Corbel" w:eastAsia="Corbel" w:hAnsi="Corbel"/>
                <w:b/>
                <w:bCs/>
                <w:i w:val="false"/>
                <w:iCs w:val="false"/>
                <w:color w:val="0E5A66"/>
                <w:sz w:val="18"/>
                <w:szCs w:val="18"/>
              </w:rPr>
              <w:t xml:space="preserve">RÉSULTATS</w:t>
            </w:r>
          </w:p>
          <w:p>
            <w:pPr>
              <w:spacing w:after="0" w:before="0" w:line="252"/>
            </w:pPr>
            <w:r>
              <w:rPr>
                <w:rFonts w:ascii="Corbel" w:cs="Corbel" w:eastAsia="Corbel" w:hAnsi="Corbel"/>
                <w:b w:val="false"/>
                <w:bCs w:val="false"/>
                <w:i w:val="false"/>
                <w:iCs w:val="false"/>
                <w:color w:val="33454A"/>
                <w:sz w:val="17"/>
                <w:szCs w:val="17"/>
              </w:rPr>
              <w:t xml:space="preserve">Un rapport Power BI de 17 pages, alimenté par un pipeline 100 % automatisé (mise à jour hebdomadaire en 5 étapes) et sécurisé par RLS pour 3 rôles. L'analyse révèle un paradoxe de portefeuille : 13,4 % d'avance sur les délais, mais 7,3 % de surcoût et 10,5 % de livrables en moins — soit un indicateur de valeur livrée (VDI) de 89,5 % et environ 5,9 M€ de valeur non produite sur 56 M€ engagés. 41 projets sur 104 sont en alerte critique. Axe stratégique proposé : réformer la gouvernance du portefeuille en 4 chantiers priorisés.</w:t>
            </w:r>
          </w:p>
        </w:tc>
      </w:tr>
    </w:tbl>
    <w:p>
      <w:pPr>
        <w:spacing w:after="80" w:before="160" w:line="252"/>
      </w:pPr>
      <w:r>
        <w:rPr>
          <w:rFonts w:ascii="Corbel" w:cs="Corbel" w:eastAsia="Corbel" w:hAnsi="Corbel"/>
          <w:b/>
          <w:bCs/>
          <w:i w:val="false"/>
          <w:iCs w:val="false"/>
          <w:color w:val="1E2A2E"/>
          <w:sz w:val="18"/>
          <w:szCs w:val="18"/>
        </w:rPr>
        <w:t xml:space="preserve">Pipeline de travail — </w:t>
      </w:r>
      <w:r>
        <w:rPr>
          <w:rFonts w:ascii="Corbel" w:cs="Corbel" w:eastAsia="Corbel" w:hAnsi="Corbel"/>
          <w:b w:val="false"/>
          <w:bCs w:val="false"/>
          <w:i/>
          <w:iCs/>
          <w:color w:val="6C7B7E"/>
          <w:sz w:val="17"/>
          <w:szCs w:val="17"/>
        </w:rPr>
        <w:t xml:space="preserve">du fichier source au tableau de bord décisionnel.</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44"/>
        <w:gridCol w:w="1744"/>
        <w:gridCol w:w="1744"/>
        <w:gridCol w:w="1744"/>
        <w:gridCol w:w="1744"/>
        <w:gridCol w:w="1746"/>
      </w:tblGrid>
      <w:tr>
        <w:tc>
          <w:tcPr>
            <w:tcW w:type="dxa" w:w="1744"/>
            <w:tcBorders>
              <w:top w:val="single" w:color="DCE6E7" w:sz="4"/>
              <w:left w:val="single" w:color="DCE6E7" w:sz="4"/>
              <w:bottom w:val="single" w:color="DCE6E7" w:sz="4"/>
              <w:right w:val="single" w:color="DCE6E7" w:sz="4"/>
            </w:tcBorders>
            <w:shd w:fill="EAF3F0"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20"/>
                <w:szCs w:val="20"/>
              </w:rPr>
              <w:t xml:space="preserve">1</w:t>
            </w:r>
          </w:p>
          <w:p>
            <w:pPr>
              <w:spacing w:after="20" w:before="0" w:line="252"/>
              <w:jc w:val="center"/>
            </w:pPr>
            <w:r>
              <w:rPr>
                <w:rFonts w:ascii="Corbel" w:cs="Corbel" w:eastAsia="Corbel" w:hAnsi="Corbel"/>
                <w:b/>
                <w:bCs/>
                <w:i w:val="false"/>
                <w:iCs w:val="false"/>
                <w:color w:val="C25438"/>
                <w:sz w:val="17"/>
                <w:szCs w:val="17"/>
              </w:rPr>
              <w:t xml:space="preserve">Cadrer</w:t>
            </w:r>
          </w:p>
          <w:p>
            <w:pPr>
              <w:spacing w:after="0" w:before="0" w:line="252"/>
              <w:jc w:val="center"/>
            </w:pPr>
            <w:r>
              <w:rPr>
                <w:rFonts w:ascii="Corbel" w:cs="Corbel" w:eastAsia="Corbel" w:hAnsi="Corbel"/>
                <w:b w:val="false"/>
                <w:bCs w:val="false"/>
                <w:i w:val="false"/>
                <w:iCs w:val="false"/>
                <w:color w:val="6C7B7E"/>
                <w:sz w:val="16"/>
                <w:szCs w:val="16"/>
              </w:rPr>
              <w:t xml:space="preserve">canvas · 9 user stories</w:t>
            </w:r>
          </w:p>
        </w:tc>
        <w:tc>
          <w:tcPr>
            <w:tcW w:type="dxa" w:w="1744"/>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20"/>
                <w:szCs w:val="20"/>
              </w:rPr>
              <w:t xml:space="preserve">2</w:t>
            </w:r>
          </w:p>
          <w:p>
            <w:pPr>
              <w:spacing w:after="20" w:before="0" w:line="252"/>
              <w:jc w:val="center"/>
            </w:pPr>
            <w:r>
              <w:rPr>
                <w:rFonts w:ascii="Corbel" w:cs="Corbel" w:eastAsia="Corbel" w:hAnsi="Corbel"/>
                <w:b/>
                <w:bCs/>
                <w:i w:val="false"/>
                <w:iCs w:val="false"/>
                <w:color w:val="C25438"/>
                <w:sz w:val="17"/>
                <w:szCs w:val="17"/>
              </w:rPr>
              <w:t xml:space="preserve">Nettoyer</w:t>
            </w:r>
          </w:p>
          <w:p>
            <w:pPr>
              <w:spacing w:after="0" w:before="0" w:line="252"/>
              <w:jc w:val="center"/>
            </w:pPr>
            <w:r>
              <w:rPr>
                <w:rFonts w:ascii="Corbel" w:cs="Corbel" w:eastAsia="Corbel" w:hAnsi="Corbel"/>
                <w:b w:val="false"/>
                <w:bCs w:val="false"/>
                <w:i w:val="false"/>
                <w:iCs w:val="false"/>
                <w:color w:val="6C7B7E"/>
                <w:sz w:val="16"/>
                <w:szCs w:val="16"/>
              </w:rPr>
              <w:t xml:space="preserve">Power Query rejouable</w:t>
            </w:r>
          </w:p>
        </w:tc>
        <w:tc>
          <w:tcPr>
            <w:tcW w:type="dxa" w:w="1744"/>
            <w:tcBorders>
              <w:top w:val="single" w:color="DCE6E7" w:sz="4"/>
              <w:left w:val="single" w:color="DCE6E7" w:sz="4"/>
              <w:bottom w:val="single" w:color="DCE6E7" w:sz="4"/>
              <w:right w:val="single" w:color="DCE6E7" w:sz="4"/>
            </w:tcBorders>
            <w:shd w:fill="EAF3F0"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20"/>
                <w:szCs w:val="20"/>
              </w:rPr>
              <w:t xml:space="preserve">3</w:t>
            </w:r>
          </w:p>
          <w:p>
            <w:pPr>
              <w:spacing w:after="20" w:before="0" w:line="252"/>
              <w:jc w:val="center"/>
            </w:pPr>
            <w:r>
              <w:rPr>
                <w:rFonts w:ascii="Corbel" w:cs="Corbel" w:eastAsia="Corbel" w:hAnsi="Corbel"/>
                <w:b/>
                <w:bCs/>
                <w:i w:val="false"/>
                <w:iCs w:val="false"/>
                <w:color w:val="C25438"/>
                <w:sz w:val="17"/>
                <w:szCs w:val="17"/>
              </w:rPr>
              <w:t xml:space="preserve">Structurer</w:t>
            </w:r>
          </w:p>
          <w:p>
            <w:pPr>
              <w:spacing w:after="0" w:before="0" w:line="252"/>
              <w:jc w:val="center"/>
            </w:pPr>
            <w:r>
              <w:rPr>
                <w:rFonts w:ascii="Corbel" w:cs="Corbel" w:eastAsia="Corbel" w:hAnsi="Corbel"/>
                <w:b w:val="false"/>
                <w:bCs w:val="false"/>
                <w:i w:val="false"/>
                <w:iCs w:val="false"/>
                <w:color w:val="6C7B7E"/>
                <w:sz w:val="16"/>
                <w:szCs w:val="16"/>
              </w:rPr>
              <w:t xml:space="preserve">merges · agrégation</w:t>
            </w:r>
          </w:p>
        </w:tc>
        <w:tc>
          <w:tcPr>
            <w:tcW w:type="dxa" w:w="1744"/>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20"/>
                <w:szCs w:val="20"/>
              </w:rPr>
              <w:t xml:space="preserve">4</w:t>
            </w:r>
          </w:p>
          <w:p>
            <w:pPr>
              <w:spacing w:after="20" w:before="0" w:line="252"/>
              <w:jc w:val="center"/>
            </w:pPr>
            <w:r>
              <w:rPr>
                <w:rFonts w:ascii="Corbel" w:cs="Corbel" w:eastAsia="Corbel" w:hAnsi="Corbel"/>
                <w:b/>
                <w:bCs/>
                <w:i w:val="false"/>
                <w:iCs w:val="false"/>
                <w:color w:val="C25438"/>
                <w:sz w:val="17"/>
                <w:szCs w:val="17"/>
              </w:rPr>
              <w:t xml:space="preserve">Modéliser</w:t>
            </w:r>
          </w:p>
          <w:p>
            <w:pPr>
              <w:spacing w:after="0" w:before="0" w:line="252"/>
              <w:jc w:val="center"/>
            </w:pPr>
            <w:r>
              <w:rPr>
                <w:rFonts w:ascii="Corbel" w:cs="Corbel" w:eastAsia="Corbel" w:hAnsi="Corbel"/>
                <w:b w:val="false"/>
                <w:bCs w:val="false"/>
                <w:i w:val="false"/>
                <w:iCs w:val="false"/>
                <w:color w:val="6C7B7E"/>
                <w:sz w:val="16"/>
                <w:szCs w:val="16"/>
              </w:rPr>
              <w:t xml:space="preserve">9 tables · 7 relations</w:t>
            </w:r>
          </w:p>
        </w:tc>
        <w:tc>
          <w:tcPr>
            <w:tcW w:type="dxa" w:w="1744"/>
            <w:tcBorders>
              <w:top w:val="single" w:color="DCE6E7" w:sz="4"/>
              <w:left w:val="single" w:color="DCE6E7" w:sz="4"/>
              <w:bottom w:val="single" w:color="DCE6E7" w:sz="4"/>
              <w:right w:val="single" w:color="DCE6E7" w:sz="4"/>
            </w:tcBorders>
            <w:shd w:fill="EAF3F0"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20"/>
                <w:szCs w:val="20"/>
              </w:rPr>
              <w:t xml:space="preserve">5</w:t>
            </w:r>
          </w:p>
          <w:p>
            <w:pPr>
              <w:spacing w:after="20" w:before="0" w:line="252"/>
              <w:jc w:val="center"/>
            </w:pPr>
            <w:r>
              <w:rPr>
                <w:rFonts w:ascii="Corbel" w:cs="Corbel" w:eastAsia="Corbel" w:hAnsi="Corbel"/>
                <w:b/>
                <w:bCs/>
                <w:i w:val="false"/>
                <w:iCs w:val="false"/>
                <w:color w:val="C25438"/>
                <w:sz w:val="17"/>
                <w:szCs w:val="17"/>
              </w:rPr>
              <w:t xml:space="preserve">Calculer</w:t>
            </w:r>
          </w:p>
          <w:p>
            <w:pPr>
              <w:spacing w:after="0" w:before="0" w:line="252"/>
              <w:jc w:val="center"/>
            </w:pPr>
            <w:r>
              <w:rPr>
                <w:rFonts w:ascii="Corbel" w:cs="Corbel" w:eastAsia="Corbel" w:hAnsi="Corbel"/>
                <w:b w:val="false"/>
                <w:bCs w:val="false"/>
                <w:i w:val="false"/>
                <w:iCs w:val="false"/>
                <w:color w:val="6C7B7E"/>
                <w:sz w:val="16"/>
                <w:szCs w:val="16"/>
              </w:rPr>
              <w:t xml:space="preserve">DAX · RLS</w:t>
            </w:r>
          </w:p>
        </w:tc>
        <w:tc>
          <w:tcPr>
            <w:tcW w:type="dxa" w:w="1746"/>
            <w:tcBorders>
              <w:top w:val="single" w:color="DCE6E7" w:sz="4"/>
              <w:left w:val="single" w:color="DCE6E7" w:sz="4"/>
              <w:bottom w:val="single" w:color="DCE6E7" w:sz="4"/>
              <w:right w:val="single" w:color="DCE6E7" w:sz="4"/>
            </w:tcBorders>
            <w:shd w:fill="EEF0F8"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20"/>
                <w:szCs w:val="20"/>
              </w:rPr>
              <w:t xml:space="preserve">6</w:t>
            </w:r>
          </w:p>
          <w:p>
            <w:pPr>
              <w:spacing w:after="20" w:before="0" w:line="252"/>
              <w:jc w:val="center"/>
            </w:pPr>
            <w:r>
              <w:rPr>
                <w:rFonts w:ascii="Corbel" w:cs="Corbel" w:eastAsia="Corbel" w:hAnsi="Corbel"/>
                <w:b/>
                <w:bCs/>
                <w:i w:val="false"/>
                <w:iCs w:val="false"/>
                <w:color w:val="C25438"/>
                <w:sz w:val="17"/>
                <w:szCs w:val="17"/>
              </w:rPr>
              <w:t xml:space="preserve">Restituer</w:t>
            </w:r>
          </w:p>
          <w:p>
            <w:pPr>
              <w:spacing w:after="0" w:before="0" w:line="252"/>
              <w:jc w:val="center"/>
            </w:pPr>
            <w:r>
              <w:rPr>
                <w:rFonts w:ascii="Corbel" w:cs="Corbel" w:eastAsia="Corbel" w:hAnsi="Corbel"/>
                <w:b w:val="false"/>
                <w:bCs w:val="false"/>
                <w:i w:val="false"/>
                <w:iCs w:val="false"/>
                <w:color w:val="6C7B7E"/>
                <w:sz w:val="16"/>
                <w:szCs w:val="16"/>
              </w:rPr>
              <w:t xml:space="preserve">17 pages · recommandations</w:t>
            </w:r>
          </w:p>
        </w:tc>
      </w:tr>
    </w:tbl>
    <w:p>
      <w:pPr>
        <w:spacing w:after="20" w:before="200" w:line="252"/>
      </w:pPr>
      <w:r>
        <w:rPr>
          <w:rFonts w:ascii="Corbel" w:cs="Corbel" w:eastAsia="Corbel" w:hAnsi="Corbel"/>
          <w:b/>
          <w:bCs/>
          <w:i w:val="false"/>
          <w:iCs w:val="false"/>
          <w:color w:val="0E5A66"/>
          <w:sz w:val="24"/>
          <w:szCs w:val="24"/>
        </w:rPr>
        <w:t xml:space="preserve">4. Le modèle de données</w:t>
      </w:r>
    </w:p>
    <w:p>
      <w:pPr>
        <w:spacing w:after="100" w:before="0" w:line="252"/>
      </w:pPr>
      <w:r>
        <w:rPr>
          <w:rFonts w:ascii="Corbel" w:cs="Corbel" w:eastAsia="Corbel" w:hAnsi="Corbel"/>
          <w:b w:val="false"/>
          <w:bCs w:val="false"/>
          <w:i w:val="false"/>
          <w:iCs w:val="false"/>
          <w:color w:val="33454A"/>
          <w:sz w:val="17"/>
          <w:szCs w:val="17"/>
        </w:rPr>
        <w:t xml:space="preserve">Les faits portent les mesures, les dimensions portent l'analyse. Deux tables restent volontairement isolées du modèle : la sécurité et la date de reporting sont gérées en DAX, ce qui évite les boucles de relations et les filtres bidirectionnels.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4300"/>
        <w:gridCol w:w="1700"/>
        <w:gridCol w:w="2066"/>
      </w:tblGrid>
      <w:tr>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Table</w:t>
            </w:r>
          </w:p>
        </w:tc>
        <w:tc>
          <w:tcPr>
            <w:tcW w:type="dxa" w:w="4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Rôle</w:t>
            </w:r>
          </w:p>
        </w:tc>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Volume</w:t>
            </w:r>
          </w:p>
        </w:tc>
        <w:tc>
          <w:tcPr>
            <w:tcW w:type="dxa" w:w="20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Origine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Fact_Phase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Faits — maille phase (clé composite Project_Phase_ID)</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520 lignes</w:t>
            </w:r>
          </w:p>
        </w:tc>
        <w:tc>
          <w:tcPr>
            <w:tcW w:type="dxa" w:w="20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Merge Projects_plans + 3 onglets réels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Fact_Project</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Faits — maille projet, évite les recalculs DAX répétés</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104 lignes</w:t>
            </w:r>
          </w:p>
        </w:tc>
        <w:tc>
          <w:tcPr>
            <w:tcW w:type="dxa" w:w="20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Duplication de Fact_Phase + Group By</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Dim_Project</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Dimension pivot — référentiel projet (type, pays)</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104 lignes</w:t>
            </w:r>
          </w:p>
        </w:tc>
        <w:tc>
          <w:tcPr>
            <w:tcW w:type="dxa" w:w="20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Merge Project type + Projects_Locations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Dim_Geography</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Dimension géographique — carte, filtres et point d'entrée RLS</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52 pays · 4 régions</w:t>
            </w:r>
          </w:p>
        </w:tc>
        <w:tc>
          <w:tcPr>
            <w:tcW w:type="dxa" w:w="20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Renommage de Country_Profiles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Dim_Phase · Dim_ProjectType · Dim_Date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Dimensions d'analyse — phases, types, calendrier</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10 · 2 · calendrier</w:t>
            </w:r>
          </w:p>
        </w:tc>
        <w:tc>
          <w:tcPr>
            <w:tcW w:type="dxa" w:w="20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Créées (absentes de la source)</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UserAccess_RLS · Reporting_Date</w:t>
            </w:r>
          </w:p>
        </w:tc>
        <w:tc>
          <w:tcPr>
            <w:tcW w:type="dxa" w:w="4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Tables utilitaires volontairement non reliées</w:t>
            </w:r>
          </w:p>
        </w:tc>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sécurité · snapshot</w:t>
            </w:r>
          </w:p>
        </w:tc>
        <w:tc>
          <w:tcPr>
            <w:tcW w:type="dxa" w:w="20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Créées</w:t>
            </w:r>
          </w:p>
        </w:tc>
      </w:tr>
    </w:tbl>
    <w:p>
      <w:pPr>
        <w:spacing w:after="20" w:before="200" w:line="252"/>
      </w:pPr>
      <w:r>
        <w:rPr>
          <w:rFonts w:ascii="Corbel" w:cs="Corbel" w:eastAsia="Corbel" w:hAnsi="Corbel"/>
          <w:b/>
          <w:bCs/>
          <w:i w:val="false"/>
          <w:iCs w:val="false"/>
          <w:color w:val="0E5A66"/>
          <w:sz w:val="24"/>
          <w:szCs w:val="24"/>
        </w:rPr>
        <w:t xml:space="preserve">5. Ce que j'ai réalisé (Power BI)</w:t>
      </w:r>
    </w:p>
    <w:p>
      <w:pPr>
        <w:spacing w:after="120" w:before="0" w:line="252"/>
      </w:pPr>
      <w:r>
        <w:rPr>
          <w:rFonts w:ascii="Corbel" w:cs="Corbel" w:eastAsia="Corbel" w:hAnsi="Corbel"/>
          <w:b w:val="false"/>
          <w:bCs w:val="false"/>
          <w:i/>
          <w:iCs/>
          <w:color w:val="6C7B7E"/>
          <w:sz w:val="17"/>
          <w:szCs w:val="17"/>
        </w:rPr>
        <w:t xml:space="preserve">Compétences techniques observables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500"/>
        <w:gridCol w:w="6300"/>
        <w:gridCol w:w="2666"/>
      </w:tblGrid>
      <w:tr>
        <w:tc>
          <w:tcPr>
            <w:tcW w:type="dxa" w:w="15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Étape</w:t>
            </w:r>
          </w:p>
        </w:tc>
        <w:tc>
          <w:tcPr>
            <w:tcW w:type="dxa" w:w="6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Actions réalisées</w:t>
            </w:r>
          </w:p>
        </w:tc>
        <w:tc>
          <w:tcPr>
            <w:tcW w:type="dxa" w:w="26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Outils / fonctions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Cadrage produit</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Traduction du besoin en Product Strategy Canvas et 9 user stories (3 profils × 3 besoins : voir, être alerté, décider), validées avant conception.</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Product Strategy Canvas · user stories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Préparation</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Suppression des lignes parasites, promotion des en-têtes, suppression des lignes et colonnes vides, typage, dédoublonnage des dimensions.</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Power Query Editor · langage M · Table.Distinct</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Intégration</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Merge planifié/réel avec clé composite, agrégation par projet, construction du référentiel projet, création de 5 tables absentes de la source.</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Merge · Group By · List.Dates · Table.FromRows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Modélisation</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Modèle en constellation : 9 tables, 7 relations 1→n à sens de filtre unique, deux tables utilitaires isolées.</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Vue de modèle Power BI · cardinalités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Calcul</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Colonnes calculées (statut d'alerte) et mesures dynamiques regroupées dans une table dédiée organisée en dossiers thématiques ; mesures narratives adaptatives.</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DAX · table _Measures · EAC · ETC · VDI</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Sécurité</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Sécurité au niveau des lignes : chaque utilisateur est rattaché à un périmètre, le filtre se propage ensuite dans tout le modèle. Le rôle Directeur Général n'a aucun filtre.</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RLS · LOOKUPVALUE · simulation des rôles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Conception</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17 pages : carte mondiale, matrice hiérarchique, scatter à quadrants, Pareto, diagramme de Gantt, Key Influencers, Q&amp;R en langage naturel, drill-through et info-bulles en pages dédiées.</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Visuels Power BI · Gantt · Q&amp;R · signets</w:t>
            </w:r>
          </w:p>
        </w:tc>
      </w:tr>
      <w:tr>
        <w:tc>
          <w:tcPr>
            <w:tcW w:type="dxa" w:w="15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Restitution</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Storytelling de soutenance et présentation des recommandations stratégiques à la cheffe de projet du PMO.</w:t>
            </w:r>
          </w:p>
        </w:tc>
        <w:tc>
          <w:tcPr>
            <w:tcW w:type="dxa" w:w="26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PowerPoint · PDF</w:t>
            </w:r>
          </w:p>
        </w:tc>
      </w:tr>
    </w:tbl>
    <w:p>
      <w:pPr>
        <w:spacing w:after="20" w:before="200" w:line="252"/>
      </w:pPr>
      <w:r>
        <w:rPr>
          <w:rFonts w:ascii="Corbel" w:cs="Corbel" w:eastAsia="Corbel" w:hAnsi="Corbel"/>
          <w:b/>
          <w:bCs/>
          <w:i w:val="false"/>
          <w:iCs w:val="false"/>
          <w:color w:val="0E5A66"/>
          <w:sz w:val="24"/>
          <w:szCs w:val="24"/>
        </w:rPr>
        <w:t xml:space="preserve">6. Résultats, impact et recommandations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3488"/>
        <w:gridCol w:w="3488"/>
        <w:gridCol w:w="3490"/>
      </w:tblGrid>
      <w:tr>
        <w:tc>
          <w:tcPr>
            <w:tcW w:type="dxa" w:w="3488"/>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39,4 %</w:t>
            </w:r>
          </w:p>
          <w:p>
            <w:pPr>
              <w:spacing w:after="0" w:before="0" w:line="252"/>
              <w:jc w:val="center"/>
            </w:pPr>
            <w:r>
              <w:rPr>
                <w:rFonts w:ascii="Corbel" w:cs="Corbel" w:eastAsia="Corbel" w:hAnsi="Corbel"/>
                <w:b w:val="false"/>
                <w:bCs w:val="false"/>
                <w:i w:val="false"/>
                <w:iCs w:val="false"/>
                <w:color w:val="6C7B7E"/>
                <w:sz w:val="16"/>
                <w:szCs w:val="16"/>
              </w:rPr>
              <w:t xml:space="preserve">des projets en alerte critique (41 sur 104)</w:t>
            </w:r>
          </w:p>
        </w:tc>
        <w:tc>
          <w:tcPr>
            <w:tcW w:type="dxa" w:w="3488"/>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89,5 %</w:t>
            </w:r>
          </w:p>
          <w:p>
            <w:pPr>
              <w:spacing w:after="0" w:before="0" w:line="252"/>
              <w:jc w:val="center"/>
            </w:pPr>
            <w:r>
              <w:rPr>
                <w:rFonts w:ascii="Corbel" w:cs="Corbel" w:eastAsia="Corbel" w:hAnsi="Corbel"/>
                <w:b w:val="false"/>
                <w:bCs w:val="false"/>
                <w:i w:val="false"/>
                <w:iCs w:val="false"/>
                <w:color w:val="6C7B7E"/>
                <w:sz w:val="16"/>
                <w:szCs w:val="16"/>
              </w:rPr>
              <w:t xml:space="preserve">VDI — valeur réellement livrée</w:t>
            </w:r>
          </w:p>
        </w:tc>
        <w:tc>
          <w:tcPr>
            <w:tcW w:type="dxa" w:w="349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20" w:before="0" w:line="252"/>
              <w:jc w:val="center"/>
            </w:pPr>
            <w:r>
              <w:rPr>
                <w:rFonts w:ascii="Corbel" w:cs="Corbel" w:eastAsia="Corbel" w:hAnsi="Corbel"/>
                <w:b/>
                <w:bCs/>
                <w:i w:val="false"/>
                <w:iCs w:val="false"/>
                <w:color w:val="0E5A66"/>
                <w:sz w:val="30"/>
                <w:szCs w:val="30"/>
              </w:rPr>
              <w:t xml:space="preserve">≈ 5,9 M€</w:t>
            </w:r>
          </w:p>
          <w:p>
            <w:pPr>
              <w:spacing w:after="0" w:before="0" w:line="252"/>
              <w:jc w:val="center"/>
            </w:pPr>
            <w:r>
              <w:rPr>
                <w:rFonts w:ascii="Corbel" w:cs="Corbel" w:eastAsia="Corbel" w:hAnsi="Corbel"/>
                <w:b w:val="false"/>
                <w:bCs w:val="false"/>
                <w:i w:val="false"/>
                <w:iCs w:val="false"/>
                <w:color w:val="6C7B7E"/>
                <w:sz w:val="16"/>
                <w:szCs w:val="16"/>
              </w:rPr>
              <w:t xml:space="preserve">de valeur non produite sur 56 M€ engagés</w:t>
            </w:r>
          </w:p>
        </w:tc>
      </w:tr>
    </w:tbl>
    <w:p>
      <w:pPr>
        <w:spacing w:after="100" w:before="0" w:line="252"/>
      </w:pPr>
      <w:r>
        <w:rPr>
          <w:rFonts w:ascii="Corbel" w:cs="Corbel" w:eastAsia="Corbel" w:hAnsi="Corbel"/>
          <w:b w:val="false"/>
          <w:bCs w:val="false"/>
          <w:i w:val="false"/>
          <w:iCs w:val="false"/>
          <w:color w:val="33454A"/>
          <w:sz w:val="17"/>
          <w:szCs w:val="17"/>
        </w:rPr>
        <w:t xml:space="preserve"/>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400"/>
        <w:gridCol w:w="6300"/>
        <w:gridCol w:w="1766"/>
      </w:tblGrid>
      <w:tr>
        <w:tc>
          <w:tcPr>
            <w:tcW w:type="dxa" w:w="2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Constat</w:t>
            </w:r>
          </w:p>
        </w:tc>
        <w:tc>
          <w:tcPr>
            <w:tcW w:type="dxa" w:w="63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Lecture métier</w:t>
            </w:r>
          </w:p>
        </w:tc>
        <w:tc>
          <w:tcPr>
            <w:tcW w:type="dxa" w:w="17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Page du rapport</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Le paradoxe du portefeuille</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13,4 % d'avance sur les délais, mais 7,3 % de surcoût et 10,5 % de livrables en moins : le périmètre est compressé pour tenir le calendrier. Le phénomène se répète dans toutes les régions et sur les deux types de projets.</w:t>
            </w:r>
          </w:p>
        </w:tc>
        <w:tc>
          <w:tcPr>
            <w:tcW w:type="dxa" w:w="1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Global Portfolio · Regional Perf. Review</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Les dérives se construisent en amont</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L'Initiation est expédiée et le Testing IT absorbe le coût de ce sous-dimensionnement (+401 % de surcoût). C'est aussi le premier facteur de risque identifié par le visuel Influenceurs clés (×1,58 sur la probabilité d'alerte), devant les durées trop courtes, le faible nombre de livrables et les budgets insuffisants.</w:t>
            </w:r>
          </w:p>
        </w:tc>
        <w:tc>
          <w:tcPr>
            <w:tcW w:type="dxa" w:w="1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Phase Perf. Review · Drivers</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Deux portefeuilles, deux profils de risque</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Marketing expose 18 M€ de budget contre 2 M€ pour l'IT, avec des alertes majoritairement liées aux coûts ; l'IT présente davantage de dérives sur les livrables. La gouvernance ne peut donc pas être identique.</w:t>
            </w:r>
          </w:p>
        </w:tc>
        <w:tc>
          <w:tcPr>
            <w:tcW w:type="dxa" w:w="1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IT vs MKT</w:t>
            </w:r>
          </w:p>
        </w:tc>
      </w:tr>
      <w:tr>
        <w:tc>
          <w:tcPr>
            <w:tcW w:type="dxa" w:w="2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Un risque concentré</w:t>
            </w:r>
          </w:p>
        </w:tc>
        <w:tc>
          <w:tcPr>
            <w:tcW w:type="dxa" w:w="63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Deux lectures de Pareto convergent : 5 projets sur les 41 en alerte concentrent 80 % du budget à risque, et 14 projets sur les 32 en dépassement concentrent 80 % du surcoût estimé (4,22 M€). L'effort de pilotage peut donc être ciblé sur une poignée de projets.</w:t>
            </w:r>
          </w:p>
        </w:tc>
        <w:tc>
          <w:tcPr>
            <w:tcW w:type="dxa" w:w="17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Project Perf. Review · Risk Prioritization</w:t>
            </w:r>
          </w:p>
        </w:tc>
      </w:tr>
    </w:tbl>
    <w:p>
      <w:pPr>
        <w:spacing w:after="80" w:before="120" w:line="252"/>
      </w:pPr>
      <w:r>
        <w:rPr>
          <w:rFonts w:ascii="Corbel" w:cs="Corbel" w:eastAsia="Corbel" w:hAnsi="Corbel"/>
          <w:b/>
          <w:bCs/>
          <w:i w:val="false"/>
          <w:iCs w:val="false"/>
          <w:color w:val="1E2A2E"/>
          <w:sz w:val="18"/>
          <w:szCs w:val="18"/>
        </w:rPr>
        <w:t xml:space="preserve">Axe stratégique — </w:t>
      </w:r>
      <w:r>
        <w:rPr>
          <w:rFonts w:ascii="Corbel" w:cs="Corbel" w:eastAsia="Corbel" w:hAnsi="Corbel"/>
          <w:b w:val="false"/>
          <w:bCs w:val="false"/>
          <w:i w:val="false"/>
          <w:iCs w:val="false"/>
          <w:color w:val="33454A"/>
          <w:sz w:val="17"/>
          <w:szCs w:val="17"/>
        </w:rPr>
        <w:t xml:space="preserve">réformer la gouvernance du portefeuille projet, en quatre chantiers : (1) immédiat — sécuriser l'exécution des phases critiques (cadrage en Initiation, encadrement du Testing, jalons qualité) ; (2) court terme — renforcer le pilotage et l'alerte (suivi triaxe, seuil abaissé de 15 % à 5 %, Health Score, pilotage prédictif par l'EVM et le VDI) ; (3) moyen terme — mieux dimensionner les projets (identification des profils à risque, standardisation des estimations, validation PMO des projets atypiques) ; (4) structurel — structurer la gouvernance (PMO remandaté, gouvernance différenciée IT / Marketing, revue stratégique semestrielle, formation des directeurs pays).</w:t>
      </w:r>
    </w:p>
    <w:p>
      <w:pPr>
        <w:spacing w:after="20" w:before="200" w:line="252"/>
      </w:pPr>
      <w:r>
        <w:rPr>
          <w:rFonts w:ascii="Corbel" w:cs="Corbel" w:eastAsia="Corbel" w:hAnsi="Corbel"/>
          <w:b/>
          <w:bCs/>
          <w:i w:val="false"/>
          <w:iCs w:val="false"/>
          <w:color w:val="0E5A66"/>
          <w:sz w:val="24"/>
          <w:szCs w:val="24"/>
        </w:rPr>
        <w:t xml:space="preserve">7. Limites et prochaines pistes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5233"/>
        <w:gridCol w:w="5233"/>
      </w:tblGrid>
      <w:tr>
        <w:tc>
          <w:tcPr>
            <w:tcW w:type="dxa" w:w="5233"/>
            <w:tcBorders>
              <w:top w:val="single" w:color="DCE6E7" w:sz="4"/>
              <w:left w:val="single" w:color="DCE6E7" w:sz="4"/>
              <w:bottom w:val="single" w:color="DCE6E7" w:sz="4"/>
              <w:right w:val="single" w:color="DCE6E7" w:sz="4"/>
            </w:tcBorders>
            <w:shd w:fill="FBEEE4" w:color="auto" w:val="clear"/>
            <w:tcMar>
              <w:top w:type="dxa" w:w="60"/>
              <w:left w:type="dxa" w:w="100"/>
              <w:bottom w:type="dxa" w:w="60"/>
              <w:right w:type="dxa" w:w="100"/>
            </w:tcMar>
          </w:tcPr>
          <w:p>
            <w:pPr>
              <w:spacing w:after="60" w:before="0" w:line="252"/>
            </w:pPr>
            <w:r>
              <w:rPr>
                <w:rFonts w:ascii="Corbel" w:cs="Corbel" w:eastAsia="Corbel" w:hAnsi="Corbel"/>
                <w:b/>
                <w:bCs/>
                <w:i w:val="false"/>
                <w:iCs w:val="false"/>
                <w:color w:val="C25438"/>
                <w:sz w:val="16"/>
                <w:szCs w:val="16"/>
              </w:rPr>
              <w:t xml:space="preserve">CE QUE LE PROJET NE COUVRE PAS ENCORE</w:t>
            </w:r>
          </w:p>
          <w:p>
            <w:pPr>
              <w:spacing w:after="40" w:before="0" w:line="252"/>
            </w:pPr>
            <w:r>
              <w:rPr>
                <w:rFonts w:ascii="Corbel" w:cs="Corbel" w:eastAsia="Corbel" w:hAnsi="Corbel"/>
                <w:b w:val="false"/>
                <w:bCs w:val="false"/>
                <w:i w:val="false"/>
                <w:iCs w:val="false"/>
                <w:color w:val="33454A"/>
                <w:sz w:val="17"/>
                <w:szCs w:val="17"/>
              </w:rPr>
              <w:t xml:space="preserve">— Portefeuille clos : pas de suivi en cours de vie, reste à faire (ETC) nul et arbitrage simulé.</w:t>
            </w:r>
          </w:p>
          <w:p>
            <w:pPr>
              <w:spacing w:after="40" w:before="0" w:line="252"/>
            </w:pPr>
            <w:r>
              <w:rPr>
                <w:rFonts w:ascii="Corbel" w:cs="Corbel" w:eastAsia="Corbel" w:hAnsi="Corbel"/>
                <w:b w:val="false"/>
                <w:bCs w:val="false"/>
                <w:i w:val="false"/>
                <w:iCs w:val="false"/>
                <w:color w:val="33454A"/>
                <w:sz w:val="17"/>
                <w:szCs w:val="17"/>
              </w:rPr>
              <w:t xml:space="preserve">— Les facteurs de risque identifient des corrélations, pas des causalités.</w:t>
            </w:r>
          </w:p>
          <w:p>
            <w:pPr>
              <w:spacing w:after="0" w:before="0" w:line="252"/>
            </w:pPr>
            <w:r>
              <w:rPr>
                <w:rFonts w:ascii="Corbel" w:cs="Corbel" w:eastAsia="Corbel" w:hAnsi="Corbel"/>
                <w:b w:val="false"/>
                <w:bCs w:val="false"/>
                <w:i w:val="false"/>
                <w:iCs w:val="false"/>
                <w:color w:val="33454A"/>
                <w:sz w:val="17"/>
                <w:szCs w:val="17"/>
              </w:rPr>
              <w:t xml:space="preserve">— Ni charge, ni ressources, ni motifs de dérive dans les données source.</w:t>
            </w:r>
          </w:p>
        </w:tc>
        <w:tc>
          <w:tcPr>
            <w:tcW w:type="dxa" w:w="5233"/>
            <w:tcBorders>
              <w:top w:val="single" w:color="DCE6E7" w:sz="4"/>
              <w:left w:val="single" w:color="DCE6E7" w:sz="4"/>
              <w:bottom w:val="single" w:color="DCE6E7" w:sz="4"/>
              <w:right w:val="single" w:color="DCE6E7" w:sz="4"/>
            </w:tcBorders>
            <w:shd w:fill="EAF3F0" w:color="auto" w:val="clear"/>
            <w:tcMar>
              <w:top w:type="dxa" w:w="60"/>
              <w:left w:type="dxa" w:w="100"/>
              <w:bottom w:type="dxa" w:w="60"/>
              <w:right w:type="dxa" w:w="100"/>
            </w:tcMar>
          </w:tcPr>
          <w:p>
            <w:pPr>
              <w:spacing w:after="60" w:before="0" w:line="252"/>
            </w:pPr>
            <w:r>
              <w:rPr>
                <w:rFonts w:ascii="Corbel" w:cs="Corbel" w:eastAsia="Corbel" w:hAnsi="Corbel"/>
                <w:b/>
                <w:bCs/>
                <w:i w:val="false"/>
                <w:iCs w:val="false"/>
                <w:color w:val="0E5A66"/>
                <w:sz w:val="16"/>
                <w:szCs w:val="16"/>
              </w:rPr>
              <w:t xml:space="preserve">PROCHAINES PISTES</w:t>
            </w:r>
          </w:p>
          <w:p>
            <w:pPr>
              <w:spacing w:after="40" w:before="0" w:line="252"/>
            </w:pPr>
            <w:r>
              <w:rPr>
                <w:rFonts w:ascii="Corbel" w:cs="Corbel" w:eastAsia="Corbel" w:hAnsi="Corbel"/>
                <w:b w:val="false"/>
                <w:bCs w:val="false"/>
                <w:i w:val="false"/>
                <w:iCs w:val="false"/>
                <w:color w:val="33454A"/>
                <w:sz w:val="17"/>
                <w:szCs w:val="17"/>
              </w:rPr>
              <w:t xml:space="preserve">— Étendre le modèle aux projets en cours et déployer un pilotage prédictif fondé sur l'EVM.</w:t>
            </w:r>
          </w:p>
          <w:p>
            <w:pPr>
              <w:spacing w:after="40" w:before="0" w:line="252"/>
            </w:pPr>
            <w:r>
              <w:rPr>
                <w:rFonts w:ascii="Corbel" w:cs="Corbel" w:eastAsia="Corbel" w:hAnsi="Corbel"/>
                <w:b w:val="false"/>
                <w:bCs w:val="false"/>
                <w:i w:val="false"/>
                <w:iCs w:val="false"/>
                <w:color w:val="33454A"/>
                <w:sz w:val="17"/>
                <w:szCs w:val="17"/>
              </w:rPr>
              <w:t xml:space="preserve">— Publier sur le service Power BI avec actualisation planifiée et diffusion aux rôles réels.</w:t>
            </w:r>
          </w:p>
          <w:p>
            <w:pPr>
              <w:spacing w:after="0" w:before="0" w:line="252"/>
            </w:pPr>
            <w:r>
              <w:rPr>
                <w:rFonts w:ascii="Corbel" w:cs="Corbel" w:eastAsia="Corbel" w:hAnsi="Corbel"/>
                <w:b w:val="false"/>
                <w:bCs w:val="false"/>
                <w:i w:val="false"/>
                <w:iCs w:val="false"/>
                <w:color w:val="33454A"/>
                <w:sz w:val="17"/>
                <w:szCs w:val="17"/>
              </w:rPr>
              <w:t xml:space="preserve">— Industrialiser le Health Score portefeuille et enrichir le modèle (charge, ressources, jalons qualité).</w:t>
            </w:r>
          </w:p>
        </w:tc>
      </w:tr>
    </w:tbl>
    <w:p>
      <w:pPr>
        <w:spacing w:after="20" w:before="200" w:line="252"/>
      </w:pPr>
      <w:r>
        <w:rPr>
          <w:rFonts w:ascii="Corbel" w:cs="Corbel" w:eastAsia="Corbel" w:hAnsi="Corbel"/>
          <w:b/>
          <w:bCs/>
          <w:i w:val="false"/>
          <w:iCs w:val="false"/>
          <w:color w:val="0E5A66"/>
          <w:sz w:val="24"/>
          <w:szCs w:val="24"/>
        </w:rPr>
        <w:t xml:space="preserve">8. Sélection hiérarchisée des preuves</w:t>
      </w:r>
    </w:p>
    <w:p>
      <w:pPr>
        <w:spacing w:after="120" w:before="0" w:line="252"/>
      </w:pPr>
      <w:r>
        <w:rPr>
          <w:rFonts w:ascii="Corbel" w:cs="Corbel" w:eastAsia="Corbel" w:hAnsi="Corbel"/>
          <w:b w:val="false"/>
          <w:bCs w:val="false"/>
          <w:i/>
          <w:iCs/>
          <w:color w:val="6C7B7E"/>
          <w:sz w:val="17"/>
          <w:szCs w:val="17"/>
        </w:rPr>
        <w:t xml:space="preserve">Ce qu'un recruteur peut ouvrir et vérifier</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700"/>
        <w:gridCol w:w="3200"/>
        <w:gridCol w:w="4000"/>
        <w:gridCol w:w="1566"/>
      </w:tblGrid>
      <w:tr>
        <w:tc>
          <w:tcPr>
            <w:tcW w:type="dxa" w:w="17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Priorité</w:t>
            </w:r>
          </w:p>
        </w:tc>
        <w:tc>
          <w:tcPr>
            <w:tcW w:type="dxa" w:w="32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w:t>
            </w:r>
          </w:p>
        </w:tc>
        <w:tc>
          <w:tcPr>
            <w:tcW w:type="dxa" w:w="40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Ce qu'elle démontre</w:t>
            </w:r>
          </w:p>
        </w:tc>
        <w:tc>
          <w:tcPr>
            <w:tcW w:type="dxa" w:w="15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Accès</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 — Essentielle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Rapport Power BI (17 pages)</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Modéliser, calculer et concevoir un outil de pilotage complet</w:t>
            </w:r>
          </w:p>
        </w:tc>
        <w:tc>
          <w:tcPr>
            <w:tcW w:type="dxa" w:w="1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Fichier .pbix</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2 — Essentielle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Support de soutenance</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Restituer une analyse par le storytelling devant une direction</w:t>
            </w:r>
          </w:p>
        </w:tc>
        <w:tc>
          <w:tcPr>
            <w:tcW w:type="dxa" w:w="1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PPTX / PDF</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3 — Importante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Schéma du modèle de données</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Concevoir un modèle dimensionnel fiable et maintenable</w:t>
            </w:r>
          </w:p>
        </w:tc>
        <w:tc>
          <w:tcPr>
            <w:tcW w:type="dxa" w:w="1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Image · page du rapport</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4 — Importante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Product Strategy Canvas &amp; 9 user stories</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Partir du besoin utilisateur avant de concevoir</w:t>
            </w:r>
          </w:p>
        </w:tc>
        <w:tc>
          <w:tcPr>
            <w:tcW w:type="dxa" w:w="1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Page du rapport</w:t>
            </w:r>
          </w:p>
        </w:tc>
      </w:tr>
      <w:tr>
        <w:tc>
          <w:tcPr>
            <w:tcW w:type="dxa" w:w="17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5 — Complémentaire</w:t>
            </w:r>
          </w:p>
        </w:tc>
        <w:tc>
          <w:tcPr>
            <w:tcW w:type="dxa" w:w="32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Procédure de mise à jour hebdomadaire</w:t>
            </w:r>
          </w:p>
        </w:tc>
        <w:tc>
          <w:tcPr>
            <w:tcW w:type="dxa" w:w="40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Livrer un outil documenté et exploitable dans la durée</w:t>
            </w:r>
          </w:p>
        </w:tc>
        <w:tc>
          <w:tcPr>
            <w:tcW w:type="dxa" w:w="15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Page Update</w:t>
            </w:r>
          </w:p>
        </w:tc>
      </w:tr>
    </w:tbl>
    <w:p>
      <w:pPr>
        <w:spacing w:after="20" w:before="200" w:line="252"/>
      </w:pPr>
      <w:r>
        <w:rPr>
          <w:rFonts w:ascii="Corbel" w:cs="Corbel" w:eastAsia="Corbel" w:hAnsi="Corbel"/>
          <w:b/>
          <w:bCs/>
          <w:i w:val="false"/>
          <w:iCs w:val="false"/>
          <w:color w:val="0E5A66"/>
          <w:sz w:val="24"/>
          <w:szCs w:val="24"/>
        </w:rPr>
        <w:t xml:space="preserve">9. Compétences démontrées</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1400"/>
        <w:gridCol w:w="3600"/>
        <w:gridCol w:w="5466"/>
      </w:tblGrid>
      <w:tr>
        <w:tc>
          <w:tcPr>
            <w:tcW w:type="dxa" w:w="14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Type</w:t>
            </w:r>
          </w:p>
        </w:tc>
        <w:tc>
          <w:tcPr>
            <w:tcW w:type="dxa" w:w="3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Compétence</w:t>
            </w:r>
          </w:p>
        </w:tc>
        <w:tc>
          <w:tcPr>
            <w:tcW w:type="dxa" w:w="54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Preuve observable</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Hard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Préparation des données (Power Query)</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Pipeline rejouable sur 7 onglets : nettoyage, typage, merges, agrégation</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Hard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Modélisation dimensionnelle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Constellation de 9 tables, 7 relations 1→n, sens de filtre maîtrisé</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Hard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DAX</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Colonnes calculées, mesures dynamiques, table _Measures, mesures narratives</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Hard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Sécurité &amp; gouvernance des données</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RLS dynamique par LOOKUPVALUE pour 3 rôles, testée par simulation</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Hard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Data visualisation &amp; conception de dashboard</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17 pages orientées décision : carte, Gantt, scatter, Pareto, Q&amp;R, drill-through</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Soft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Empathie utilisateur</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9 user stories construites pour 3 niveaux de responsabilité avant toute conception</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Soft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Esprit critique</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Corrélation distinguée de la causalité ; limites de l'analyse explicitées</w:t>
            </w:r>
          </w:p>
        </w:tc>
      </w:tr>
      <w:tr>
        <w:tc>
          <w:tcPr>
            <w:tcW w:type="dxa" w:w="14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Soft skill</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Storytelling &amp; aide à la décision</w:t>
            </w:r>
          </w:p>
        </w:tc>
        <w:tc>
          <w:tcPr>
            <w:tcW w:type="dxa" w:w="54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Un paradoxe chiffré transformé en axe stratégique et 4 chantiers priorisés</w:t>
            </w:r>
          </w:p>
        </w:tc>
      </w:tr>
    </w:tbl>
    <w:p>
      <w:pPr>
        <w:spacing w:after="20" w:before="200" w:line="252"/>
      </w:pPr>
      <w:r>
        <w:rPr>
          <w:rFonts w:ascii="Corbel" w:cs="Corbel" w:eastAsia="Corbel" w:hAnsi="Corbel"/>
          <w:b/>
          <w:bCs/>
          <w:i w:val="false"/>
          <w:iCs w:val="false"/>
          <w:color w:val="0E5A66"/>
          <w:sz w:val="24"/>
          <w:szCs w:val="24"/>
        </w:rPr>
        <w:t xml:space="preserve">10. Veille métier et technique mobilisée</w:t>
      </w:r>
    </w:p>
    <w:p>
      <w:pPr>
        <w:spacing w:after="120" w:before="0" w:line="252"/>
      </w:pPr>
      <w:r>
        <w:rPr>
          <w:rFonts w:ascii="Corbel" w:cs="Corbel" w:eastAsia="Corbel" w:hAnsi="Corbel"/>
          <w:b w:val="false"/>
          <w:bCs w:val="false"/>
          <w:i/>
          <w:iCs/>
          <w:color w:val="6C7B7E"/>
          <w:sz w:val="17"/>
          <w:szCs w:val="17"/>
        </w:rPr>
        <w:t xml:space="preserve">La veille a orienté les choix de modélisation, d'analyse et de restitution.</w:t>
      </w:r>
    </w:p>
    <w:tbl>
      <w:tblPr>
        <w:tblW w:type="dxa" w:w="10466"/>
        <w:tblBorders>
          <w:top w:val="single" w:color="DCE6E7" w:sz="4"/>
          <w:left w:val="single" w:color="DCE6E7" w:sz="4"/>
          <w:bottom w:val="single" w:color="DCE6E7" w:sz="4"/>
          <w:right w:val="single" w:color="DCE6E7" w:sz="4"/>
          <w:insideH w:val="single" w:color="DCE6E7" w:sz="4"/>
          <w:insideV w:val="single" w:color="DCE6E7" w:sz="4"/>
        </w:tblBorders>
      </w:tblPr>
      <w:tblGrid>
        <w:gridCol w:w="2600"/>
        <w:gridCol w:w="3600"/>
        <w:gridCol w:w="4266"/>
      </w:tblGrid>
      <w:tr>
        <w:tc>
          <w:tcPr>
            <w:tcW w:type="dxa" w:w="2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Sujet de veille</w:t>
            </w:r>
          </w:p>
        </w:tc>
        <w:tc>
          <w:tcPr>
            <w:tcW w:type="dxa" w:w="3600"/>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Sources / repères</w:t>
            </w:r>
          </w:p>
        </w:tc>
        <w:tc>
          <w:tcPr>
            <w:tcW w:type="dxa" w:w="4266"/>
            <w:tcBorders>
              <w:top w:val="single" w:color="DCE6E7" w:sz="4"/>
              <w:left w:val="single" w:color="DCE6E7" w:sz="4"/>
              <w:bottom w:val="single" w:color="DCE6E7" w:sz="4"/>
              <w:right w:val="single" w:color="DCE6E7" w:sz="4"/>
            </w:tcBorders>
            <w:shd w:fill="E8F2F3" w:color="auto" w:val="clear"/>
            <w:tcMar>
              <w:top w:type="dxa" w:w="60"/>
              <w:left w:type="dxa" w:w="100"/>
              <w:bottom w:type="dxa" w:w="60"/>
              <w:right w:type="dxa" w:w="100"/>
            </w:tcMar>
          </w:tcPr>
          <w:p>
            <w:pPr>
              <w:spacing w:after="0" w:before="0" w:line="252"/>
            </w:pPr>
            <w:r>
              <w:rPr>
                <w:rFonts w:ascii="Corbel" w:cs="Corbel" w:eastAsia="Corbel" w:hAnsi="Corbel"/>
                <w:b/>
                <w:bCs/>
                <w:i w:val="false"/>
                <w:iCs w:val="false"/>
                <w:color w:val="0E5A66"/>
                <w:sz w:val="16"/>
                <w:szCs w:val="16"/>
              </w:rPr>
              <w:t xml:space="preserve">Application au projet</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Modélisation décisionnelle</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Schéma en étoile et en constellation, règles de cardinalité et de sens de filtre</w:t>
            </w:r>
          </w:p>
        </w:tc>
        <w:tc>
          <w:tcPr>
            <w:tcW w:type="dxa" w:w="4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Séparation des mailles phase et projet, dimension pivot, tables utilitaires isolées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Sécurité Power BI</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Row Level Security dynamique, propagation des filtres</w:t>
            </w:r>
          </w:p>
        </w:tc>
        <w:tc>
          <w:tcPr>
            <w:tcW w:type="dxa" w:w="4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Règle DAX unique appliquée à la dimension géographique pour 3 rôles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Pilotage de projet</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Earned Value Management, EAC / ETC, indicateurs de valeur livrée</w:t>
            </w:r>
          </w:p>
        </w:tc>
        <w:tc>
          <w:tcPr>
            <w:tcW w:type="dxa" w:w="4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Construction du VDI et des mesures de dérive, seuils d'alerte recommandés</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Analyse augmentée</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Key Influencers et Top Segments, lecture prudente des corrélations</w:t>
            </w:r>
          </w:p>
        </w:tc>
        <w:tc>
          <w:tcPr>
            <w:tcW w:type="dxa" w:w="4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Identification des facteurs de risque, avec réserve explicite sur la causalité</w:t>
            </w:r>
          </w:p>
        </w:tc>
      </w:tr>
      <w:tr>
        <w:tc>
          <w:tcPr>
            <w:tcW w:type="dxa" w:w="2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Storytelling data</w:t>
            </w:r>
          </w:p>
        </w:tc>
        <w:tc>
          <w:tcPr>
            <w:tcW w:type="dxa" w:w="3600"/>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Structure narrative et niveau de langage pour une audience dirigeante</w:t>
            </w:r>
          </w:p>
        </w:tc>
        <w:tc>
          <w:tcPr>
            <w:tcW w:type="dxa" w:w="4266"/>
            <w:tcBorders>
              <w:top w:val="single" w:color="DCE6E7" w:sz="4"/>
              <w:left w:val="single" w:color="DCE6E7" w:sz="4"/>
              <w:bottom w:val="single" w:color="DCE6E7" w:sz="4"/>
              <w:right w:val="single" w:color="DCE6E7" w:sz="4"/>
            </w:tcBorders>
            <w:tcMar>
              <w:top w:type="dxa" w:w="60"/>
              <w:left w:type="dxa" w:w="100"/>
              <w:bottom w:type="dxa" w:w="60"/>
              <w:right w:type="dxa" w:w="100"/>
            </w:tcMar>
          </w:tcPr>
          <w:p>
            <w:pPr>
              <w:spacing w:after="0" w:before="0" w:line="252"/>
            </w:pPr>
            <w:r>
              <w:rPr>
                <w:rFonts w:ascii="Corbel" w:cs="Corbel" w:eastAsia="Corbel" w:hAnsi="Corbel"/>
                <w:b w:val="false"/>
                <w:bCs w:val="false"/>
                <w:i w:val="false"/>
                <w:iCs w:val="false"/>
                <w:color w:val="33454A"/>
                <w:sz w:val="17"/>
                <w:szCs w:val="17"/>
              </w:rPr>
              <w:t xml:space="preserve">Ouverture par le paradoxe du portefeuille, fil rouge jusqu'aux recommandations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projet P06 — Créer un tableau de bord dynamique avec Power BI</dc:title>
  <dc:creator>Sonia Graff</dc:creator>
  <cp:lastModifiedBy>Un-named</cp:lastModifiedBy>
  <cp:revision>1</cp:revision>
  <dcterms:created xsi:type="dcterms:W3CDTF">2026-07-23T08:35:06.346Z</dcterms:created>
  <dcterms:modified xsi:type="dcterms:W3CDTF">2026-07-23T08:35:06.358Z</dcterms:modified>
</cp:coreProperties>
</file>

<file path=docProps/custom.xml><?xml version="1.0" encoding="utf-8"?>
<Properties xmlns="http://schemas.openxmlformats.org/officeDocument/2006/custom-properties" xmlns:vt="http://schemas.openxmlformats.org/officeDocument/2006/docPropsVTypes"/>
</file>