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2"/>
      </w:pPr>
      <w:r>
        <w:rPr>
          <w:rFonts w:ascii="Corbel" w:cs="Corbel" w:eastAsia="Corbel" w:hAnsi="Corbel"/>
          <w:b/>
          <w:bCs/>
          <w:i w:val="false"/>
          <w:iCs w:val="false"/>
          <w:color w:val="C25438"/>
          <w:sz w:val="20"/>
          <w:szCs w:val="20"/>
        </w:rPr>
        <w:t xml:space="preserve">PROJET 07</w:t>
      </w:r>
    </w:p>
    <w:p>
      <w:pPr>
        <w:spacing w:after="20" w:before="0" w:line="252"/>
      </w:pPr>
      <w:r>
        <w:rPr>
          <w:rFonts w:ascii="Corbel" w:cs="Corbel" w:eastAsia="Corbel" w:hAnsi="Corbel"/>
          <w:b/>
          <w:bCs/>
          <w:i w:val="false"/>
          <w:iCs w:val="false"/>
          <w:color w:val="0E5A66"/>
          <w:sz w:val="32"/>
          <w:szCs w:val="32"/>
        </w:rPr>
        <w:t xml:space="preserve">Analyser l'évolution des prix de l'immobilier avec Python</w:t>
      </w:r>
    </w:p>
    <w:p>
      <w:pPr>
        <w:spacing w:after="20" w:before="0" w:line="252"/>
      </w:pPr>
      <w:r>
        <w:rPr>
          <w:rFonts w:ascii="Corbel" w:cs="Corbel" w:eastAsia="Corbel" w:hAnsi="Corbel"/>
          <w:b w:val="false"/>
          <w:bCs w:val="false"/>
          <w:i w:val="false"/>
          <w:iCs w:val="false"/>
          <w:color w:val="1E2A2E"/>
          <w:sz w:val="20"/>
          <w:szCs w:val="20"/>
        </w:rPr>
        <w:t xml:space="preserve">Arbitrer une cession d'actifs immobiliers par la prédiction de la valeur foncière (régression linéaire) et la segmentation automatique du portefeuille (K-Means).</w:t>
      </w:r>
    </w:p>
    <w:p>
      <w:pPr>
        <w:pBdr>
          <w:bottom w:val="single" w:color="0E5A66" w:sz="4"/>
        </w:pBdr>
        <w:spacing w:after="160" w:before="0" w:line="252"/>
      </w:pPr>
      <w:r>
        <w:rPr>
          <w:rFonts w:ascii="Corbel" w:cs="Corbel" w:eastAsia="Corbel" w:hAnsi="Corbel"/>
          <w:b w:val="false"/>
          <w:bCs w:val="false"/>
          <w:i w:val="false"/>
          <w:iCs w:val="false"/>
          <w:color w:val="6C7B7E"/>
          <w:sz w:val="17"/>
          <w:szCs w:val="17"/>
        </w:rPr>
        <w:t xml:space="preserve">Python · pandas · scikit-learn · Régression linéaire · K-Means · Tests statistiques · Data storytelling</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640"/>
        <w:gridCol w:w="1976"/>
        <w:gridCol w:w="640"/>
        <w:gridCol w:w="1976"/>
        <w:gridCol w:w="640"/>
        <w:gridCol w:w="1976"/>
        <w:gridCol w:w="640"/>
        <w:gridCol w:w="1978"/>
      </w:tblGrid>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Période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19 mars – 15 avril 2026 (20 j ouvrables)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Cadre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Certification Business Intelligence (RNCP)</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Secteur</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Immobilier · Gestion d'actifs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Client</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Louise, DGA en charge du portefeuille Corporate</w:t>
            </w:r>
          </w:p>
        </w:tc>
      </w:tr>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Données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26 196 transactions · 2017–2021 · 20 arrondissements</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Modèle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Régression linéaire · MAPE 8,95 % · K-Means K = 2</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Livrables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Python · support de présentation (20 pages max.)</w:t>
            </w:r>
          </w:p>
        </w:tc>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Posture</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Arbitre neutre, rigueur statistique &amp; sens business</w:t>
            </w:r>
          </w:p>
        </w:tc>
      </w:tr>
    </w:tbl>
    <w:p>
      <w:pPr>
        <w:spacing w:after="12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0466"/>
      </w:tblGrid>
      <w:tr>
        <w:tc>
          <w:tcPr>
            <w:tcW w:type="dxa" w:w="10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MA VALEUR AJOUTÉE</w:t>
            </w:r>
          </w:p>
          <w:p>
            <w:pPr>
              <w:spacing w:after="0" w:before="0" w:line="252"/>
            </w:pPr>
            <w:r>
              <w:rPr>
                <w:rFonts w:ascii="Corbel" w:cs="Corbel" w:eastAsia="Corbel" w:hAnsi="Corbel"/>
                <w:b w:val="false"/>
                <w:bCs w:val="false"/>
                <w:i w:val="false"/>
                <w:iCs w:val="false"/>
                <w:color w:val="33454A"/>
                <w:sz w:val="17"/>
                <w:szCs w:val="17"/>
              </w:rPr>
              <w:t xml:space="preserve">J'ai transformé un désaccord d'actionnaires en arbitrage chiffré. Plutôt que de livrer un modèle et son score, j'ai construit une chaîne de preuve complète : chaque variable retenue est justifiée par un test statistique, chaque gain de performance est attribué à un levier identifié, et la robustesse du modèle est vérifiée par trois contrôles indépendants avant d'oser une recommandation. Le résultat n'est pas un chiffre isolé mais une décision défendable : 275 actifs valorisés à 161 M€, un écart de 20 M€ en faveur du Corporate, et un plan de cession progressif qui préserve le moteur de valeur du groupe tout en dégageant la trésorerie nécessaire.</w:t>
            </w:r>
          </w:p>
        </w:tc>
      </w:tr>
    </w:tbl>
    <w:p>
      <w:pPr>
        <w:spacing w:after="20" w:before="200" w:line="252"/>
      </w:pPr>
      <w:r>
        <w:rPr>
          <w:rFonts w:ascii="Corbel" w:cs="Corbel" w:eastAsia="Corbel" w:hAnsi="Corbel"/>
          <w:b/>
          <w:bCs/>
          <w:i w:val="false"/>
          <w:iCs w:val="false"/>
          <w:color w:val="0E5A66"/>
          <w:sz w:val="24"/>
          <w:szCs w:val="24"/>
        </w:rPr>
        <w:t xml:space="preserve">1. Synthèse exécutive</w:t>
      </w:r>
    </w:p>
    <w:p>
      <w:pPr>
        <w:spacing w:after="120" w:before="0" w:line="252"/>
      </w:pPr>
      <w:r>
        <w:rPr>
          <w:rFonts w:ascii="Corbel" w:cs="Corbel" w:eastAsia="Corbel" w:hAnsi="Corbel"/>
          <w:b w:val="false"/>
          <w:bCs w:val="false"/>
          <w:i/>
          <w:iCs/>
          <w:color w:val="6C7B7E"/>
          <w:sz w:val="17"/>
          <w:szCs w:val="17"/>
        </w:rPr>
        <w:t xml:space="preserve">Lecture recruteur / manager en moins d'une minute</w:t>
      </w:r>
    </w:p>
    <w:p>
      <w:pPr>
        <w:spacing w:after="80" w:before="0" w:line="252"/>
      </w:pPr>
      <w:r>
        <w:rPr>
          <w:rFonts w:ascii="Corbel" w:cs="Corbel" w:eastAsia="Corbel" w:hAnsi="Corbel"/>
          <w:b/>
          <w:bCs/>
          <w:i w:val="false"/>
          <w:iCs w:val="false"/>
          <w:color w:val="1E2A2E"/>
          <w:sz w:val="18"/>
          <w:szCs w:val="18"/>
        </w:rPr>
        <w:t xml:space="preserve">Question directrice — </w:t>
      </w:r>
      <w:r>
        <w:rPr>
          <w:rFonts w:ascii="Corbel" w:cs="Corbel" w:eastAsia="Corbel" w:hAnsi="Corbel"/>
          <w:b w:val="false"/>
          <w:bCs w:val="false"/>
          <w:i w:val="false"/>
          <w:iCs w:val="false"/>
          <w:color w:val="33454A"/>
          <w:sz w:val="17"/>
          <w:szCs w:val="17"/>
        </w:rPr>
        <w:t xml:space="preserve">comment fonder une décision de cession d'actifs sur la donnée plutôt que sur un rapport de force, quand deux dirigeants défendent chacun leur périmètre et qu'aucun ne veut céder ?</w:t>
      </w:r>
    </w:p>
    <w:p>
      <w:pPr>
        <w:spacing w:after="80" w:before="0" w:line="252"/>
      </w:pPr>
      <w:r>
        <w:rPr>
          <w:rFonts w:ascii="Corbel" w:cs="Corbel" w:eastAsia="Corbel" w:hAnsi="Corbel"/>
          <w:b/>
          <w:bCs/>
          <w:i w:val="false"/>
          <w:iCs w:val="false"/>
          <w:color w:val="1E2A2E"/>
          <w:sz w:val="18"/>
          <w:szCs w:val="18"/>
        </w:rPr>
        <w:t xml:space="preserve">4 enjeux — </w:t>
      </w:r>
      <w:r>
        <w:rPr>
          <w:rFonts w:ascii="Corbel" w:cs="Corbel" w:eastAsia="Corbel" w:hAnsi="Corbel"/>
          <w:b w:val="false"/>
          <w:bCs w:val="false"/>
          <w:i w:val="false"/>
          <w:iCs w:val="false"/>
          <w:color w:val="33454A"/>
          <w:sz w:val="17"/>
          <w:szCs w:val="17"/>
        </w:rPr>
        <w:t xml:space="preserve">dégager de la trésorerie sans dégrader le portefeuille, arbitrer un conflit de gouvernance familiale, préserver la performance à long terme, et fonder la décision sur des faits mesurables et vérifiables.</w:t>
      </w:r>
    </w:p>
    <w:p>
      <w:pPr>
        <w:spacing w:after="80" w:before="0" w:line="252"/>
      </w:pPr>
      <w:r>
        <w:rPr>
          <w:rFonts w:ascii="Corbel" w:cs="Corbel" w:eastAsia="Corbel" w:hAnsi="Corbel"/>
          <w:b/>
          <w:bCs/>
          <w:i w:val="false"/>
          <w:iCs w:val="false"/>
          <w:color w:val="1E2A2E"/>
          <w:sz w:val="18"/>
          <w:szCs w:val="18"/>
        </w:rPr>
        <w:t xml:space="preserve">Réponse apportée — </w:t>
      </w:r>
      <w:r>
        <w:rPr>
          <w:rFonts w:ascii="Corbel" w:cs="Corbel" w:eastAsia="Corbel" w:hAnsi="Corbel"/>
          <w:b w:val="false"/>
          <w:bCs w:val="false"/>
          <w:i w:val="false"/>
          <w:iCs w:val="false"/>
          <w:color w:val="33454A"/>
          <w:sz w:val="17"/>
          <w:szCs w:val="17"/>
        </w:rPr>
        <w:t xml:space="preserve">un modèle de régression linéaire à 8,95 % d'erreur moyenne, construit en cinq itérations documentées et validé par trois contrôles de robustesse, qui valorise les 275 actifs du portefeuille à 161 M€ au 31/12/2022. Le segment Corporate concentre 56,2 % de la valeur avec 44 % des biens : l'écart de 20 M€ tranche le débat et fonde une recommandation de cession progressive des actifs Particuliers.</w:t>
      </w:r>
    </w:p>
    <w:p>
      <w:pPr>
        <w:spacing w:after="20" w:before="200" w:line="252"/>
      </w:pPr>
      <w:r>
        <w:rPr>
          <w:rFonts w:ascii="Corbel" w:cs="Corbel" w:eastAsia="Corbel" w:hAnsi="Corbel"/>
          <w:b/>
          <w:bCs/>
          <w:i w:val="false"/>
          <w:iCs w:val="false"/>
          <w:color w:val="0E5A66"/>
          <w:sz w:val="24"/>
          <w:szCs w:val="24"/>
        </w:rPr>
        <w:t xml:space="preserve">2. Données : sources, qualité et limites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000"/>
        <w:gridCol w:w="8466"/>
      </w:tblGrid>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Base de transactions immobilières parisiennes fournie par le client, complétée par un fichier de portefeuille (275 actifs à valoriser) et un échantillon de test de 40 biens du 19e arrondissement fourni sans étiquette.</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Volumétrie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26 196 transactions du 02/01/2017 au 31/12/2021 · 11 colonnes · 20 arrondissements · 24 353 appartements (93 %) et 1 843 locaux commerciaux (7 %).</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Portefeuille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275 actifs : 154 appartements (segment Particuliers) et 121 locaux commerciaux (segment Corporate), répartis sur les 20 arrondissements, à valoriser au 31/12/2022.</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Variable créée</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Prix au m² = valeur foncière / surface réelle. Indicateur central du marché : il permet de comparer des biens de tailles différentes et sert de base à la segmentation K-Means.</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Qualité</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Aucune valeur manquante, période continue, typage contrôlé. Outliers identifiés par la méthode IQR : 1 889 transactions au-delà de 1 074 633 €, traitées uniquement sur le jeu d'entraînement pour préserver l'intégrité du test.</w:t>
            </w:r>
          </w:p>
        </w:tc>
      </w:tr>
      <w:tr>
        <w:tc>
          <w:tcPr>
            <w:tcW w:type="dxa" w:w="2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Limites</w:t>
            </w:r>
          </w:p>
        </w:tc>
        <w:tc>
          <w:tcPr>
            <w:tcW w:type="dxa" w:w="8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Aucune variable qualitative (état du bien, étage, DPE, exposition, nombre de pièces) ni micro-localisation : la variabilité intra-arrondissement n'est pas captée. Segmentation déséquilibrée (93 % d'appartements) : le modèle généralise moins bien sur le Corporate. Un bruit artificiel introduit lors de la génération des données fixe un plancher théorique d'erreur autour de 5 %.</w:t>
            </w:r>
          </w:p>
        </w:tc>
      </w:tr>
    </w:tbl>
    <w:p>
      <w:pPr>
        <w:spacing w:after="20" w:before="200" w:line="252"/>
      </w:pPr>
      <w:r>
        <w:rPr>
          <w:rFonts w:ascii="Corbel" w:cs="Corbel" w:eastAsia="Corbel" w:hAnsi="Corbel"/>
          <w:b/>
          <w:bCs/>
          <w:i w:val="false"/>
          <w:iCs w:val="false"/>
          <w:color w:val="0E5A66"/>
          <w:sz w:val="24"/>
          <w:szCs w:val="24"/>
        </w:rPr>
        <w:t xml:space="preserve">3. Démarche STAR</w:t>
      </w:r>
    </w:p>
    <w:p>
      <w:pPr>
        <w:spacing w:after="120" w:before="0" w:line="252"/>
      </w:pPr>
      <w:r>
        <w:rPr>
          <w:rFonts w:ascii="Corbel" w:cs="Corbel" w:eastAsia="Corbel" w:hAnsi="Corbel"/>
          <w:b w:val="false"/>
          <w:bCs w:val="false"/>
          <w:i/>
          <w:iCs/>
          <w:color w:val="6C7B7E"/>
          <w:sz w:val="17"/>
          <w:szCs w:val="17"/>
        </w:rPr>
        <w:t xml:space="preserve">Une narration orientée recruteur / client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60"/>
        <w:gridCol w:w="9906"/>
      </w:tblGrid>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S</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SITUATION</w:t>
            </w:r>
          </w:p>
          <w:p>
            <w:pPr>
              <w:spacing w:after="0" w:before="0" w:line="252"/>
            </w:pPr>
            <w:r>
              <w:rPr>
                <w:rFonts w:ascii="Corbel" w:cs="Corbel" w:eastAsia="Corbel" w:hAnsi="Corbel"/>
                <w:b w:val="false"/>
                <w:bCs w:val="false"/>
                <w:i w:val="false"/>
                <w:iCs w:val="false"/>
                <w:color w:val="33454A"/>
                <w:sz w:val="17"/>
                <w:szCs w:val="17"/>
              </w:rPr>
              <w:t xml:space="preserve">Les Plus Beaux Logis de Paris, société familiale de gestion immobilière, détient un portefeuille d'actifs en région parisienne et doit en céder une partie pour dégager de la trésorerie. Ses deux directeurs généraux adjoints, enfants du fondateur, se partagent le portefeuille : l'un pilote le Corporate (locaux commerciaux), l'autre les Particuliers (appartements). Aucun ne veut voir ses actifs vendus. Faute d'analyse objective, la décision est bloquée et l'entreprise risque de vendre dans l'urgence — donc mal.</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T</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TÂCHE</w:t>
            </w:r>
          </w:p>
          <w:p>
            <w:pPr>
              <w:spacing w:after="0" w:before="0" w:line="252"/>
            </w:pPr>
            <w:r>
              <w:rPr>
                <w:rFonts w:ascii="Corbel" w:cs="Corbel" w:eastAsia="Corbel" w:hAnsi="Corbel"/>
                <w:b w:val="false"/>
                <w:bCs w:val="false"/>
                <w:i w:val="false"/>
                <w:iCs w:val="false"/>
                <w:color w:val="33454A"/>
                <w:sz w:val="17"/>
                <w:szCs w:val="17"/>
              </w:rPr>
              <w:t xml:space="preserve">Fournir au fondateur une analyse objective fondée sur la donnée pour identifier le segment le moins porteur : analyser cinq ans de transactions parisiennes, entraîner un modèle de prédiction de la valeur foncière avec moins de 10 % d'erreur, valoriser les 275 actifs au 31/12/2022, segmenter automatiquement les biens et formuler une recommandation de cession argumentée.</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A</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ACTIONS</w:t>
            </w:r>
          </w:p>
          <w:p>
            <w:pPr>
              <w:spacing w:after="40" w:before="0" w:line="252"/>
            </w:pPr>
            <w:r>
              <w:rPr>
                <w:rFonts w:ascii="Corbel" w:cs="Corbel" w:eastAsia="Corbel" w:hAnsi="Corbel"/>
                <w:b w:val="false"/>
                <w:bCs w:val="false"/>
                <w:i w:val="false"/>
                <w:iCs w:val="false"/>
                <w:color w:val="33454A"/>
                <w:sz w:val="17"/>
                <w:szCs w:val="17"/>
              </w:rPr>
              <w:t xml:space="preserve">1. Explorer — 26 196 transactions analysées par année, arrondissement et type de bien, après création du prix au m².</w:t>
            </w:r>
          </w:p>
          <w:p>
            <w:pPr>
              <w:spacing w:after="40" w:before="0" w:line="252"/>
            </w:pPr>
            <w:r>
              <w:rPr>
                <w:rFonts w:ascii="Corbel" w:cs="Corbel" w:eastAsia="Corbel" w:hAnsi="Corbel"/>
                <w:b w:val="false"/>
                <w:bCs w:val="false"/>
                <w:i w:val="false"/>
                <w:iCs w:val="false"/>
                <w:color w:val="33454A"/>
                <w:sz w:val="17"/>
                <w:szCs w:val="17"/>
              </w:rPr>
              <w:t xml:space="preserve">2. Valider — chaque variable justifiée par un test plutôt que par l'intuition : Pearson surface/valeur (r = 0,980), Spearman temps/prix (ρ = 0,914), écart de +56 % entre arrondissements, +14,8 % entre types de biens.</w:t>
            </w:r>
          </w:p>
          <w:p>
            <w:pPr>
              <w:spacing w:after="40" w:before="0" w:line="252"/>
            </w:pPr>
            <w:r>
              <w:rPr>
                <w:rFonts w:ascii="Corbel" w:cs="Corbel" w:eastAsia="Corbel" w:hAnsi="Corbel"/>
                <w:b w:val="false"/>
                <w:bCs w:val="false"/>
                <w:i w:val="false"/>
                <w:iCs w:val="false"/>
                <w:color w:val="33454A"/>
                <w:sz w:val="17"/>
                <w:szCs w:val="17"/>
              </w:rPr>
              <w:t xml:space="preserve">3. Préparer — 4 variables retenues, extraction de l'année, One Hot Encoding (22 colonnes), StandardScaler ajusté sur le train uniquement, tri et split chronologiques.</w:t>
            </w:r>
          </w:p>
          <w:p>
            <w:pPr>
              <w:spacing w:after="40" w:before="0" w:line="252"/>
            </w:pPr>
            <w:r>
              <w:rPr>
                <w:rFonts w:ascii="Corbel" w:cs="Corbel" w:eastAsia="Corbel" w:hAnsi="Corbel"/>
                <w:b w:val="false"/>
                <w:bCs w:val="false"/>
                <w:i w:val="false"/>
                <w:iCs w:val="false"/>
                <w:color w:val="33454A"/>
                <w:sz w:val="17"/>
                <w:szCs w:val="17"/>
              </w:rPr>
              <w:t xml:space="preserve">4. Itérer — 5 configurations testées, de la baseline au Test E, jusqu'à ramener la MAPE de 15,70 % à 8,95 %, en traitant les outliers sur le train seul pour éviter le data leakage.</w:t>
            </w:r>
          </w:p>
          <w:p>
            <w:pPr>
              <w:spacing w:after="40" w:before="0" w:line="252"/>
            </w:pPr>
            <w:r>
              <w:rPr>
                <w:rFonts w:ascii="Corbel" w:cs="Corbel" w:eastAsia="Corbel" w:hAnsi="Corbel"/>
                <w:b w:val="false"/>
                <w:bCs w:val="false"/>
                <w:i w:val="false"/>
                <w:iCs w:val="false"/>
                <w:color w:val="33454A"/>
                <w:sz w:val="17"/>
                <w:szCs w:val="17"/>
              </w:rPr>
              <w:t xml:space="preserve">5. Contrôler — benchmark naïf, diagnostic d'overfit (train 6,23 % / test 8,95 %), validation croisée TimeSeriesSplit (7,69 % ± 1,30 %) et lecture des coefficients normalisés.</w:t>
            </w:r>
          </w:p>
          <w:p>
            <w:pPr>
              <w:spacing w:after="40" w:before="0" w:line="252"/>
            </w:pPr>
            <w:r>
              <w:rPr>
                <w:rFonts w:ascii="Corbel" w:cs="Corbel" w:eastAsia="Corbel" w:hAnsi="Corbel"/>
                <w:b w:val="false"/>
                <w:bCs w:val="false"/>
                <w:i w:val="false"/>
                <w:iCs w:val="false"/>
                <w:color w:val="33454A"/>
                <w:sz w:val="17"/>
                <w:szCs w:val="17"/>
              </w:rPr>
              <w:t xml:space="preserve">6. Valoriser &amp; segmenter — prédiction des 275 actifs au 31/12/2022, agrégation par segment, puis K-Means (K = 2) sur le prix au m² et confrontation aux labels réels.</w:t>
            </w:r>
          </w:p>
          <w:p>
            <w:pPr>
              <w:spacing w:after="0" w:before="0" w:line="252"/>
            </w:pPr>
            <w:r>
              <w:rPr>
                <w:rFonts w:ascii="Corbel" w:cs="Corbel" w:eastAsia="Corbel" w:hAnsi="Corbel"/>
                <w:b w:val="false"/>
                <w:bCs w:val="false"/>
                <w:i w:val="false"/>
                <w:iCs w:val="false"/>
                <w:color w:val="33454A"/>
                <w:sz w:val="17"/>
                <w:szCs w:val="17"/>
              </w:rPr>
              <w:t xml:space="preserve">7. Recommander — arbitrage Corporate / Particuliers et feuille de route de cession en trois horizons.</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R</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RÉSULTATS</w:t>
            </w:r>
          </w:p>
          <w:p>
            <w:pPr>
              <w:spacing w:after="0" w:before="0" w:line="252"/>
            </w:pPr>
            <w:r>
              <w:rPr>
                <w:rFonts w:ascii="Corbel" w:cs="Corbel" w:eastAsia="Corbel" w:hAnsi="Corbel"/>
                <w:b w:val="false"/>
                <w:bCs w:val="false"/>
                <w:i w:val="false"/>
                <w:iCs w:val="false"/>
                <w:color w:val="33454A"/>
                <w:sz w:val="17"/>
                <w:szCs w:val="17"/>
              </w:rPr>
              <w:t xml:space="preserve">Un modèle de régression linéaire à 8,95 % d'erreur moyenne (objectif &lt; 10 % atteint), confirmé par validation croisée à 7,69 % ± 1,30 % sur cinq plis, qui valorise les 275 actifs à 161 M€ au 31/12/2022. Le Corporate concentre 56,2 % de la valeur avec 44 % des biens (748 285 € par actif) contre 43,8 % pour les Particuliers avec 56 % des biens (457 471 € par actif) : un écart de 20 M€. Le K-Means confirme la structure du marché en séparant les deux familles de biens sur le seul prix au m² (silhouette 0,9086, 100 % de correspondance sur l'échantillon de référence). Recommandation : conserver et optimiser le Corporate, céder progressivement les Particuliers comme levier de liquidité.</w:t>
            </w:r>
          </w:p>
        </w:tc>
      </w:tr>
    </w:tbl>
    <w:p>
      <w:pPr>
        <w:spacing w:after="80" w:before="0" w:line="252"/>
      </w:pPr>
    </w:p>
    <w:p>
      <w:pPr>
        <w:spacing w:after="80" w:before="160" w:line="252"/>
      </w:pPr>
      <w:r>
        <w:rPr>
          <w:rFonts w:ascii="Corbel" w:cs="Corbel" w:eastAsia="Corbel" w:hAnsi="Corbel"/>
          <w:b/>
          <w:bCs/>
          <w:i w:val="false"/>
          <w:iCs w:val="false"/>
          <w:color w:val="1E2A2E"/>
          <w:sz w:val="18"/>
          <w:szCs w:val="18"/>
        </w:rPr>
        <w:t xml:space="preserve">Pipeline de travail — </w:t>
      </w:r>
      <w:r>
        <w:rPr>
          <w:rFonts w:ascii="Corbel" w:cs="Corbel" w:eastAsia="Corbel" w:hAnsi="Corbel"/>
          <w:b w:val="false"/>
          <w:bCs w:val="false"/>
          <w:i/>
          <w:iCs/>
          <w:color w:val="6C7B7E"/>
          <w:sz w:val="17"/>
          <w:szCs w:val="17"/>
        </w:rPr>
        <w:t xml:space="preserve">de la transaction brute à la recommandation d'arbitrage.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44"/>
        <w:gridCol w:w="1744"/>
        <w:gridCol w:w="1744"/>
        <w:gridCol w:w="1744"/>
        <w:gridCol w:w="1744"/>
        <w:gridCol w:w="1746"/>
      </w:tblGrid>
      <w:tr>
        <w:tc>
          <w:tcPr>
            <w:tcW w:type="dxa" w:w="1744"/>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1</w:t>
            </w:r>
          </w:p>
          <w:p>
            <w:pPr>
              <w:spacing w:after="20" w:before="0" w:line="252"/>
            </w:pPr>
            <w:r>
              <w:rPr>
                <w:rFonts w:ascii="Corbel" w:cs="Corbel" w:eastAsia="Corbel" w:hAnsi="Corbel"/>
                <w:b/>
                <w:bCs/>
                <w:i w:val="false"/>
                <w:iCs w:val="false"/>
                <w:color w:val="C25438"/>
                <w:sz w:val="17"/>
                <w:szCs w:val="17"/>
              </w:rPr>
              <w:t xml:space="preserve">Explorer</w:t>
            </w:r>
          </w:p>
          <w:p>
            <w:pPr>
              <w:spacing w:after="0" w:before="0" w:line="252"/>
            </w:pPr>
            <w:r>
              <w:rPr>
                <w:rFonts w:ascii="Corbel" w:cs="Corbel" w:eastAsia="Corbel" w:hAnsi="Corbel"/>
                <w:b w:val="false"/>
                <w:bCs w:val="false"/>
                <w:i w:val="false"/>
                <w:iCs w:val="false"/>
                <w:color w:val="33454A"/>
                <w:sz w:val="15"/>
                <w:szCs w:val="15"/>
              </w:rPr>
              <w:t xml:space="preserve">26 196 transactions · prix au m²</w:t>
            </w:r>
          </w:p>
        </w:tc>
        <w:tc>
          <w:tcPr>
            <w:tcW w:type="dxa" w:w="1744"/>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2</w:t>
            </w:r>
          </w:p>
          <w:p>
            <w:pPr>
              <w:spacing w:after="20" w:before="0" w:line="252"/>
            </w:pPr>
            <w:r>
              <w:rPr>
                <w:rFonts w:ascii="Corbel" w:cs="Corbel" w:eastAsia="Corbel" w:hAnsi="Corbel"/>
                <w:b/>
                <w:bCs/>
                <w:i w:val="false"/>
                <w:iCs w:val="false"/>
                <w:color w:val="C25438"/>
                <w:sz w:val="17"/>
                <w:szCs w:val="17"/>
              </w:rPr>
              <w:t xml:space="preserve">Valider</w:t>
            </w:r>
          </w:p>
          <w:p>
            <w:pPr>
              <w:spacing w:after="0" w:before="0" w:line="252"/>
            </w:pPr>
            <w:r>
              <w:rPr>
                <w:rFonts w:ascii="Corbel" w:cs="Corbel" w:eastAsia="Corbel" w:hAnsi="Corbel"/>
                <w:b w:val="false"/>
                <w:bCs w:val="false"/>
                <w:i w:val="false"/>
                <w:iCs w:val="false"/>
                <w:color w:val="33454A"/>
                <w:sz w:val="15"/>
                <w:szCs w:val="15"/>
              </w:rPr>
              <w:t xml:space="preserve">Pearson · Spearman · écarts</w:t>
            </w:r>
          </w:p>
        </w:tc>
        <w:tc>
          <w:tcPr>
            <w:tcW w:type="dxa" w:w="1744"/>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3</w:t>
            </w:r>
          </w:p>
          <w:p>
            <w:pPr>
              <w:spacing w:after="20" w:before="0" w:line="252"/>
            </w:pPr>
            <w:r>
              <w:rPr>
                <w:rFonts w:ascii="Corbel" w:cs="Corbel" w:eastAsia="Corbel" w:hAnsi="Corbel"/>
                <w:b/>
                <w:bCs/>
                <w:i w:val="false"/>
                <w:iCs w:val="false"/>
                <w:color w:val="C25438"/>
                <w:sz w:val="17"/>
                <w:szCs w:val="17"/>
              </w:rPr>
              <w:t xml:space="preserve">Préparer</w:t>
            </w:r>
          </w:p>
          <w:p>
            <w:pPr>
              <w:spacing w:after="0" w:before="0" w:line="252"/>
            </w:pPr>
            <w:r>
              <w:rPr>
                <w:rFonts w:ascii="Corbel" w:cs="Corbel" w:eastAsia="Corbel" w:hAnsi="Corbel"/>
                <w:b w:val="false"/>
                <w:bCs w:val="false"/>
                <w:i w:val="false"/>
                <w:iCs w:val="false"/>
                <w:color w:val="33454A"/>
                <w:sz w:val="15"/>
                <w:szCs w:val="15"/>
              </w:rPr>
              <w:t xml:space="preserve">OHE · scaler · split chrono</w:t>
            </w:r>
          </w:p>
        </w:tc>
        <w:tc>
          <w:tcPr>
            <w:tcW w:type="dxa" w:w="1744"/>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4</w:t>
            </w:r>
          </w:p>
          <w:p>
            <w:pPr>
              <w:spacing w:after="20" w:before="0" w:line="252"/>
            </w:pPr>
            <w:r>
              <w:rPr>
                <w:rFonts w:ascii="Corbel" w:cs="Corbel" w:eastAsia="Corbel" w:hAnsi="Corbel"/>
                <w:b/>
                <w:bCs/>
                <w:i w:val="false"/>
                <w:iCs w:val="false"/>
                <w:color w:val="C25438"/>
                <w:sz w:val="17"/>
                <w:szCs w:val="17"/>
              </w:rPr>
              <w:t xml:space="preserve">Itérer</w:t>
            </w:r>
          </w:p>
          <w:p>
            <w:pPr>
              <w:spacing w:after="0" w:before="0" w:line="252"/>
            </w:pPr>
            <w:r>
              <w:rPr>
                <w:rFonts w:ascii="Corbel" w:cs="Corbel" w:eastAsia="Corbel" w:hAnsi="Corbel"/>
                <w:b w:val="false"/>
                <w:bCs w:val="false"/>
                <w:i w:val="false"/>
                <w:iCs w:val="false"/>
                <w:color w:val="33454A"/>
                <w:sz w:val="15"/>
                <w:szCs w:val="15"/>
              </w:rPr>
              <w:t xml:space="preserve">5 configurations · outliers</w:t>
            </w:r>
          </w:p>
        </w:tc>
        <w:tc>
          <w:tcPr>
            <w:tcW w:type="dxa" w:w="1744"/>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5</w:t>
            </w:r>
          </w:p>
          <w:p>
            <w:pPr>
              <w:spacing w:after="20" w:before="0" w:line="252"/>
            </w:pPr>
            <w:r>
              <w:rPr>
                <w:rFonts w:ascii="Corbel" w:cs="Corbel" w:eastAsia="Corbel" w:hAnsi="Corbel"/>
                <w:b/>
                <w:bCs/>
                <w:i w:val="false"/>
                <w:iCs w:val="false"/>
                <w:color w:val="C25438"/>
                <w:sz w:val="17"/>
                <w:szCs w:val="17"/>
              </w:rPr>
              <w:t xml:space="preserve">Contrôler</w:t>
            </w:r>
          </w:p>
          <w:p>
            <w:pPr>
              <w:spacing w:after="0" w:before="0" w:line="252"/>
            </w:pPr>
            <w:r>
              <w:rPr>
                <w:rFonts w:ascii="Corbel" w:cs="Corbel" w:eastAsia="Corbel" w:hAnsi="Corbel"/>
                <w:b w:val="false"/>
                <w:bCs w:val="false"/>
                <w:i w:val="false"/>
                <w:iCs w:val="false"/>
                <w:color w:val="33454A"/>
                <w:sz w:val="15"/>
                <w:szCs w:val="15"/>
              </w:rPr>
              <w:t xml:space="preserve">overfit · validation croisée</w:t>
            </w:r>
          </w:p>
        </w:tc>
        <w:tc>
          <w:tcPr>
            <w:tcW w:type="dxa" w:w="174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20" w:before="0" w:line="252"/>
            </w:pPr>
            <w:r>
              <w:rPr>
                <w:rFonts w:ascii="Corbel" w:cs="Corbel" w:eastAsia="Corbel" w:hAnsi="Corbel"/>
                <w:b/>
                <w:bCs/>
                <w:i w:val="false"/>
                <w:iCs w:val="false"/>
                <w:color w:val="0E5A66"/>
                <w:sz w:val="22"/>
                <w:szCs w:val="22"/>
              </w:rPr>
              <w:t xml:space="preserve">6</w:t>
            </w:r>
          </w:p>
          <w:p>
            <w:pPr>
              <w:spacing w:after="20" w:before="0" w:line="252"/>
            </w:pPr>
            <w:r>
              <w:rPr>
                <w:rFonts w:ascii="Corbel" w:cs="Corbel" w:eastAsia="Corbel" w:hAnsi="Corbel"/>
                <w:b/>
                <w:bCs/>
                <w:i w:val="false"/>
                <w:iCs w:val="false"/>
                <w:color w:val="C25438"/>
                <w:sz w:val="17"/>
                <w:szCs w:val="17"/>
              </w:rPr>
              <w:t xml:space="preserve">Appliquer</w:t>
            </w:r>
          </w:p>
          <w:p>
            <w:pPr>
              <w:spacing w:after="0" w:before="0" w:line="252"/>
            </w:pPr>
            <w:r>
              <w:rPr>
                <w:rFonts w:ascii="Corbel" w:cs="Corbel" w:eastAsia="Corbel" w:hAnsi="Corbel"/>
                <w:b w:val="false"/>
                <w:bCs w:val="false"/>
                <w:i w:val="false"/>
                <w:iCs w:val="false"/>
                <w:color w:val="33454A"/>
                <w:sz w:val="15"/>
                <w:szCs w:val="15"/>
              </w:rPr>
              <w:t xml:space="preserve">275 actifs · K-Means · reco</w:t>
            </w:r>
          </w:p>
        </w:tc>
      </w:tr>
    </w:tbl>
    <w:p>
      <w:pPr>
        <w:spacing w:after="20" w:before="200" w:line="252"/>
      </w:pPr>
      <w:r>
        <w:rPr>
          <w:rFonts w:ascii="Corbel" w:cs="Corbel" w:eastAsia="Corbel" w:hAnsi="Corbel"/>
          <w:b/>
          <w:bCs/>
          <w:i w:val="false"/>
          <w:iCs w:val="false"/>
          <w:color w:val="0E5A66"/>
          <w:sz w:val="24"/>
          <w:szCs w:val="24"/>
        </w:rPr>
        <w:t xml:space="preserve">4. Le modèle prédictif</w:t>
      </w:r>
    </w:p>
    <w:p>
      <w:pPr>
        <w:spacing w:after="120" w:before="0" w:line="252"/>
      </w:pPr>
      <w:r>
        <w:rPr>
          <w:rFonts w:ascii="Corbel" w:cs="Corbel" w:eastAsia="Corbel" w:hAnsi="Corbel"/>
          <w:b w:val="false"/>
          <w:bCs w:val="false"/>
          <w:i w:val="false"/>
          <w:iCs w:val="false"/>
          <w:color w:val="33454A"/>
          <w:sz w:val="17"/>
          <w:szCs w:val="17"/>
        </w:rPr>
        <w:t xml:space="preserve">Quatre variables seulement, mais chacune adossée à une preuve. La sélection ne repose sur aucune intuition de marché : elle découle de tests statistiques et d'écarts mesurés sur cinq années de transactions. Les variables redondantes ou non explicatives ont été écartées explicitement.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1700"/>
        <w:gridCol w:w="2900"/>
        <w:gridCol w:w="39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Variable</w:t>
            </w:r>
          </w:p>
        </w:tc>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Type</w:t>
            </w:r>
          </w:p>
        </w:tc>
        <w:tc>
          <w:tcPr>
            <w:tcW w:type="dxa" w:w="2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statistique</w:t>
            </w:r>
          </w:p>
        </w:tc>
        <w:tc>
          <w:tcPr>
            <w:tcW w:type="dxa" w:w="3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Rôle dans le modèle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surface_reelle</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Continue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Pearson r = 0,980 · r² = 0,96 · p ≈ 0 (24 353 appartements)</w:t>
            </w:r>
          </w:p>
        </w:tc>
        <w:tc>
          <w:tcPr>
            <w:tcW w:type="dxa" w:w="3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Levier structurel — déterminant principal de la valeur, environ 96 % de la variance expliquée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code_postal</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Catégorielle → OHE (20 modalités)</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Écart de +56 % entre le 6e (13 795 €/m²) et le 19e (8 829 €/m²) en 2021, stable sur 5 ans</w:t>
            </w:r>
          </w:p>
        </w:tc>
        <w:tc>
          <w:tcPr>
            <w:tcW w:type="dxa" w:w="3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Levier marché — variable catégorielle la plus discriminante : surcote du centre, décote de la périphérie</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annee (extraite de date_mutation)</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Continue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Spearman ρ = 0,914 · p ≈ 0 sur 709 transactions du 6e arrondissement</w:t>
            </w:r>
          </w:p>
        </w:tc>
        <w:tc>
          <w:tcPr>
            <w:tcW w:type="dxa" w:w="3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Levier temporel — capture la dynamique haussière du marché 2017–2021</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type_local</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Catégorielle → OHE (1 colonne)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Écart de +14,8 % en 2021 : 12 006 €/m² pour les locaux contre 10 456 €/m² pour les appartements</w:t>
            </w:r>
          </w:p>
        </w:tc>
        <w:tc>
          <w:tcPr>
            <w:tcW w:type="dxa" w:w="3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Levier produit — différencie les segments Corporate et Particuliers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Variables écartées</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code_type_local (doublon de type_local) · adresse_numero · adresse_nom_voie (trop de modalités) · nom_commune (constante)</w:t>
            </w:r>
          </w:p>
        </w:tc>
        <w:tc>
          <w:tcPr>
            <w:tcW w:type="dxa" w:w="3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Redondantes, non explicatives ou inexploitables en l'état</w:t>
            </w:r>
          </w:p>
        </w:tc>
      </w:tr>
    </w:tbl>
    <w:p>
      <w:pPr>
        <w:spacing w:after="80" w:before="0" w:line="252"/>
      </w:pPr>
    </w:p>
    <w:p>
      <w:pPr>
        <w:spacing w:after="80" w:before="160" w:line="252"/>
      </w:pPr>
      <w:r>
        <w:rPr>
          <w:rFonts w:ascii="Corbel" w:cs="Corbel" w:eastAsia="Corbel" w:hAnsi="Corbel"/>
          <w:b/>
          <w:bCs/>
          <w:i w:val="false"/>
          <w:iCs w:val="false"/>
          <w:color w:val="1E2A2E"/>
          <w:sz w:val="18"/>
          <w:szCs w:val="18"/>
        </w:rPr>
        <w:t xml:space="preserve">Un pipeline conçu contre le data leakage — </w:t>
      </w:r>
      <w:r>
        <w:rPr>
          <w:rFonts w:ascii="Corbel" w:cs="Corbel" w:eastAsia="Corbel" w:hAnsi="Corbel"/>
          <w:b w:val="false"/>
          <w:bCs w:val="false"/>
          <w:i/>
          <w:iCs/>
          <w:color w:val="6C7B7E"/>
          <w:sz w:val="17"/>
          <w:szCs w:val="17"/>
        </w:rPr>
        <w:t xml:space="preserve">l'ordre des opérations n'est pas un détail technique : c'est ce qui rend le score honnête.</w:t>
      </w:r>
    </w:p>
    <w:p>
      <w:pPr>
        <w:spacing w:after="120" w:before="0" w:line="252"/>
      </w:pPr>
      <w:r>
        <w:rPr>
          <w:rFonts w:ascii="Corbel" w:cs="Corbel" w:eastAsia="Corbel" w:hAnsi="Corbel"/>
          <w:b w:val="false"/>
          <w:bCs w:val="false"/>
          <w:i w:val="false"/>
          <w:iCs w:val="false"/>
          <w:color w:val="33454A"/>
          <w:sz w:val="17"/>
          <w:szCs w:val="17"/>
        </w:rPr>
        <w:t xml:space="preserve">Le jeu est d'abord trié chronologiquement, puis découpé en 85 % d'apprentissage (janvier 2017 – avril 2021) et 15 % de test (avril – décembre 2021). Ce n'est qu'ensuite que les valeurs aberrantes sont retirées — du jeu d'entraînement uniquement, soit 1 604 lignes sur 22 266. Le jeu de test conserve ses valeurs réelles, y compris extrêmes. Le One Hot Encoding est appliqué sur le train puis réaligné sur le test, et le StandardScaler est ajusté (fit) sur le train avant d'être appliqué (transform) au test. À aucun moment le modèle n'a accès à une information issue de la période qu'il doit prédire.</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600"/>
        <w:gridCol w:w="3200"/>
        <w:gridCol w:w="1250"/>
        <w:gridCol w:w="1250"/>
        <w:gridCol w:w="3166"/>
      </w:tblGrid>
      <w:tr>
        <w:tc>
          <w:tcPr>
            <w:tcW w:type="dxa" w:w="1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Modèle</w:t>
            </w:r>
          </w:p>
        </w:tc>
        <w:tc>
          <w:tcPr>
            <w:tcW w:type="dxa" w:w="3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Levier principal</w:t>
            </w:r>
          </w:p>
        </w:tc>
        <w:tc>
          <w:tcPr>
            <w:tcW w:type="dxa" w:w="125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MAPE</w:t>
            </w:r>
          </w:p>
        </w:tc>
        <w:tc>
          <w:tcPr>
            <w:tcW w:type="dxa" w:w="125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MAE</w:t>
            </w:r>
          </w:p>
        </w:tc>
        <w:tc>
          <w:tcPr>
            <w:tcW w:type="dxa" w:w="31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Benchmark naïf</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Aucun apprentissage — score de référence à dépasser</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4,80 %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24 614 €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Repère de vigilance : un modèle qui ferait moins bien n'apporterait rien</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Baseline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Split 66/33, sans nettoyage ni normalisation</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15,70 %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56 810 €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Point de départ — objectif non atteint</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Test A</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Outliers IQR filtrés avant le split</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12,04 %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35 349 €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Premier gain : les valeurs extrêmes déformaient les coefficients</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Test B</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Part d'entraînement portée à 80 %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11,06 %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33 179 €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Plus de données d'apprentissage, gain modéré</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Test C</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Part d'entraînement portée à 85 %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9,06 %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27 595 €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Objectif atteint — le modèle intègre le retournement de 2021</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Test D — retenu</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Outliers retirés du train uniquement</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8,95 %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38 526 €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Meilleur score, obtenu dans les conditions les plus strictes</w:t>
            </w:r>
          </w:p>
        </w:tc>
      </w:tr>
      <w:tr>
        <w:tc>
          <w:tcPr>
            <w:tcW w:type="dxa" w:w="1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Test 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Ajout de surface² (régression polynomiale)</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9,03 %</w:t>
            </w:r>
          </w:p>
        </w:tc>
        <w:tc>
          <w:tcPr>
            <w:tcW w:type="dxa" w:w="125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58 444 €</w:t>
            </w:r>
          </w:p>
        </w:tc>
        <w:tc>
          <w:tcPr>
            <w:tcW w:type="dxa" w:w="31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Gain nul : la complexité supplémentaire ne se justifie pas</w:t>
            </w:r>
          </w:p>
        </w:tc>
      </w:tr>
    </w:tbl>
    <w:p>
      <w:pPr>
        <w:spacing w:after="60" w:before="0" w:line="252"/>
      </w:pPr>
    </w:p>
    <w:p>
      <w:pPr>
        <w:spacing w:after="60" w:before="0" w:line="252"/>
      </w:pPr>
      <w:r>
        <w:rPr>
          <w:rFonts w:ascii="Corbel" w:cs="Corbel" w:eastAsia="Corbel" w:hAnsi="Corbel"/>
          <w:b w:val="false"/>
          <w:bCs w:val="false"/>
          <w:i w:val="false"/>
          <w:iCs w:val="false"/>
          <w:color w:val="33454A"/>
          <w:sz w:val="17"/>
          <w:szCs w:val="17"/>
        </w:rPr>
        <w:t xml:space="preserve">Gain total : 6,8 points de MAPE, dont 3,7 attribuables au traitement des outliers et 3,1 au split chronologique. Le Test D est retenu : il obtient le meilleur score dans les conditions les plus exigeantes, avec un jeu de test resté intact.</w:t>
      </w:r>
    </w:p>
    <w:p>
      <w:pPr>
        <w:spacing w:after="20" w:before="200" w:line="252"/>
      </w:pPr>
      <w:r>
        <w:rPr>
          <w:rFonts w:ascii="Corbel" w:cs="Corbel" w:eastAsia="Corbel" w:hAnsi="Corbel"/>
          <w:b/>
          <w:bCs/>
          <w:i w:val="false"/>
          <w:iCs w:val="false"/>
          <w:color w:val="0E5A66"/>
          <w:sz w:val="24"/>
          <w:szCs w:val="24"/>
        </w:rPr>
        <w:t xml:space="preserve">5. Ce que j'ai réalisé (Python)</w:t>
      </w:r>
    </w:p>
    <w:p>
      <w:pPr>
        <w:spacing w:after="120" w:before="0" w:line="252"/>
      </w:pPr>
      <w:r>
        <w:rPr>
          <w:rFonts w:ascii="Corbel" w:cs="Corbel" w:eastAsia="Corbel" w:hAnsi="Corbel"/>
          <w:b w:val="false"/>
          <w:bCs w:val="false"/>
          <w:i/>
          <w:iCs/>
          <w:color w:val="6C7B7E"/>
          <w:sz w:val="17"/>
          <w:szCs w:val="17"/>
        </w:rPr>
        <w:t xml:space="preserve">Compétences techniques observables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5100"/>
        <w:gridCol w:w="34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Étape</w:t>
            </w:r>
          </w:p>
        </w:tc>
        <w:tc>
          <w:tcPr>
            <w:tcW w:type="dxa" w:w="51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Actions réalisées</w:t>
            </w:r>
          </w:p>
        </w:tc>
        <w:tc>
          <w:tcPr>
            <w:tcW w:type="dxa" w:w="3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Outils / fonctions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Exploration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Contrôle du typage et des valeurs manquantes, statistiques descriptives, création du prix au m², analyse de l'évolution annuelle, comparaison des 20 arrondissements et des deux types de biens.</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pandas · NumPy · matplotlib · seaborn</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Validation statistique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Test de Pearson sur la relation surface / valeur foncière, test de Spearman sur la relation temps / prix au m², choix argumenté du test selon la normalité et la linéarité des distributions, lecture des p-values.</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SciPy · pearsonr · spearmanr</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Traitement des valeurs extrêmes</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Détection par la méthode IQR (borne haute calculée sur le train : 1 069 234 €), suppression de 1 604 lignes sur le seul jeu d'entraînement.</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Quantiles Q1 / Q3 · IQR</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Préparation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Extraction de l'année, sélection des variables explicatives, encodage One Hot des variables catégorielles (22 colonnes), réalignement des colonnes du test sur celles du train, standardisation.</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get_dummies · OneHotEncoder · StandardScaler</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Entraînement</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Tri chronologique puis découpage manuel 85 / 15, entraînement d'une régression linéaire, lecture des coefficients normalisés pour interpréter l'influence de chaque variable.</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scikit-learn · LinearRegression</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Évaluation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Calcul de la MAPE et de la MAE, comparaison au benchmark naïf, diagnostic de surapprentissage par confrontation train / test, validation croisée temporelle sur cinq plis.</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MAPE · MAE · TimeSeriesSplit</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Valorisation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Mise au format du portefeuille, encodage et alignement sur les colonnes d'entraînement, prédiction de la valeur des 275 actifs au 31/12/2022, consolidation par segment.</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predict · groupby · agrégations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Segmentation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Entraînement d'un K-Means à deux clusters sur le prix au m², interprétation des centroïdes, attribution automatique des labels métier, comparaison à la vérité terrain, test de plusieurs périmètres d'apprentissage.</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KMeans · silhouette_score · crosstab</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Restitution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Construction du récit de soutenance : du désaccord initial à la recommandation, en passant par la preuve statistique et les limites du modèle.</w:t>
            </w:r>
          </w:p>
        </w:tc>
        <w:tc>
          <w:tcPr>
            <w:tcW w:type="dxa" w:w="3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PowerPoint · storytelling</w:t>
            </w:r>
          </w:p>
        </w:tc>
      </w:tr>
    </w:tbl>
    <w:p>
      <w:pPr>
        <w:spacing w:after="20" w:before="200" w:line="252"/>
      </w:pPr>
      <w:r>
        <w:rPr>
          <w:rFonts w:ascii="Corbel" w:cs="Corbel" w:eastAsia="Corbel" w:hAnsi="Corbel"/>
          <w:b/>
          <w:bCs/>
          <w:i w:val="false"/>
          <w:iCs w:val="false"/>
          <w:color w:val="0E5A66"/>
          <w:sz w:val="24"/>
          <w:szCs w:val="24"/>
        </w:rPr>
        <w:t xml:space="preserve">6. Résultats, impact et recommandations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3489"/>
        <w:gridCol w:w="3489"/>
        <w:gridCol w:w="3488"/>
      </w:tblGrid>
      <w:tr>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161 M€</w:t>
            </w:r>
          </w:p>
          <w:p>
            <w:pPr>
              <w:spacing w:after="0" w:before="0" w:line="252"/>
              <w:jc w:val="center"/>
            </w:pPr>
            <w:r>
              <w:rPr>
                <w:rFonts w:ascii="Corbel" w:cs="Corbel" w:eastAsia="Corbel" w:hAnsi="Corbel"/>
                <w:b w:val="false"/>
                <w:bCs w:val="false"/>
                <w:i w:val="false"/>
                <w:iCs w:val="false"/>
                <w:color w:val="6C7B7E"/>
                <w:sz w:val="16"/>
                <w:szCs w:val="16"/>
              </w:rPr>
              <w:t xml:space="preserve">de portefeuille valorisé au 31/12/2022 (275 actifs)</w:t>
            </w:r>
          </w:p>
        </w:tc>
        <w:tc>
          <w:tcPr>
            <w:tcW w:type="dxa" w:w="3489"/>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8,95 %</w:t>
            </w:r>
          </w:p>
          <w:p>
            <w:pPr>
              <w:spacing w:after="0" w:before="0" w:line="252"/>
              <w:jc w:val="center"/>
            </w:pPr>
            <w:r>
              <w:rPr>
                <w:rFonts w:ascii="Corbel" w:cs="Corbel" w:eastAsia="Corbel" w:hAnsi="Corbel"/>
                <w:b w:val="false"/>
                <w:bCs w:val="false"/>
                <w:i w:val="false"/>
                <w:iCs w:val="false"/>
                <w:color w:val="6C7B7E"/>
                <w:sz w:val="16"/>
                <w:szCs w:val="16"/>
              </w:rPr>
              <w:t xml:space="preserve">d'erreur moyenne — objectif &lt; 10 % atteint</w:t>
            </w:r>
          </w:p>
        </w:tc>
        <w:tc>
          <w:tcPr>
            <w:tcW w:type="dxa" w:w="3488"/>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+ 20 M€</w:t>
            </w:r>
          </w:p>
          <w:p>
            <w:pPr>
              <w:spacing w:after="0" w:before="0" w:line="252"/>
              <w:jc w:val="center"/>
            </w:pPr>
            <w:r>
              <w:rPr>
                <w:rFonts w:ascii="Corbel" w:cs="Corbel" w:eastAsia="Corbel" w:hAnsi="Corbel"/>
                <w:b w:val="false"/>
                <w:bCs w:val="false"/>
                <w:i w:val="false"/>
                <w:iCs w:val="false"/>
                <w:color w:val="6C7B7E"/>
                <w:sz w:val="16"/>
                <w:szCs w:val="16"/>
              </w:rPr>
              <w:t xml:space="preserve">d'écart en faveur du segment Corporate</w:t>
            </w:r>
          </w:p>
        </w:tc>
      </w:tr>
    </w:tbl>
    <w:p>
      <w:pPr>
        <w:spacing w:after="100" w:before="0" w:line="252"/>
      </w:pP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5100"/>
        <w:gridCol w:w="29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Constat</w:t>
            </w:r>
          </w:p>
        </w:tc>
        <w:tc>
          <w:tcPr>
            <w:tcW w:type="dxa" w:w="51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 métier</w:t>
            </w:r>
          </w:p>
        </w:tc>
        <w:tc>
          <w:tcPr>
            <w:tcW w:type="dxa" w:w="2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Le Corporate concentre la valeur</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121 locaux (44 % des biens) pèsent 90,5 M€, soit 56,2 % de la valeur du portefeuille, avec 748 285 € par actif contre 457 471 € pour un appartement. Le Corporate valorise mieux au m² et porte des surfaces plus grandes (63,6 m² contre 40,8 m²).</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Valorisation du portefeuille au 31/12/2022</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Le marché parisien est structurellement haussier, mais s'essouffle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+12,4 % de prix au m² entre 2017 et 2020, puis −2,1 % en 2021. Dans le même temps, la surface moyenne vendue recule de 45 à 43 m² : à budget constant, les acquéreurs achètent moins de mètres carrés.</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exploratoire 2017–2021</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Deux dynamiques distinctes selon le type de bien</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Les locaux commerciaux progressent de façon continue (+9,5 % sur cinq ans, sans recul) tandis que les appartements plafonnent en 2020 et reculent en 2021. L'écart de prix au m² reste stable autour de +15 %.</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Comparaison locaux / appartements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La segmentation confirme la frontière économique</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K-Means sépare les deux familles de biens à partir du seul prix au m², sans aucune étiquette : silhouette de 0,9086 et 100 % de correspondance avec les labels réels sur l'échantillon de référence, 94 % sur un périmètre géographique homogène.</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Milestone 4 — classification non supervisée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Le modèle est robuste, mais reste un ordre de grandeur</w:t>
            </w:r>
          </w:p>
        </w:tc>
        <w:tc>
          <w:tcPr>
            <w:tcW w:type="dxa" w:w="51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MAPE train de 6,23 % contre 8,95 % en test : aucun surapprentissage. Validation croisée à 7,69 % ± 1,30 % sur cinq plis. Une MAE de 38 526 € signifie toutefois qu'un bien pris isolément peut être mal estimé : l'outil sert à comparer des segments, pas à fixer un prix de vente.</w:t>
            </w:r>
          </w:p>
        </w:tc>
        <w:tc>
          <w:tcPr>
            <w:tcW w:type="dxa" w:w="2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Diagnostic d'overfit &amp; TimeSeriesSplit</w:t>
            </w:r>
          </w:p>
        </w:tc>
      </w:tr>
    </w:tbl>
    <w:p>
      <w:pPr>
        <w:spacing w:after="80" w:before="0" w:line="252"/>
      </w:pPr>
    </w:p>
    <w:p>
      <w:pPr>
        <w:spacing w:after="100" w:before="160" w:line="252"/>
      </w:pPr>
      <w:r>
        <w:rPr>
          <w:rFonts w:ascii="Corbel" w:cs="Corbel" w:eastAsia="Corbel" w:hAnsi="Corbel"/>
          <w:b/>
          <w:bCs/>
          <w:i w:val="false"/>
          <w:iCs w:val="false"/>
          <w:color w:val="1E2A2E"/>
          <w:sz w:val="18"/>
          <w:szCs w:val="18"/>
        </w:rPr>
        <w:t xml:space="preserve">Recommandation — </w:t>
      </w:r>
      <w:r>
        <w:rPr>
          <w:rFonts w:ascii="Corbel" w:cs="Corbel" w:eastAsia="Corbel" w:hAnsi="Corbel"/>
          <w:b w:val="false"/>
          <w:bCs w:val="false"/>
          <w:i w:val="false"/>
          <w:iCs w:val="false"/>
          <w:color w:val="33454A"/>
          <w:sz w:val="17"/>
          <w:szCs w:val="17"/>
        </w:rPr>
        <w:t xml:space="preserve">conserver et optimiser le Corporate comme moteur de valeur, et utiliser les Particuliers comme levier de liquidité, dans une stratégie progressive en trois temps.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200"/>
        <w:gridCol w:w="2600"/>
        <w:gridCol w:w="5666"/>
      </w:tblGrid>
      <w:tr>
        <w:tc>
          <w:tcPr>
            <w:tcW w:type="dxa" w:w="2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Horizon</w:t>
            </w:r>
          </w:p>
        </w:tc>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Objectif</w:t>
            </w:r>
          </w:p>
        </w:tc>
        <w:tc>
          <w:tcPr>
            <w:tcW w:type="dxa" w:w="56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Actions</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Court terme · 0–6 mois</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Générer du cash sans détruire de valeur</w:t>
            </w:r>
          </w:p>
        </w:tc>
        <w:tc>
          <w:tcPr>
            <w:tcW w:type="dxa" w:w="5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Céder les actifs Particuliers par tranches successives · prioriser les biens les moins valorisés (petites surfaces, arrondissements périphériques) · éviter les ventes en urgence dans un contexte de taux défavorable · identifier les 20 à 30 % d'actifs à céder en priorité</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Moyen terme · 6–18 mois</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Maximiser le rendement du portefeuille conservé</w:t>
            </w:r>
          </w:p>
        </w:tc>
        <w:tc>
          <w:tcPr>
            <w:tcW w:type="dxa" w:w="5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Arbitrage géographique : conserver les actifs les plus performants, priorité aux arrondissements centraux au-delà de 13 000 €/m² · comparer la rentabilité au taux sans risque et céder en deçà · optimiser le parc Corporate (taux d'occupation, loyers)</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Long terme · 18 mois et plus</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Pérenniser la création de valeur</w:t>
            </w:r>
          </w:p>
        </w:tc>
        <w:tc>
          <w:tcPr>
            <w:tcW w:type="dxa" w:w="5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Améliorer la collecte des données (DPE, étage, état du bien) pour fiabiliser les futures valorisations · envisager un refinancement adossé au portefeuille pour générer des liquidités sans vendre · clarifier la gouvernance et la transmission</w:t>
            </w:r>
          </w:p>
        </w:tc>
      </w:tr>
      <w:tr>
        <w:tc>
          <w:tcPr>
            <w:tcW w:type="dxa" w:w="2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Transverse</w:t>
            </w:r>
          </w:p>
        </w:tc>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Piloter avec prudence</w:t>
            </w:r>
          </w:p>
        </w:tc>
        <w:tc>
          <w:tcPr>
            <w:tcW w:type="dxa" w:w="5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 modèle est entraîné sur 2017–2021 et projeté à 2022 : le réentraîner régulièrement avec les nouvelles transactions · traiter les résultats comme des ordres de grandeur destinés à comparer des segments, non à estimer un bien isolé</w:t>
            </w:r>
          </w:p>
        </w:tc>
      </w:tr>
    </w:tbl>
    <w:p>
      <w:pPr>
        <w:spacing w:after="20" w:before="200" w:line="252"/>
      </w:pPr>
      <w:r>
        <w:rPr>
          <w:rFonts w:ascii="Corbel" w:cs="Corbel" w:eastAsia="Corbel" w:hAnsi="Corbel"/>
          <w:b/>
          <w:bCs/>
          <w:i w:val="false"/>
          <w:iCs w:val="false"/>
          <w:color w:val="0E5A66"/>
          <w:sz w:val="24"/>
          <w:szCs w:val="24"/>
        </w:rPr>
        <w:t xml:space="preserve">7. Limites et prochaines pistes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233"/>
        <w:gridCol w:w="5233"/>
      </w:tblGrid>
      <w:tr>
        <w:tc>
          <w:tcPr>
            <w:tcW w:type="dxa" w:w="5233"/>
            <w:tcBorders>
              <w:top w:val="single" w:color="DCE6E7" w:sz="4"/>
              <w:left w:val="single" w:color="DCE6E7" w:sz="4"/>
              <w:bottom w:val="single" w:color="DCE6E7" w:sz="4"/>
              <w:right w:val="single" w:color="DCE6E7" w:sz="4"/>
            </w:tcBorders>
            <w:shd w:fill="FBEEE4"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C25438"/>
                <w:sz w:val="17"/>
                <w:szCs w:val="17"/>
              </w:rPr>
              <w:t xml:space="preserve">CE QUE LE PROJET NE COUVRE PAS ENCORE</w:t>
            </w:r>
          </w:p>
          <w:p>
            <w:pPr>
              <w:spacing w:after="30" w:before="0" w:line="252"/>
            </w:pPr>
            <w:r>
              <w:rPr>
                <w:rFonts w:ascii="Corbel" w:cs="Corbel" w:eastAsia="Corbel" w:hAnsi="Corbel"/>
                <w:b w:val="false"/>
                <w:bCs w:val="false"/>
                <w:i w:val="false"/>
                <w:iCs w:val="false"/>
                <w:color w:val="33454A"/>
                <w:sz w:val="16"/>
                <w:szCs w:val="16"/>
              </w:rPr>
              <w:t xml:space="preserve">— Hypothèse de linéarité appliquée à un marché qui ne l'est pas, sans interaction entre surface et localisation.</w:t>
            </w:r>
          </w:p>
          <w:p>
            <w:pPr>
              <w:spacing w:after="30" w:before="0" w:line="252"/>
            </w:pPr>
            <w:r>
              <w:rPr>
                <w:rFonts w:ascii="Corbel" w:cs="Corbel" w:eastAsia="Corbel" w:hAnsi="Corbel"/>
                <w:b w:val="false"/>
                <w:bCs w:val="false"/>
                <w:i w:val="false"/>
                <w:iCs w:val="false"/>
                <w:color w:val="33454A"/>
                <w:sz w:val="16"/>
                <w:szCs w:val="16"/>
              </w:rPr>
              <w:t xml:space="preserve">— Aucune variable qualitative : état du bien, étage, DPE, exposition, vue, travaux, proximité des transports.</w:t>
            </w:r>
          </w:p>
          <w:p>
            <w:pPr>
              <w:spacing w:after="30" w:before="0" w:line="252"/>
            </w:pPr>
            <w:r>
              <w:rPr>
                <w:rFonts w:ascii="Corbel" w:cs="Corbel" w:eastAsia="Corbel" w:hAnsi="Corbel"/>
                <w:b w:val="false"/>
                <w:bCs w:val="false"/>
                <w:i w:val="false"/>
                <w:iCs w:val="false"/>
                <w:color w:val="33454A"/>
                <w:sz w:val="16"/>
                <w:szCs w:val="16"/>
              </w:rPr>
              <w:t xml:space="preserve">— Micro-localisation non captée : forte variabilité des prix au sein d'un même arrondissement.</w:t>
            </w:r>
          </w:p>
          <w:p>
            <w:pPr>
              <w:spacing w:after="30" w:before="0" w:line="252"/>
            </w:pPr>
            <w:r>
              <w:rPr>
                <w:rFonts w:ascii="Corbel" w:cs="Corbel" w:eastAsia="Corbel" w:hAnsi="Corbel"/>
                <w:b w:val="false"/>
                <w:bCs w:val="false"/>
                <w:i w:val="false"/>
                <w:iCs w:val="false"/>
                <w:color w:val="33454A"/>
                <w:sz w:val="16"/>
                <w:szCs w:val="16"/>
              </w:rPr>
              <w:t xml:space="preserve">— Variable temporelle simplifiée à l'année : pas de saisonnalité ni de cycle de marché.</w:t>
            </w:r>
          </w:p>
          <w:p>
            <w:pPr>
              <w:spacing w:after="30" w:before="0" w:line="252"/>
            </w:pPr>
            <w:r>
              <w:rPr>
                <w:rFonts w:ascii="Corbel" w:cs="Corbel" w:eastAsia="Corbel" w:hAnsi="Corbel"/>
                <w:b w:val="false"/>
                <w:bCs w:val="false"/>
                <w:i w:val="false"/>
                <w:iCs w:val="false"/>
                <w:color w:val="33454A"/>
                <w:sz w:val="16"/>
                <w:szCs w:val="16"/>
              </w:rPr>
              <w:t xml:space="preserve">— Segmentation déséquilibrée : 93 % d'appartements, généralisation plus faible sur le Corporate.</w:t>
            </w:r>
          </w:p>
          <w:p>
            <w:pPr>
              <w:spacing w:after="0" w:before="0" w:line="252"/>
            </w:pPr>
            <w:r>
              <w:rPr>
                <w:rFonts w:ascii="Corbel" w:cs="Corbel" w:eastAsia="Corbel" w:hAnsi="Corbel"/>
                <w:b w:val="false"/>
                <w:bCs w:val="false"/>
                <w:i w:val="false"/>
                <w:iCs w:val="false"/>
                <w:color w:val="33454A"/>
                <w:sz w:val="16"/>
                <w:szCs w:val="16"/>
              </w:rPr>
              <w:t xml:space="preserve">— Extrapolation à 2022 depuis des données 2017–2021, sans intégration des chocs macroéconomiques (inflation, taux).</w:t>
            </w:r>
          </w:p>
        </w:tc>
        <w:tc>
          <w:tcPr>
            <w:tcW w:type="dxa" w:w="5233"/>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7"/>
                <w:szCs w:val="17"/>
              </w:rPr>
              <w:t xml:space="preserve">PROCHAINES PISTES</w:t>
            </w:r>
          </w:p>
          <w:p>
            <w:pPr>
              <w:spacing w:after="30" w:before="0" w:line="252"/>
            </w:pPr>
            <w:r>
              <w:rPr>
                <w:rFonts w:ascii="Corbel" w:cs="Corbel" w:eastAsia="Corbel" w:hAnsi="Corbel"/>
                <w:b w:val="false"/>
                <w:bCs w:val="false"/>
                <w:i w:val="false"/>
                <w:iCs w:val="false"/>
                <w:color w:val="33454A"/>
                <w:sz w:val="16"/>
                <w:szCs w:val="16"/>
              </w:rPr>
              <w:t xml:space="preserve">— Tester des modèles non linéaires (Random Forest, Gradient Boosting), plus robustes aux valeurs extrêmes.</w:t>
            </w:r>
          </w:p>
          <w:p>
            <w:pPr>
              <w:spacing w:after="30" w:before="0" w:line="252"/>
            </w:pPr>
            <w:r>
              <w:rPr>
                <w:rFonts w:ascii="Corbel" w:cs="Corbel" w:eastAsia="Corbel" w:hAnsi="Corbel"/>
                <w:b w:val="false"/>
                <w:bCs w:val="false"/>
                <w:i w:val="false"/>
                <w:iCs w:val="false"/>
                <w:color w:val="33454A"/>
                <w:sz w:val="16"/>
                <w:szCs w:val="16"/>
              </w:rPr>
              <w:t xml:space="preserve">— Enrichir les variables temporelles (mois, saisonnalité) pour mieux capter les cycles immobiliers.</w:t>
            </w:r>
          </w:p>
          <w:p>
            <w:pPr>
              <w:spacing w:after="30" w:before="0" w:line="252"/>
            </w:pPr>
            <w:r>
              <w:rPr>
                <w:rFonts w:ascii="Corbel" w:cs="Corbel" w:eastAsia="Corbel" w:hAnsi="Corbel"/>
                <w:b w:val="false"/>
                <w:bCs w:val="false"/>
                <w:i w:val="false"/>
                <w:iCs w:val="false"/>
                <w:color w:val="33454A"/>
                <w:sz w:val="16"/>
                <w:szCs w:val="16"/>
              </w:rPr>
              <w:t xml:space="preserve">— Intégrer des variables qualitatives et une localisation fine (distance au métro, au centre).</w:t>
            </w:r>
          </w:p>
          <w:p>
            <w:pPr>
              <w:spacing w:after="30" w:before="0" w:line="252"/>
            </w:pPr>
            <w:r>
              <w:rPr>
                <w:rFonts w:ascii="Corbel" w:cs="Corbel" w:eastAsia="Corbel" w:hAnsi="Corbel"/>
                <w:b w:val="false"/>
                <w:bCs w:val="false"/>
                <w:i w:val="false"/>
                <w:iCs w:val="false"/>
                <w:color w:val="33454A"/>
                <w:sz w:val="16"/>
                <w:szCs w:val="16"/>
              </w:rPr>
              <w:t xml:space="preserve">— Entraîner un modèle dédié par type de bien pour améliorer la généralisation sur le Corporate.</w:t>
            </w:r>
          </w:p>
          <w:p>
            <w:pPr>
              <w:spacing w:after="30" w:before="0" w:line="252"/>
            </w:pPr>
            <w:r>
              <w:rPr>
                <w:rFonts w:ascii="Corbel" w:cs="Corbel" w:eastAsia="Corbel" w:hAnsi="Corbel"/>
                <w:b w:val="false"/>
                <w:bCs w:val="false"/>
                <w:i w:val="false"/>
                <w:iCs w:val="false"/>
                <w:color w:val="33454A"/>
                <w:sz w:val="16"/>
                <w:szCs w:val="16"/>
              </w:rPr>
              <w:t xml:space="preserve">— Industrialiser le pipeline et le réentraîner périodiquement pour maintenir la performance.</w:t>
            </w:r>
          </w:p>
          <w:p>
            <w:pPr>
              <w:spacing w:after="0" w:before="0" w:line="252"/>
            </w:pPr>
            <w:r>
              <w:rPr>
                <w:rFonts w:ascii="Corbel" w:cs="Corbel" w:eastAsia="Corbel" w:hAnsi="Corbel"/>
                <w:b w:val="false"/>
                <w:bCs w:val="false"/>
                <w:i w:val="false"/>
                <w:iCs w:val="false"/>
                <w:color w:val="33454A"/>
                <w:sz w:val="16"/>
                <w:szCs w:val="16"/>
              </w:rPr>
              <w:t xml:space="preserve">— Étendre la segmentation à d'autres critères que le prix au m² (rendement locatif, potentiel de valorisation).</w:t>
            </w:r>
          </w:p>
        </w:tc>
      </w:tr>
    </w:tbl>
    <w:p>
      <w:pPr>
        <w:spacing w:after="20" w:before="200" w:line="252"/>
      </w:pPr>
      <w:r>
        <w:rPr>
          <w:rFonts w:ascii="Corbel" w:cs="Corbel" w:eastAsia="Corbel" w:hAnsi="Corbel"/>
          <w:b/>
          <w:bCs/>
          <w:i w:val="false"/>
          <w:iCs w:val="false"/>
          <w:color w:val="0E5A66"/>
          <w:sz w:val="24"/>
          <w:szCs w:val="24"/>
        </w:rPr>
        <w:t xml:space="preserve">8. Sélection hiérarchisée des preuves</w:t>
      </w:r>
    </w:p>
    <w:p>
      <w:pPr>
        <w:spacing w:after="120" w:before="0" w:line="252"/>
      </w:pPr>
      <w:r>
        <w:rPr>
          <w:rFonts w:ascii="Corbel" w:cs="Corbel" w:eastAsia="Corbel" w:hAnsi="Corbel"/>
          <w:b w:val="false"/>
          <w:bCs w:val="false"/>
          <w:i/>
          <w:iCs/>
          <w:color w:val="6C7B7E"/>
          <w:sz w:val="17"/>
          <w:szCs w:val="17"/>
        </w:rPr>
        <w:t xml:space="preserve">Ce qu'un recruteur peut ouvrir et vérifier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900"/>
        <w:gridCol w:w="2900"/>
        <w:gridCol w:w="3700"/>
        <w:gridCol w:w="1966"/>
      </w:tblGrid>
      <w:tr>
        <w:tc>
          <w:tcPr>
            <w:tcW w:type="dxa" w:w="1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Priorité</w:t>
            </w:r>
          </w:p>
        </w:tc>
        <w:tc>
          <w:tcPr>
            <w:tcW w:type="dxa" w:w="29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w:t>
            </w:r>
          </w:p>
        </w:tc>
        <w:tc>
          <w:tcPr>
            <w:tcW w:type="dxa" w:w="3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Ce qu'elle démontre</w:t>
            </w:r>
          </w:p>
        </w:tc>
        <w:tc>
          <w:tcPr>
            <w:tcW w:type="dxa" w:w="19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Accès</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1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Python complet</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Mener une chaîne d'analyse de bout en bout : exploration, validation statistique, modélisation, évaluation, segmentation</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Fichier .ipynb</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2 — Essentielle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Support de soutenance</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Restituer une analyse technique en décision d'investissement pour une direction</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PPTX / PDF</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3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Tableau comparatif des cinq itérations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Progresser par hypothèses testées plutôt que par essais-erreurs, et attribuer chaque gain à un levier</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 Milestone 2</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4 — Importante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Diagnostic d'overfit et validation croisée</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Chercher à contredire son propre résultat avant de le présenter</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 Tests D.0 à D.3</w:t>
            </w:r>
          </w:p>
        </w:tc>
      </w:tr>
      <w:tr>
        <w:tc>
          <w:tcPr>
            <w:tcW w:type="dxa" w:w="1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5 — Complémentaire</w:t>
            </w:r>
          </w:p>
        </w:tc>
        <w:tc>
          <w:tcPr>
            <w:tcW w:type="dxa" w:w="29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Comparaison des périmètres K-Means</w:t>
            </w:r>
          </w:p>
        </w:tc>
        <w:tc>
          <w:tcPr>
            <w:tcW w:type="dxa" w:w="3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Tirer une leçon méthodologique d'un résultat décevant plutôt que de le masquer</w:t>
            </w:r>
          </w:p>
        </w:tc>
        <w:tc>
          <w:tcPr>
            <w:tcW w:type="dxa" w:w="19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Notebook — Milestone 4</w:t>
            </w:r>
          </w:p>
        </w:tc>
      </w:tr>
    </w:tbl>
    <w:p>
      <w:pPr>
        <w:spacing w:after="20" w:before="200" w:line="252"/>
      </w:pPr>
      <w:r>
        <w:rPr>
          <w:rFonts w:ascii="Corbel" w:cs="Corbel" w:eastAsia="Corbel" w:hAnsi="Corbel"/>
          <w:b/>
          <w:bCs/>
          <w:i w:val="false"/>
          <w:iCs w:val="false"/>
          <w:color w:val="0E5A66"/>
          <w:sz w:val="24"/>
          <w:szCs w:val="24"/>
        </w:rPr>
        <w:t xml:space="preserve">9. Compétences démontrées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3300"/>
        <w:gridCol w:w="54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Type</w:t>
            </w:r>
          </w:p>
        </w:tc>
        <w:tc>
          <w:tcPr>
            <w:tcW w:type="dxa" w:w="3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Compétence</w:t>
            </w:r>
          </w:p>
        </w:tc>
        <w:tc>
          <w:tcPr>
            <w:tcW w:type="dxa" w:w="5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observable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Programmation Python &amp; manipulation de données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Exploration, typage, feature engineering (prix au m², extraction de l'année) et agrégations sur 26 196 transactions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statistique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Tests de Pearson et de Spearman avec choix argumenté selon la distribution, méthode IQR, lecture des p-values et des coefficients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Machine learning supervisé</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Régression linéaire scikit-learn : encodage One Hot, standardisation, split chronologique, interprétation des coefficients normalisés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Évaluation &amp; robustesse des modèles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MAPE et MAE, benchmark naïf, diagnostic de surapprentissage, validation croisée TimeSeriesSplit sur cinq plis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Machine learning non supervisé</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K-Means à deux clusters, score de silhouette, interprétation des centroïdes, attribution automatique des labels métier</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Hard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Data visualisation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Séries temporelles par arrondissement, nuages de points, distributions, comparaisons réel / prédit</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Esprit critique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Split chronologique préféré au split aléatoire, outliers traités sur le train seul, gain nul du modèle polynomial assumé et non retenu</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Honnêteté intellectuelle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Limites du modèle explicitées avant les résultats, distinction claire entre ordre de grandeur et estimation individuelle</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Pédagogie &amp; aide à la décision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Une MAPE traduite en euros pour un décideur non technique, un écart de 20 M€ transformé en plan de cession en trois horizons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Soft skill</w:t>
            </w:r>
          </w:p>
        </w:tc>
        <w:tc>
          <w:tcPr>
            <w:tcW w:type="dxa" w:w="3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Neutralité &amp; posture d'arbitre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Analyse conduite sans parti pris entre deux dirigeants en conflit, recommandation fondée uniquement sur des faits mesurables</w:t>
            </w:r>
          </w:p>
        </w:tc>
      </w:tr>
    </w:tbl>
    <w:p>
      <w:pPr>
        <w:spacing w:after="20" w:before="200" w:line="252"/>
      </w:pPr>
      <w:r>
        <w:rPr>
          <w:rFonts w:ascii="Corbel" w:cs="Corbel" w:eastAsia="Corbel" w:hAnsi="Corbel"/>
          <w:b/>
          <w:bCs/>
          <w:i w:val="false"/>
          <w:iCs w:val="false"/>
          <w:color w:val="0E5A66"/>
          <w:sz w:val="24"/>
          <w:szCs w:val="24"/>
        </w:rPr>
        <w:t xml:space="preserve">10. Veille métier et technique mobilisée</w:t>
      </w:r>
    </w:p>
    <w:p>
      <w:pPr>
        <w:spacing w:after="120" w:before="0" w:line="252"/>
      </w:pPr>
      <w:r>
        <w:rPr>
          <w:rFonts w:ascii="Corbel" w:cs="Corbel" w:eastAsia="Corbel" w:hAnsi="Corbel"/>
          <w:b w:val="false"/>
          <w:bCs w:val="false"/>
          <w:i/>
          <w:iCs/>
          <w:color w:val="6C7B7E"/>
          <w:sz w:val="17"/>
          <w:szCs w:val="17"/>
        </w:rPr>
        <w:t xml:space="preserve">La veille a orienté les choix de modélisation, d'évaluation et de restitution.</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600"/>
        <w:gridCol w:w="3400"/>
        <w:gridCol w:w="4466"/>
      </w:tblGrid>
      <w:tr>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Sujet de veille</w:t>
            </w:r>
          </w:p>
        </w:tc>
        <w:tc>
          <w:tcPr>
            <w:tcW w:type="dxa" w:w="3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Sources / repères</w:t>
            </w:r>
          </w:p>
        </w:tc>
        <w:tc>
          <w:tcPr>
            <w:tcW w:type="dxa" w:w="4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Application au projet</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Choix du test de corrélation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Conditions de validité de Pearson (normalité, linéarité) et de Spearman (relation monotone, robustesse aux valeurs extrêmes)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Pearson retenu pour la relation surface / valeur, Spearman pour la relation temps / prix : le choix est justifié dans le notebook, pas subi</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Data leakage en séries temporelles</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Fuite d'information du futur vers le passé, ordre des opérations dans un pipeline d'apprentissage</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Split chronologique avant tout traitement, outliers retirés du train seul, scaler ajusté sur le train et appliqué au test</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Validation croisée temporelle</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TimeSeriesSplit et limites de la validation croisée classique sur des données datées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Cinq plis successifs pour vérifier que la performance ne dépend pas d'un découpage favorable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Métriques de régression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MAPE, MAE, notion de benchmark naïf et de plancher d'erreur d'un jeu de données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Objectif de mission fixé en MAPE, MAE traduite en euros pour la lecture métier, benchmark naïf utilisé comme repère de vigilance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Clustering non supervisé</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K-Means, choix de K, score de silhouette, sensibilité au périmètre d'entraînement</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K fixé à 2 par le contexte métier, silhouette utilisée comme mesure de qualité, comparaison de cinq périmètres d'apprentissage</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bCs/>
                <w:i w:val="false"/>
                <w:iCs w:val="false"/>
                <w:color w:val="33454A"/>
                <w:sz w:val="16"/>
                <w:szCs w:val="16"/>
              </w:rPr>
              <w:t xml:space="preserve">Marché immobilier parisien</w:t>
            </w:r>
          </w:p>
        </w:tc>
        <w:tc>
          <w:tcPr>
            <w:tcW w:type="dxa" w:w="3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Dynamique des prix au m², effet post-COVID, écarts entre arrondissements et entre typologies de biens</w:t>
            </w:r>
          </w:p>
        </w:tc>
        <w:tc>
          <w:tcPr>
            <w:tcW w:type="dxa" w:w="4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6"/>
                <w:szCs w:val="16"/>
              </w:rPr>
              <w:t xml:space="preserve">Lecture métier des résultats : tension sur les surfaces, résilience du Corporate, prudence sur l'extrapolation à 2022</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2026-07-23T21:36:12.560Z</dcterms:created>
  <dcterms:modified xsi:type="dcterms:W3CDTF">2026-07-23T21:36:12.560Z</dcterms:modified>
</cp:coreProperties>
</file>

<file path=docProps/custom.xml><?xml version="1.0" encoding="utf-8"?>
<Properties xmlns="http://schemas.openxmlformats.org/officeDocument/2006/custom-properties" xmlns:vt="http://schemas.openxmlformats.org/officeDocument/2006/docPropsVTypes"/>
</file>