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52"/>
      </w:pPr>
      <w:r>
        <w:rPr>
          <w:rFonts w:ascii="Corbel" w:cs="Corbel" w:eastAsia="Corbel" w:hAnsi="Corbel"/>
          <w:b/>
          <w:bCs/>
          <w:i w:val="false"/>
          <w:iCs w:val="false"/>
          <w:color w:val="C25438"/>
          <w:sz w:val="20"/>
          <w:szCs w:val="20"/>
        </w:rPr>
        <w:t xml:space="preserve">PROJET 08</w:t>
      </w:r>
    </w:p>
    <w:p>
      <w:pPr>
        <w:spacing w:after="20" w:before="0" w:line="252"/>
      </w:pPr>
      <w:r>
        <w:rPr>
          <w:rFonts w:ascii="Corbel" w:cs="Corbel" w:eastAsia="Corbel" w:hAnsi="Corbel"/>
          <w:b/>
          <w:bCs/>
          <w:i w:val="false"/>
          <w:iCs w:val="false"/>
          <w:color w:val="0E5A66"/>
          <w:sz w:val="32"/>
          <w:szCs w:val="32"/>
        </w:rPr>
        <w:t xml:space="preserve">Mettre les données à disposition dans un outil de data visualisation</w:t>
      </w:r>
    </w:p>
    <w:p>
      <w:pPr>
        <w:spacing w:after="20" w:before="0" w:line="252"/>
      </w:pPr>
      <w:r>
        <w:rPr>
          <w:rFonts w:ascii="Corbel" w:cs="Corbel" w:eastAsia="Corbel" w:hAnsi="Corbel"/>
          <w:b w:val="false"/>
          <w:bCs w:val="false"/>
          <w:i w:val="false"/>
          <w:iCs w:val="false"/>
          <w:color w:val="1E2A2E"/>
          <w:sz w:val="20"/>
          <w:szCs w:val="20"/>
        </w:rPr>
        <w:t xml:space="preserve">Comparer trois architectures d'alimentation de Power BI depuis une base SQLite, argumenter le choix de Power Query, puis industrialiser la chaîne jusqu'à un tableau de bord de 27 pages.</w:t>
      </w:r>
    </w:p>
    <w:p>
      <w:pPr>
        <w:pBdr>
          <w:bottom w:val="single" w:color="0E5A66" w:sz="4"/>
        </w:pBdr>
        <w:spacing w:after="160" w:before="0" w:line="252"/>
      </w:pPr>
      <w:r>
        <w:rPr>
          <w:rFonts w:ascii="Corbel" w:cs="Corbel" w:eastAsia="Corbel" w:hAnsi="Corbel"/>
          <w:b w:val="false"/>
          <w:bCs w:val="false"/>
          <w:i w:val="false"/>
          <w:iCs w:val="false"/>
          <w:color w:val="6C7B7E"/>
          <w:sz w:val="17"/>
          <w:szCs w:val="17"/>
        </w:rPr>
        <w:t xml:space="preserve">SQLite · Python (EDA) · Power Query (M) · Modélisation en étoile · DAX · Power BI · Architecture de données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640"/>
        <w:gridCol w:w="1976"/>
        <w:gridCol w:w="640"/>
        <w:gridCol w:w="1976"/>
        <w:gridCol w:w="640"/>
        <w:gridCol w:w="1976"/>
        <w:gridCol w:w="640"/>
        <w:gridCol w:w="1978"/>
      </w:tblGrid>
      <w:tr>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Période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16 avril – 24 mai 2026 (27 j ouvrables)</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Cadre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Certification Business Intelligence (RNCP)</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Secteur</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E-commerce · vins et spiritueux</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Public</w:t>
            </w:r>
          </w:p>
        </w:tc>
        <w:tc>
          <w:tcPr>
            <w:tcW w:type="dxa" w:w="1978"/>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CODIR, managers et chefs de produits</w:t>
            </w:r>
          </w:p>
        </w:tc>
      </w:tr>
      <w:tr>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Données</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4 tables SQLite · 13 mois · CA 2 441 219 €</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Solution</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Power Query · étoile · 140+ mesures DAX</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Livrables</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Rapport d'analyse · dashboard 27 pages (.pbix)</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Posture</w:t>
            </w:r>
          </w:p>
        </w:tc>
        <w:tc>
          <w:tcPr>
            <w:tcW w:type="dxa" w:w="1978"/>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Architecte de la donnée, pas seulement productrice de visuels</w:t>
            </w:r>
          </w:p>
        </w:tc>
      </w:tr>
    </w:tbl>
    <w:p>
      <w:pPr>
        <w:spacing w:after="120" w:before="0" w:line="252"/>
      </w:pP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0466"/>
      </w:tblGrid>
      <w:tr>
        <w:tc>
          <w:tcPr>
            <w:tcW w:type="dxa" w:w="10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MA VALEUR AJOUTÉE</w:t>
            </w:r>
          </w:p>
          <w:p>
            <w:pPr>
              <w:spacing w:after="0" w:before="0" w:line="252"/>
            </w:pPr>
            <w:r>
              <w:rPr>
                <w:rFonts w:ascii="Corbel" w:cs="Corbel" w:eastAsia="Corbel" w:hAnsi="Corbel"/>
                <w:b w:val="false"/>
                <w:bCs w:val="false"/>
                <w:i w:val="false"/>
                <w:iCs w:val="false"/>
                <w:color w:val="33454A"/>
                <w:sz w:val="17"/>
                <w:szCs w:val="17"/>
              </w:rPr>
              <w:t xml:space="preserve">On m'a demandé un tableau de bord ; j'ai commencé par poser la bonne question — où placer la transformation des données. J'ai qualifié la base en Python avant de toucher à Power BI, ce qui m'a donné deux choses : les anomalies à traiter, et les valeurs de référence permettant de prouver ensuite que le dashboard dit vrai. J'ai comparé les trois architectures possibles sur des critères explicites plutôt que par habitude d'outil, puis industrialisé celle qui survit à un changement de personne. Le résultat va au-delà de l'outil : neuf promotions sur dix détruisent de la marge, l'inflation fournisseur n'est pas répercutée, et 694 K€ dorment en stock pendant que des produits qui se vendent tombent en rupture.</w:t>
            </w:r>
          </w:p>
        </w:tc>
      </w:tr>
    </w:tbl>
    <w:p>
      <w:pPr>
        <w:spacing w:after="20" w:before="200" w:line="252"/>
      </w:pPr>
      <w:r>
        <w:rPr>
          <w:rFonts w:ascii="Corbel" w:cs="Corbel" w:eastAsia="Corbel" w:hAnsi="Corbel"/>
          <w:b/>
          <w:bCs/>
          <w:i w:val="false"/>
          <w:iCs w:val="false"/>
          <w:color w:val="0E5A66"/>
          <w:sz w:val="24"/>
          <w:szCs w:val="24"/>
        </w:rPr>
        <w:t xml:space="preserve">1. Synthèse exécutive</w:t>
      </w:r>
    </w:p>
    <w:p>
      <w:pPr>
        <w:spacing w:after="120" w:before="0" w:line="252"/>
      </w:pPr>
      <w:r>
        <w:rPr>
          <w:rFonts w:ascii="Corbel" w:cs="Corbel" w:eastAsia="Corbel" w:hAnsi="Corbel"/>
          <w:b w:val="false"/>
          <w:bCs w:val="false"/>
          <w:i/>
          <w:iCs/>
          <w:color w:val="6C7B7E"/>
          <w:sz w:val="17"/>
          <w:szCs w:val="17"/>
        </w:rPr>
        <w:t xml:space="preserve">Lecture recruteur / manager en moins d'une minute</w:t>
      </w:r>
    </w:p>
    <w:p>
      <w:pPr>
        <w:spacing w:after="80" w:before="0" w:line="252"/>
      </w:pPr>
      <w:r>
        <w:rPr>
          <w:rFonts w:ascii="Corbel" w:cs="Corbel" w:eastAsia="Corbel" w:hAnsi="Corbel"/>
          <w:b/>
          <w:bCs/>
          <w:i w:val="false"/>
          <w:iCs w:val="false"/>
          <w:color w:val="1E2A2E"/>
          <w:sz w:val="18"/>
          <w:szCs w:val="18"/>
        </w:rPr>
        <w:t xml:space="preserve">Question directrice — </w:t>
      </w:r>
      <w:r>
        <w:rPr>
          <w:rFonts w:ascii="Corbel" w:cs="Corbel" w:eastAsia="Corbel" w:hAnsi="Corbel"/>
          <w:b w:val="false"/>
          <w:bCs w:val="false"/>
          <w:i w:val="false"/>
          <w:iCs w:val="false"/>
          <w:color w:val="33454A"/>
          <w:sz w:val="17"/>
          <w:szCs w:val="17"/>
        </w:rPr>
        <w:t xml:space="preserve">comment transformer une base de données assainie mais inexploitée en un outil de pilotage quotidien, fiable et maintenable — sans que la solution repose sur la présence de son auteur ?</w:t>
      </w:r>
    </w:p>
    <w:p>
      <w:pPr>
        <w:spacing w:after="80" w:before="0" w:line="252"/>
      </w:pPr>
      <w:r>
        <w:rPr>
          <w:rFonts w:ascii="Corbel" w:cs="Corbel" w:eastAsia="Corbel" w:hAnsi="Corbel"/>
          <w:b/>
          <w:bCs/>
          <w:i w:val="false"/>
          <w:iCs w:val="false"/>
          <w:color w:val="1E2A2E"/>
          <w:sz w:val="18"/>
          <w:szCs w:val="18"/>
        </w:rPr>
        <w:t xml:space="preserve">4 enjeux — </w:t>
      </w:r>
      <w:r>
        <w:rPr>
          <w:rFonts w:ascii="Corbel" w:cs="Corbel" w:eastAsia="Corbel" w:hAnsi="Corbel"/>
          <w:b w:val="false"/>
          <w:bCs w:val="false"/>
          <w:i w:val="false"/>
          <w:iCs w:val="false"/>
          <w:color w:val="33454A"/>
          <w:sz w:val="17"/>
          <w:szCs w:val="17"/>
        </w:rPr>
        <w:t xml:space="preserve">fiabiliser la donnée avant toute analyse, choisir une architecture qui tienne dans la durée, rendre les indicateurs accessibles à trois publics aux besoins différents, et faire du tableau de bord un outil de décision plutôt qu'un affichage.</w:t>
      </w:r>
    </w:p>
    <w:p>
      <w:pPr>
        <w:spacing w:after="80" w:before="0" w:line="252"/>
      </w:pPr>
      <w:r>
        <w:rPr>
          <w:rFonts w:ascii="Corbel" w:cs="Corbel" w:eastAsia="Corbel" w:hAnsi="Corbel"/>
          <w:b/>
          <w:bCs/>
          <w:i w:val="false"/>
          <w:iCs w:val="false"/>
          <w:color w:val="1E2A2E"/>
          <w:sz w:val="18"/>
          <w:szCs w:val="18"/>
        </w:rPr>
        <w:t xml:space="preserve">Réponse apportée — </w:t>
      </w:r>
      <w:r>
        <w:rPr>
          <w:rFonts w:ascii="Corbel" w:cs="Corbel" w:eastAsia="Corbel" w:hAnsi="Corbel"/>
          <w:b w:val="false"/>
          <w:bCs w:val="false"/>
          <w:i w:val="false"/>
          <w:iCs w:val="false"/>
          <w:color w:val="33454A"/>
          <w:sz w:val="17"/>
          <w:szCs w:val="17"/>
        </w:rPr>
        <w:t xml:space="preserve">un arbitrage documenté entre trois architectures, tranché en faveur de Power Query, puis le pipeline complet qui en découle : 9 étapes de transformation, un modèle en étoile, plus de 140 mesures DAX validées par recoupement avec l'analyse Python, et un tableau de bord de 27 pages organisé par thématique. Le diagnostic qui en ressort est net : le chiffre d'affaires n'est pas le problème, la protection de la marge l'est.</w:t>
      </w:r>
    </w:p>
    <w:p>
      <w:pPr>
        <w:spacing w:after="20" w:before="200" w:line="252"/>
      </w:pPr>
      <w:r>
        <w:rPr>
          <w:rFonts w:ascii="Corbel" w:cs="Corbel" w:eastAsia="Corbel" w:hAnsi="Corbel"/>
          <w:b/>
          <w:bCs/>
          <w:i w:val="false"/>
          <w:iCs w:val="false"/>
          <w:color w:val="0E5A66"/>
          <w:sz w:val="24"/>
          <w:szCs w:val="24"/>
        </w:rPr>
        <w:t xml:space="preserve">2. Données : sources, qualité et limites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000"/>
        <w:gridCol w:w="8466"/>
      </w:tblGrid>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Source</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Bottleneck.db — base SQLite locale issue du chantier de refonte mené en interne par le client. Quatre tables reliées par les clés SKU et Key_Finance.</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Volumétrie</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Web 761 lignes (catalogue produits, clé primaire SKU) · Finance 11 323 (prix de vente et d'achat mensuels, clé primaire Key_Finance) · Sales 9 564 (ventes, commandes, stock de fin de mois) · Promo 698 (périodes et prix promotionnels).</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Périmètre</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Octobre 2022 à septembre 2023, soit 13 mois de données mensuelles. Chiffre d'affaires total de 2 441 219 € et taux de marge moyen de 47,75 %.</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Qualité</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Base fonctionnellement complète : elle permet de construire le chiffre d'affaires, la marge brute, la rotation des stocks et la performance promotionnelle. Cinq anomalies de forme et de fond ont été identifiées lors de l'analyse exploratoire et traitées par six règles de transformation reproduites dans Power Query.</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Limites</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Base locale, donc non accessible depuis Power BI Service sans gateway on-premise : le rafraîchissement automatique est préconisé et documenté, mais non déployé. Colonne Orders vide sur 63 % des lignes et incohérente sur le reste. 110 SKU présents dans Finance mais absents du catalogue Web, soit environ 13 % des références. Historique de 13 mois seulement, sans profondeur pluriannuelle.</w:t>
            </w:r>
          </w:p>
        </w:tc>
      </w:tr>
    </w:tbl>
    <w:p>
      <w:pPr>
        <w:spacing w:after="20" w:before="200" w:line="252"/>
      </w:pPr>
      <w:r>
        <w:rPr>
          <w:rFonts w:ascii="Corbel" w:cs="Corbel" w:eastAsia="Corbel" w:hAnsi="Corbel"/>
          <w:b/>
          <w:bCs/>
          <w:i w:val="false"/>
          <w:iCs w:val="false"/>
          <w:color w:val="0E5A66"/>
          <w:sz w:val="24"/>
          <w:szCs w:val="24"/>
        </w:rPr>
        <w:t xml:space="preserve">3. Démarche STAR</w:t>
      </w:r>
    </w:p>
    <w:p>
      <w:pPr>
        <w:spacing w:after="120" w:before="0" w:line="252"/>
      </w:pPr>
      <w:r>
        <w:rPr>
          <w:rFonts w:ascii="Corbel" w:cs="Corbel" w:eastAsia="Corbel" w:hAnsi="Corbel"/>
          <w:b w:val="false"/>
          <w:bCs w:val="false"/>
          <w:i/>
          <w:iCs/>
          <w:color w:val="6C7B7E"/>
          <w:sz w:val="17"/>
          <w:szCs w:val="17"/>
        </w:rPr>
        <w:t xml:space="preserve">Une narration orientée recruteur / client</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560"/>
        <w:gridCol w:w="9906"/>
      </w:tblGrid>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S</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SITUATION</w:t>
            </w:r>
          </w:p>
          <w:p>
            <w:pPr>
              <w:spacing w:after="0" w:before="0" w:line="252"/>
            </w:pPr>
            <w:r>
              <w:rPr>
                <w:rFonts w:ascii="Corbel" w:cs="Corbel" w:eastAsia="Corbel" w:hAnsi="Corbel"/>
                <w:b w:val="false"/>
                <w:bCs w:val="false"/>
                <w:i w:val="false"/>
                <w:iCs w:val="false"/>
                <w:color w:val="33454A"/>
                <w:sz w:val="17"/>
                <w:szCs w:val="17"/>
              </w:rPr>
              <w:t xml:space="preserve">Bottleneck Fine Wine &amp; Spirit, marchand de vins et spiritueux en ligne, sort d'un chantier de refonte de ses bases : les données sont désormais propres et réunies dans une base SQLite unique. Mais rien n'a été construit au-dessus. L'extraction reste manuelle et ponctuelle, aucun pipeline n'est formalisé, et le CODIR comme les managers n'ont accès à aucun tableau de bord. Dans un contexte de fortes hausses fournisseurs, de multiplication des promotions et de lancement d'une gamme sans alcool, l'entreprise pilote à l'aveugle.</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T</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TÂCHE</w:t>
            </w:r>
          </w:p>
          <w:p>
            <w:pPr>
              <w:spacing w:after="0" w:before="0" w:line="252"/>
            </w:pPr>
            <w:r>
              <w:rPr>
                <w:rFonts w:ascii="Corbel" w:cs="Corbel" w:eastAsia="Corbel" w:hAnsi="Corbel"/>
                <w:b w:val="false"/>
                <w:bCs w:val="false"/>
                <w:i w:val="false"/>
                <w:iCs w:val="false"/>
                <w:color w:val="33454A"/>
                <w:sz w:val="17"/>
                <w:szCs w:val="17"/>
              </w:rPr>
              <w:t xml:space="preserve">Analyser et comparer les trois solutions techniques permettant d'alimenter Power BI depuis la base SQLite — transformation dans la base en SQL, export CSV via Python, ou transformation intégrée dans Power Query — formuler une recommandation motivée sur quatre critères (fiabilité, traçabilité, automatisation, maintenabilité), définir les règles d'extraction et de normalisation, puis livrer le tableau de bord attendu par le cahier des charges : au moins trois indicateurs suivis dans le temps, une thématique par page, des filtres, une page de garde avec alertes et le suivi du retour sur investissement promotionnel.</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A</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ACTIONS</w:t>
            </w:r>
          </w:p>
          <w:p>
            <w:pPr>
              <w:spacing w:after="40" w:before="0" w:line="252"/>
            </w:pPr>
            <w:r>
              <w:rPr>
                <w:rFonts w:ascii="Corbel" w:cs="Corbel" w:eastAsia="Corbel" w:hAnsi="Corbel"/>
                <w:b w:val="false"/>
                <w:bCs w:val="false"/>
                <w:i w:val="false"/>
                <w:iCs w:val="false"/>
                <w:color w:val="33454A"/>
                <w:sz w:val="17"/>
                <w:szCs w:val="17"/>
              </w:rPr>
              <w:t xml:space="preserve">1. Explorer — analyse exploratoire en Python (sqlite3, pandas) sur les quatre tables : structure, types, valeurs manquantes, cohérence des clés de jointure.</w:t>
            </w:r>
          </w:p>
          <w:p>
            <w:pPr>
              <w:spacing w:after="40" w:before="0" w:line="252"/>
            </w:pPr>
            <w:r>
              <w:rPr>
                <w:rFonts w:ascii="Corbel" w:cs="Corbel" w:eastAsia="Corbel" w:hAnsi="Corbel"/>
                <w:b w:val="false"/>
                <w:bCs w:val="false"/>
                <w:i w:val="false"/>
                <w:iCs w:val="false"/>
                <w:color w:val="33454A"/>
                <w:sz w:val="17"/>
                <w:szCs w:val="17"/>
              </w:rPr>
              <w:t xml:space="preserve">2. Qualifier — cinq anomalies majeures identifiées, six règles de transformation formalisées, et production des valeurs de référence qui serviront à valider le dashboard.</w:t>
            </w:r>
          </w:p>
          <w:p>
            <w:pPr>
              <w:spacing w:after="40" w:before="0" w:line="252"/>
            </w:pPr>
            <w:r>
              <w:rPr>
                <w:rFonts w:ascii="Corbel" w:cs="Corbel" w:eastAsia="Corbel" w:hAnsi="Corbel"/>
                <w:b w:val="false"/>
                <w:bCs w:val="false"/>
                <w:i w:val="false"/>
                <w:iCs w:val="false"/>
                <w:color w:val="33454A"/>
                <w:sz w:val="17"/>
                <w:szCs w:val="17"/>
              </w:rPr>
              <w:t xml:space="preserve">3. Arbitrer — comparaison des trois architectures sur la fraîcheur des données, l'existence d'un fichier intermédiaire, l'automatisation, la traçabilité et la capacité de reprise par un tiers.</w:t>
            </w:r>
          </w:p>
          <w:p>
            <w:pPr>
              <w:spacing w:after="40" w:before="0" w:line="252"/>
            </w:pPr>
            <w:r>
              <w:rPr>
                <w:rFonts w:ascii="Corbel" w:cs="Corbel" w:eastAsia="Corbel" w:hAnsi="Corbel"/>
                <w:b w:val="false"/>
                <w:bCs w:val="false"/>
                <w:i w:val="false"/>
                <w:iCs w:val="false"/>
                <w:color w:val="33454A"/>
                <w:sz w:val="17"/>
                <w:szCs w:val="17"/>
              </w:rPr>
              <w:t xml:space="preserve">4. Industrialiser — pipeline Power Query en neuf étapes : connexion ODBC, typage des dates, correction des séparateurs décimaux, jointure gauche sur la table Promo, suppression des colonnes techniques.</w:t>
            </w:r>
          </w:p>
          <w:p>
            <w:pPr>
              <w:spacing w:after="40" w:before="0" w:line="252"/>
            </w:pPr>
            <w:r>
              <w:rPr>
                <w:rFonts w:ascii="Corbel" w:cs="Corbel" w:eastAsia="Corbel" w:hAnsi="Corbel"/>
                <w:b w:val="false"/>
                <w:bCs w:val="false"/>
                <w:i w:val="false"/>
                <w:iCs w:val="false"/>
                <w:color w:val="33454A"/>
                <w:sz w:val="17"/>
                <w:szCs w:val="17"/>
              </w:rPr>
              <w:t xml:space="preserve">5. Modéliser — schéma en étoile : Fact_Sales construite par union transactionnelle des ventes standard et promotionnelles, Fact_Inventory pour les états de stock, Dim_Product et Dim_Date, une table _Measures et huit tables utilitaires.</w:t>
            </w:r>
          </w:p>
          <w:p>
            <w:pPr>
              <w:spacing w:after="40" w:before="0" w:line="252"/>
            </w:pPr>
            <w:r>
              <w:rPr>
                <w:rFonts w:ascii="Corbel" w:cs="Corbel" w:eastAsia="Corbel" w:hAnsi="Corbel"/>
                <w:b w:val="false"/>
                <w:bCs w:val="false"/>
                <w:i w:val="false"/>
                <w:iCs w:val="false"/>
                <w:color w:val="33454A"/>
                <w:sz w:val="17"/>
                <w:szCs w:val="17"/>
              </w:rPr>
              <w:t xml:space="preserve">6. Calculer — plus de 140 mesures DAX couvrant le chiffre d'affaires, la marge, le retour sur investissement promotionnel, la couverture et la rotation de stock, l'exposition à l'inflation, ainsi que des mesures narratives et de mise en forme conditionnelle.</w:t>
            </w:r>
          </w:p>
          <w:p>
            <w:pPr>
              <w:spacing w:after="0" w:before="0" w:line="252"/>
            </w:pPr>
            <w:r>
              <w:rPr>
                <w:rFonts w:ascii="Corbel" w:cs="Corbel" w:eastAsia="Corbel" w:hAnsi="Corbel"/>
                <w:b w:val="false"/>
                <w:bCs w:val="false"/>
                <w:i w:val="false"/>
                <w:iCs w:val="false"/>
                <w:color w:val="33454A"/>
                <w:sz w:val="17"/>
                <w:szCs w:val="17"/>
              </w:rPr>
              <w:t xml:space="preserve">7. Restituer — tableau de bord de 27 pages organisé par thématique, avec pages de détail, pages d'action et pages de guide de lecture ; rapport d'analyse des solutions et préconisations de déploiement en production.</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R</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RÉSULTATS</w:t>
            </w:r>
          </w:p>
          <w:p>
            <w:pPr>
              <w:spacing w:after="0" w:before="0" w:line="252"/>
            </w:pPr>
            <w:r>
              <w:rPr>
                <w:rFonts w:ascii="Corbel" w:cs="Corbel" w:eastAsia="Corbel" w:hAnsi="Corbel"/>
                <w:b w:val="false"/>
                <w:bCs w:val="false"/>
                <w:i w:val="false"/>
                <w:iCs w:val="false"/>
                <w:color w:val="33454A"/>
                <w:sz w:val="17"/>
                <w:szCs w:val="17"/>
              </w:rPr>
              <w:t xml:space="preserve">Une architecture retenue et argumentée — Power Query, seule des trois à satisfaire les quatre critères simultanément — et le pipeline complet qui en découle, dont chaque mesure DAX a été validée par recoupement avec l'analyse Python. Le tableau de bord compte 27 pages couvrant la performance, les ventes, la marge, les promotions, le pricing, les stocks, le nouveau marché et la qualité des données. Les analyses révèlent un chiffre d'affaires de 2 441 219 € très saisonnier (395 K€ en décembre contre 90 K€ en janvier), un taux de marge hors promotion d'environ 48 %, un retour sur investissement promotionnel moyen de −3,25 avec 89,8 % d'opérations non rentables, environ 100 K€ de marge sacrifiée faute de répercussion de l'inflation, 68 ruptures de stock dont 59 sur des produits qui se vendaient, et 694 K€ immobilisés sur 335 références en surstock.</w:t>
            </w:r>
          </w:p>
        </w:tc>
      </w:tr>
    </w:tbl>
    <w:p>
      <w:pPr>
        <w:spacing w:after="80" w:before="0" w:line="252"/>
      </w:pPr>
    </w:p>
    <w:p>
      <w:pPr>
        <w:spacing w:after="80" w:before="160" w:line="252"/>
      </w:pPr>
      <w:r>
        <w:rPr>
          <w:rFonts w:ascii="Corbel" w:cs="Corbel" w:eastAsia="Corbel" w:hAnsi="Corbel"/>
          <w:b/>
          <w:bCs/>
          <w:i w:val="false"/>
          <w:iCs w:val="false"/>
          <w:color w:val="1E2A2E"/>
          <w:sz w:val="18"/>
          <w:szCs w:val="18"/>
        </w:rPr>
        <w:t xml:space="preserve">Pipeline de travail — </w:t>
      </w:r>
      <w:r>
        <w:rPr>
          <w:rFonts w:ascii="Corbel" w:cs="Corbel" w:eastAsia="Corbel" w:hAnsi="Corbel"/>
          <w:b w:val="false"/>
          <w:bCs w:val="false"/>
          <w:i/>
          <w:iCs/>
          <w:color w:val="6C7B7E"/>
          <w:sz w:val="17"/>
          <w:szCs w:val="17"/>
        </w:rPr>
        <w:t xml:space="preserve">de la base brute au tableau de bord industrialisé.</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495"/>
        <w:gridCol w:w="1495"/>
        <w:gridCol w:w="1495"/>
        <w:gridCol w:w="1495"/>
        <w:gridCol w:w="1495"/>
        <w:gridCol w:w="1495"/>
        <w:gridCol w:w="1496"/>
      </w:tblGrid>
      <w:tr>
        <w:tc>
          <w:tcPr>
            <w:tcW w:type="dxa" w:w="1495"/>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1</w:t>
            </w:r>
          </w:p>
          <w:p>
            <w:pPr>
              <w:spacing w:after="20" w:before="0" w:line="252"/>
            </w:pPr>
            <w:r>
              <w:rPr>
                <w:rFonts w:ascii="Corbel" w:cs="Corbel" w:eastAsia="Corbel" w:hAnsi="Corbel"/>
                <w:b/>
                <w:bCs/>
                <w:i w:val="false"/>
                <w:iCs w:val="false"/>
                <w:color w:val="C25438"/>
                <w:sz w:val="17"/>
                <w:szCs w:val="17"/>
              </w:rPr>
              <w:t xml:space="preserve">Explorer</w:t>
            </w:r>
          </w:p>
          <w:p>
            <w:pPr>
              <w:spacing w:after="0" w:before="0" w:line="252"/>
            </w:pPr>
            <w:r>
              <w:rPr>
                <w:rFonts w:ascii="Corbel" w:cs="Corbel" w:eastAsia="Corbel" w:hAnsi="Corbel"/>
                <w:b w:val="false"/>
                <w:bCs w:val="false"/>
                <w:i w:val="false"/>
                <w:iCs w:val="false"/>
                <w:color w:val="33454A"/>
                <w:sz w:val="15"/>
                <w:szCs w:val="15"/>
              </w:rPr>
              <w:t xml:space="preserve">EDA Python · 4 tables</w:t>
            </w:r>
          </w:p>
        </w:tc>
        <w:tc>
          <w:tcPr>
            <w:tcW w:type="dxa" w:w="1495"/>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2</w:t>
            </w:r>
          </w:p>
          <w:p>
            <w:pPr>
              <w:spacing w:after="20" w:before="0" w:line="252"/>
            </w:pPr>
            <w:r>
              <w:rPr>
                <w:rFonts w:ascii="Corbel" w:cs="Corbel" w:eastAsia="Corbel" w:hAnsi="Corbel"/>
                <w:b/>
                <w:bCs/>
                <w:i w:val="false"/>
                <w:iCs w:val="false"/>
                <w:color w:val="C25438"/>
                <w:sz w:val="17"/>
                <w:szCs w:val="17"/>
              </w:rPr>
              <w:t xml:space="preserve">Qualifier</w:t>
            </w:r>
          </w:p>
          <w:p>
            <w:pPr>
              <w:spacing w:after="0" w:before="0" w:line="252"/>
            </w:pPr>
            <w:r>
              <w:rPr>
                <w:rFonts w:ascii="Corbel" w:cs="Corbel" w:eastAsia="Corbel" w:hAnsi="Corbel"/>
                <w:b w:val="false"/>
                <w:bCs w:val="false"/>
                <w:i w:val="false"/>
                <w:iCs w:val="false"/>
                <w:color w:val="33454A"/>
                <w:sz w:val="15"/>
                <w:szCs w:val="15"/>
              </w:rPr>
              <w:t xml:space="preserve">5 anomalies · 6 règles</w:t>
            </w:r>
          </w:p>
        </w:tc>
        <w:tc>
          <w:tcPr>
            <w:tcW w:type="dxa" w:w="1495"/>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3</w:t>
            </w:r>
          </w:p>
          <w:p>
            <w:pPr>
              <w:spacing w:after="20" w:before="0" w:line="252"/>
            </w:pPr>
            <w:r>
              <w:rPr>
                <w:rFonts w:ascii="Corbel" w:cs="Corbel" w:eastAsia="Corbel" w:hAnsi="Corbel"/>
                <w:b/>
                <w:bCs/>
                <w:i w:val="false"/>
                <w:iCs w:val="false"/>
                <w:color w:val="C25438"/>
                <w:sz w:val="17"/>
                <w:szCs w:val="17"/>
              </w:rPr>
              <w:t xml:space="preserve">Arbitrer</w:t>
            </w:r>
          </w:p>
          <w:p>
            <w:pPr>
              <w:spacing w:after="0" w:before="0" w:line="252"/>
            </w:pPr>
            <w:r>
              <w:rPr>
                <w:rFonts w:ascii="Corbel" w:cs="Corbel" w:eastAsia="Corbel" w:hAnsi="Corbel"/>
                <w:b w:val="false"/>
                <w:bCs w:val="false"/>
                <w:i w:val="false"/>
                <w:iCs w:val="false"/>
                <w:color w:val="33454A"/>
                <w:sz w:val="15"/>
                <w:szCs w:val="15"/>
              </w:rPr>
              <w:t xml:space="preserve">3 architectures · 4 critères</w:t>
            </w:r>
          </w:p>
        </w:tc>
        <w:tc>
          <w:tcPr>
            <w:tcW w:type="dxa" w:w="1495"/>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4</w:t>
            </w:r>
          </w:p>
          <w:p>
            <w:pPr>
              <w:spacing w:after="20" w:before="0" w:line="252"/>
            </w:pPr>
            <w:r>
              <w:rPr>
                <w:rFonts w:ascii="Corbel" w:cs="Corbel" w:eastAsia="Corbel" w:hAnsi="Corbel"/>
                <w:b/>
                <w:bCs/>
                <w:i w:val="false"/>
                <w:iCs w:val="false"/>
                <w:color w:val="C25438"/>
                <w:sz w:val="17"/>
                <w:szCs w:val="17"/>
              </w:rPr>
              <w:t xml:space="preserve">Industrialiser</w:t>
            </w:r>
          </w:p>
          <w:p>
            <w:pPr>
              <w:spacing w:after="0" w:before="0" w:line="252"/>
            </w:pPr>
            <w:r>
              <w:rPr>
                <w:rFonts w:ascii="Corbel" w:cs="Corbel" w:eastAsia="Corbel" w:hAnsi="Corbel"/>
                <w:b w:val="false"/>
                <w:bCs w:val="false"/>
                <w:i w:val="false"/>
                <w:iCs w:val="false"/>
                <w:color w:val="33454A"/>
                <w:sz w:val="15"/>
                <w:szCs w:val="15"/>
              </w:rPr>
              <w:t xml:space="preserve">9 étapes Power Query</w:t>
            </w:r>
          </w:p>
        </w:tc>
        <w:tc>
          <w:tcPr>
            <w:tcW w:type="dxa" w:w="1495"/>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5</w:t>
            </w:r>
          </w:p>
          <w:p>
            <w:pPr>
              <w:spacing w:after="20" w:before="0" w:line="252"/>
            </w:pPr>
            <w:r>
              <w:rPr>
                <w:rFonts w:ascii="Corbel" w:cs="Corbel" w:eastAsia="Corbel" w:hAnsi="Corbel"/>
                <w:b/>
                <w:bCs/>
                <w:i w:val="false"/>
                <w:iCs w:val="false"/>
                <w:color w:val="C25438"/>
                <w:sz w:val="17"/>
                <w:szCs w:val="17"/>
              </w:rPr>
              <w:t xml:space="preserve">Modéliser</w:t>
            </w:r>
          </w:p>
          <w:p>
            <w:pPr>
              <w:spacing w:after="0" w:before="0" w:line="252"/>
            </w:pPr>
            <w:r>
              <w:rPr>
                <w:rFonts w:ascii="Corbel" w:cs="Corbel" w:eastAsia="Corbel" w:hAnsi="Corbel"/>
                <w:b w:val="false"/>
                <w:bCs w:val="false"/>
                <w:i w:val="false"/>
                <w:iCs w:val="false"/>
                <w:color w:val="33454A"/>
                <w:sz w:val="15"/>
                <w:szCs w:val="15"/>
              </w:rPr>
              <w:t xml:space="preserve">étoile · 2 faits</w:t>
            </w:r>
          </w:p>
        </w:tc>
        <w:tc>
          <w:tcPr>
            <w:tcW w:type="dxa" w:w="1495"/>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6</w:t>
            </w:r>
          </w:p>
          <w:p>
            <w:pPr>
              <w:spacing w:after="20" w:before="0" w:line="252"/>
            </w:pPr>
            <w:r>
              <w:rPr>
                <w:rFonts w:ascii="Corbel" w:cs="Corbel" w:eastAsia="Corbel" w:hAnsi="Corbel"/>
                <w:b/>
                <w:bCs/>
                <w:i w:val="false"/>
                <w:iCs w:val="false"/>
                <w:color w:val="C25438"/>
                <w:sz w:val="17"/>
                <w:szCs w:val="17"/>
              </w:rPr>
              <w:t xml:space="preserve">Calculer</w:t>
            </w:r>
          </w:p>
          <w:p>
            <w:pPr>
              <w:spacing w:after="0" w:before="0" w:line="252"/>
            </w:pPr>
            <w:r>
              <w:rPr>
                <w:rFonts w:ascii="Corbel" w:cs="Corbel" w:eastAsia="Corbel" w:hAnsi="Corbel"/>
                <w:b w:val="false"/>
                <w:bCs w:val="false"/>
                <w:i w:val="false"/>
                <w:iCs w:val="false"/>
                <w:color w:val="33454A"/>
                <w:sz w:val="15"/>
                <w:szCs w:val="15"/>
              </w:rPr>
              <w:t xml:space="preserve">140+ mesures DAX</w:t>
            </w:r>
          </w:p>
        </w:tc>
        <w:tc>
          <w:tcPr>
            <w:tcW w:type="dxa" w:w="149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7</w:t>
            </w:r>
          </w:p>
          <w:p>
            <w:pPr>
              <w:spacing w:after="20" w:before="0" w:line="252"/>
            </w:pPr>
            <w:r>
              <w:rPr>
                <w:rFonts w:ascii="Corbel" w:cs="Corbel" w:eastAsia="Corbel" w:hAnsi="Corbel"/>
                <w:b/>
                <w:bCs/>
                <w:i w:val="false"/>
                <w:iCs w:val="false"/>
                <w:color w:val="C25438"/>
                <w:sz w:val="17"/>
                <w:szCs w:val="17"/>
              </w:rPr>
              <w:t xml:space="preserve">Restituer</w:t>
            </w:r>
          </w:p>
          <w:p>
            <w:pPr>
              <w:spacing w:after="0" w:before="0" w:line="252"/>
            </w:pPr>
            <w:r>
              <w:rPr>
                <w:rFonts w:ascii="Corbel" w:cs="Corbel" w:eastAsia="Corbel" w:hAnsi="Corbel"/>
                <w:b w:val="false"/>
                <w:bCs w:val="false"/>
                <w:i w:val="false"/>
                <w:iCs w:val="false"/>
                <w:color w:val="33454A"/>
                <w:sz w:val="15"/>
                <w:szCs w:val="15"/>
              </w:rPr>
              <w:t xml:space="preserve">27 pages · alertes</w:t>
            </w:r>
          </w:p>
        </w:tc>
      </w:tr>
    </w:tbl>
    <w:p>
      <w:pPr>
        <w:spacing w:after="20" w:before="200" w:line="252"/>
      </w:pPr>
      <w:r>
        <w:rPr>
          <w:rFonts w:ascii="Corbel" w:cs="Corbel" w:eastAsia="Corbel" w:hAnsi="Corbel"/>
          <w:b/>
          <w:bCs/>
          <w:i w:val="false"/>
          <w:iCs w:val="false"/>
          <w:color w:val="0E5A66"/>
          <w:sz w:val="24"/>
          <w:szCs w:val="24"/>
        </w:rPr>
        <w:t xml:space="preserve">4. L'arbitrage d'architecture</w:t>
      </w:r>
    </w:p>
    <w:p>
      <w:pPr>
        <w:spacing w:after="120" w:before="0" w:line="252"/>
      </w:pPr>
      <w:r>
        <w:rPr>
          <w:rFonts w:ascii="Corbel" w:cs="Corbel" w:eastAsia="Corbel" w:hAnsi="Corbel"/>
          <w:b w:val="false"/>
          <w:bCs w:val="false"/>
          <w:i w:val="false"/>
          <w:iCs w:val="false"/>
          <w:color w:val="33454A"/>
          <w:sz w:val="17"/>
          <w:szCs w:val="17"/>
        </w:rPr>
        <w:t xml:space="preserve">Les trois solutions ne se distinguent pas par leur outil mais par le lieu où la transformation des données est réalisée : dans la base, en dehors de Power BI, ou dans Power BI. Ce choix conditionne directement la fiabilité, la traçabilité, l'automatisation et la maintenabilité de l'ensemble.</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900"/>
        <w:gridCol w:w="2850"/>
        <w:gridCol w:w="2850"/>
        <w:gridCol w:w="2866"/>
      </w:tblGrid>
      <w:tr>
        <w:tc>
          <w:tcPr>
            <w:tcW w:type="dxa" w:w="1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Critère</w:t>
            </w:r>
          </w:p>
        </w:tc>
        <w:tc>
          <w:tcPr>
            <w:tcW w:type="dxa" w:w="285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1. SQL dans la base</w:t>
            </w:r>
          </w:p>
        </w:tc>
        <w:tc>
          <w:tcPr>
            <w:tcW w:type="dxa" w:w="285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2. Export CSV via Python</w:t>
            </w:r>
          </w:p>
        </w:tc>
        <w:tc>
          <w:tcPr>
            <w:tcW w:type="dxa" w:w="28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3. Power Query — retenue</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Principe d'accès</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Connexion ODBC directe : Power BI lit des données transformées en SQL</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Indirect : un script sqlite3 + pandas interroge la base et exporte un fichier</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Connexion ODBC directe, transformation dans Power BI</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Fraîcheur des données</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Temps réel</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Statique — figée au moment de l'export</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Planifiée — rafraîchissement automatique</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Fichier intermédiaire</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Non</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Oui (CSV)</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Non</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Automatisation</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Partielle — dépend de la base et de la gateway</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Faible — script externe ou tâche planifiée requise</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Élevée — rafraîchissement planifié Power BI Service</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Traçabilité</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Dispersée dans des requêtes peu lisibles</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Dans du code externe, hors de portée des métiers</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Chaque étape est nommée et visible dans le pipeline</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Maintenabilité par un tiers</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Faible — suppose une expertise SQL et un accès à la base</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Faible — suppose de reprendre du code externe</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Élevée — interface structurée et étapes documentées</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Décision</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Écartée — technique mais peu lisible et difficile à maintenir</w:t>
            </w:r>
          </w:p>
        </w:tc>
        <w:tc>
          <w:tcPr>
            <w:tcW w:type="dxa" w:w="28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Écartée — puissante mais non industrialisable</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Retenue — pipeline unifié, fiable, automatisable et durable</w:t>
            </w:r>
          </w:p>
        </w:tc>
      </w:tr>
    </w:tbl>
    <w:p>
      <w:pPr>
        <w:spacing w:after="60" w:before="0" w:line="252"/>
      </w:pPr>
    </w:p>
    <w:p>
      <w:pPr>
        <w:spacing w:after="60" w:before="0" w:line="252"/>
      </w:pPr>
      <w:r>
        <w:rPr>
          <w:rFonts w:ascii="Corbel" w:cs="Corbel" w:eastAsia="Corbel" w:hAnsi="Corbel"/>
          <w:b w:val="false"/>
          <w:bCs w:val="false"/>
          <w:i w:val="false"/>
          <w:iCs w:val="false"/>
          <w:color w:val="33454A"/>
          <w:sz w:val="17"/>
          <w:szCs w:val="17"/>
        </w:rPr>
        <w:t xml:space="preserve">Python n'est pas écarté pour autant : il reste l'outil d'exploration et de qualification en amont du pipeline, et produit les visualisations statistiques que Power BI ne sait pas générer nativement (heatmaps, boxplots, courbes de densité, régressions). La logique retenue est donc une répartition des rôles : Python pour comprendre et valider, Power Query pour structurer et industrialiser, Power BI pour restituer et piloter.</w:t>
      </w:r>
    </w:p>
    <w:p>
      <w:pPr>
        <w:spacing w:after="20" w:before="200" w:line="252"/>
      </w:pPr>
      <w:r>
        <w:rPr>
          <w:rFonts w:ascii="Corbel" w:cs="Corbel" w:eastAsia="Corbel" w:hAnsi="Corbel"/>
          <w:b/>
          <w:bCs/>
          <w:i w:val="false"/>
          <w:iCs w:val="false"/>
          <w:color w:val="0E5A66"/>
          <w:sz w:val="24"/>
          <w:szCs w:val="24"/>
        </w:rPr>
        <w:t xml:space="preserve">5. Les anomalies traitées et les règles retenues</w:t>
      </w:r>
    </w:p>
    <w:p>
      <w:pPr>
        <w:spacing w:after="120" w:before="0" w:line="252"/>
      </w:pPr>
      <w:r>
        <w:rPr>
          <w:rFonts w:ascii="Corbel" w:cs="Corbel" w:eastAsia="Corbel" w:hAnsi="Corbel"/>
          <w:b w:val="false"/>
          <w:bCs w:val="false"/>
          <w:i/>
          <w:iCs/>
          <w:color w:val="6C7B7E"/>
          <w:sz w:val="17"/>
          <w:szCs w:val="17"/>
        </w:rPr>
        <w:t xml:space="preserve">L'analyse exploratoire comme prérequis, pas comme exercice de style</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000"/>
        <w:gridCol w:w="4000"/>
        <w:gridCol w:w="4466"/>
      </w:tblGrid>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Anomalie</w:t>
            </w:r>
          </w:p>
        </w:tc>
        <w:tc>
          <w:tcPr>
            <w:tcW w:type="dxa" w:w="4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Constat</w:t>
            </w:r>
          </w:p>
        </w:tc>
        <w:tc>
          <w:tcPr>
            <w:tcW w:type="dxa" w:w="4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Règle appliquée dans Power Query</w:t>
            </w:r>
          </w:p>
        </w:tc>
      </w:tr>
      <w:tr>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Prix stockés en texte</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Price et Purchase_Price contiennent des valeurs à séparateur virgule, interprétées comme du texte</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Conversion en décimal avec correction du séparateur — sans quoi aucun calcul de chiffre d'affaires ni de marge n'est possible</w:t>
            </w:r>
          </w:p>
        </w:tc>
      </w:tr>
      <w:tr>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Dates non typées</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Date, Start_Date et End_Date sont stockées en texte</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Conversion en type Date puis rattachement à Dim_Date, condition de toute analyse temporelle</w:t>
            </w:r>
          </w:p>
        </w:tc>
      </w:tr>
      <w:tr>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Colonne Orders non fiable</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Vide sur 63 % des lignes ; 5 982 lignes présentent des ventes sans aucune commande associée</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Colonne exclue des analyses : le volume est mesuré uniquement via Sales, plutôt que d'afficher un indicateur faux</w:t>
            </w:r>
          </w:p>
        </w:tc>
      </w:tr>
      <w:tr>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Table Promo partielle</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698 entrées seulement, correspondant aux seuls produits ayant été en promotion</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Jointure gauche obligatoire avec Finance : une jointure interne aurait fait disparaître la majorité du catalogue</w:t>
            </w:r>
          </w:p>
        </w:tc>
      </w:tr>
      <w:tr>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Colonnes techniques WordPress</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Sept colonnes sans valeur analytique dans la table Web</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Suppression pour alléger le modèle et le rendre lisible par les utilisateurs métier</w:t>
            </w:r>
          </w:p>
        </w:tc>
      </w:tr>
      <w:tr>
        <w:tc>
          <w:tcPr>
            <w:tcW w:type="dxa" w:w="2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SKU orphelins</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110 SKU présents dans Finance mais absents de Web, soit environ 13 % du catalogue</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Conservés avec leurs données économiques et signalés dans une page dédiée à la qualité des données</w:t>
            </w:r>
          </w:p>
        </w:tc>
      </w:tr>
    </w:tbl>
    <w:p>
      <w:pPr>
        <w:spacing w:after="60" w:before="0" w:line="252"/>
      </w:pPr>
    </w:p>
    <w:p>
      <w:pPr>
        <w:spacing w:after="60" w:before="0" w:line="252"/>
      </w:pPr>
      <w:r>
        <w:rPr>
          <w:rFonts w:ascii="Corbel" w:cs="Corbel" w:eastAsia="Corbel" w:hAnsi="Corbel"/>
          <w:b w:val="false"/>
          <w:bCs w:val="false"/>
          <w:i w:val="false"/>
          <w:iCs w:val="false"/>
          <w:color w:val="33454A"/>
          <w:sz w:val="17"/>
          <w:szCs w:val="17"/>
        </w:rPr>
        <w:t xml:space="preserve">L'analyse exploratoire produit également les valeurs de référence qui serviront de recette au dashboard : chiffre d'affaires total de 2 441 219 €, taux de marge moyen de 47,75 %, hausse des prix d'achat de 7,6 % depuis février 2023, retour sur investissement promotionnel moyen de −3,25 et 68 ruptures de stock dont 59 avec ventes. Le modèle Power BI n'est réputé correct que lorsqu'il reproduit ces chiffres.</w:t>
      </w:r>
    </w:p>
    <w:p>
      <w:pPr>
        <w:spacing w:after="20" w:before="200" w:line="252"/>
      </w:pPr>
      <w:r>
        <w:rPr>
          <w:rFonts w:ascii="Corbel" w:cs="Corbel" w:eastAsia="Corbel" w:hAnsi="Corbel"/>
          <w:b/>
          <w:bCs/>
          <w:i w:val="false"/>
          <w:iCs w:val="false"/>
          <w:color w:val="0E5A66"/>
          <w:sz w:val="24"/>
          <w:szCs w:val="24"/>
        </w:rPr>
        <w:t xml:space="preserve">6. Le modèle de données</w:t>
      </w:r>
    </w:p>
    <w:p>
      <w:pPr>
        <w:spacing w:after="120" w:before="0" w:line="252"/>
      </w:pPr>
      <w:r>
        <w:rPr>
          <w:rFonts w:ascii="Corbel" w:cs="Corbel" w:eastAsia="Corbel" w:hAnsi="Corbel"/>
          <w:b w:val="false"/>
          <w:bCs w:val="false"/>
          <w:i w:val="false"/>
          <w:iCs w:val="false"/>
          <w:color w:val="33454A"/>
          <w:sz w:val="17"/>
          <w:szCs w:val="17"/>
        </w:rPr>
        <w:t xml:space="preserve">Un schéma en étoile à deux tables de faits. Les ventes sont un flux, le stock est un état : les mélanger fausserait toute agrégation. Les tables utilitaires alimentent les pages de pilotage, de qualité et de guide de lecture sans participer aux calculs de performance.</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400"/>
        <w:gridCol w:w="2900"/>
        <w:gridCol w:w="2300"/>
        <w:gridCol w:w="2866"/>
      </w:tblGrid>
      <w:tr>
        <w:tc>
          <w:tcPr>
            <w:tcW w:type="dxa" w:w="2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Table</w:t>
            </w:r>
          </w:p>
        </w:tc>
        <w:tc>
          <w:tcPr>
            <w:tcW w:type="dxa" w:w="2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Rôle</w:t>
            </w:r>
          </w:p>
        </w:tc>
        <w:tc>
          <w:tcPr>
            <w:tcW w:type="dxa" w:w="23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Clé</w:t>
            </w:r>
          </w:p>
        </w:tc>
        <w:tc>
          <w:tcPr>
            <w:tcW w:type="dxa" w:w="28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Origine et commentaire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Fact_Sales</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Faits — ventes</w:t>
            </w:r>
          </w:p>
        </w:tc>
        <w:tc>
          <w:tcPr>
            <w:tcW w:type="dxa" w:w="2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Key_Finance · SKU · Month_End</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Union transactionnelle des ventes standard (Finance + Sales) et promotionnelles (Promo) : un attribut Sales_Type rend la comparaison promo / hors promo native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Fact_Inventory</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Faits — stock</w:t>
            </w:r>
          </w:p>
        </w:tc>
        <w:tc>
          <w:tcPr>
            <w:tcW w:type="dxa" w:w="2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SKU · Month_End</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Stock au dernier jour du mois, issu de la table Sales : séparé des ventes car la maille est un état, pas un flux</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Dim_Product</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Dimension produit</w:t>
            </w:r>
          </w:p>
        </w:tc>
        <w:tc>
          <w:tcPr>
            <w:tcW w:type="dxa" w:w="2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SKU</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Table Web nettoyée : segment, type de produit, contenance, description, tranche de prix</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Dim_Date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Dimension calendrier</w:t>
            </w:r>
          </w:p>
        </w:tc>
        <w:tc>
          <w:tcPr>
            <w:tcW w:type="dxa" w:w="2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Month_End</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Table de dates créée de toutes pièces : permet les comparaisons M-1 et N-1 sur 13 mois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_Measures</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Table de mesures</w:t>
            </w:r>
          </w:p>
        </w:tc>
        <w:tc>
          <w:tcPr>
            <w:tcW w:type="dxa" w:w="2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Plus de 140 mesures DAX regroupées en dossiers thématiques : chiffre d'affaires, marge, promotions, pricing, stocks, qualité, mise en forme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Tab_Alertes · Tab_Décisions</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Utilitaires — pilotage</w:t>
            </w:r>
          </w:p>
        </w:tc>
        <w:tc>
          <w:tcPr>
            <w:tcW w:type="dxa" w:w="2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Alimentent la page de garde et la page de recommandations : alertes priorisées et décisions actionnables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Ref_Completude · Registre_Anomalies</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Utilitaires — qualité</w:t>
            </w:r>
          </w:p>
        </w:tc>
        <w:tc>
          <w:tcPr>
            <w:tcW w:type="dxa" w:w="2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Alimentent la page Qualité Data : taux de complétude par champ et inventaire des anomalies avec leur statut</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Vue · Waterfall Marge · Guide_Lecture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Utilitaires — navigation &amp; pédagogie</w:t>
            </w:r>
          </w:p>
        </w:tc>
        <w:tc>
          <w:tcPr>
            <w:tcW w:type="dxa" w:w="2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w:t>
            </w:r>
          </w:p>
        </w:tc>
        <w:tc>
          <w:tcPr>
            <w:tcW w:type="dxa" w:w="28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Pilotent les bascules de vue, la décomposition de marge en cascade et les pages de guide de lecture</w:t>
            </w:r>
          </w:p>
        </w:tc>
      </w:tr>
    </w:tbl>
    <w:p>
      <w:pPr>
        <w:spacing w:after="20" w:before="200" w:line="252"/>
      </w:pPr>
      <w:r>
        <w:rPr>
          <w:rFonts w:ascii="Corbel" w:cs="Corbel" w:eastAsia="Corbel" w:hAnsi="Corbel"/>
          <w:b/>
          <w:bCs/>
          <w:i w:val="false"/>
          <w:iCs w:val="false"/>
          <w:color w:val="0E5A66"/>
          <w:sz w:val="24"/>
          <w:szCs w:val="24"/>
        </w:rPr>
        <w:t xml:space="preserve">7. Le tableau de bord livré</w:t>
      </w:r>
    </w:p>
    <w:p>
      <w:pPr>
        <w:spacing w:after="120" w:before="0" w:line="252"/>
      </w:pPr>
      <w:r>
        <w:rPr>
          <w:rFonts w:ascii="Corbel" w:cs="Corbel" w:eastAsia="Corbel" w:hAnsi="Corbel"/>
          <w:b w:val="false"/>
          <w:bCs w:val="false"/>
          <w:i/>
          <w:iCs/>
          <w:color w:val="6C7B7E"/>
          <w:sz w:val="17"/>
          <w:szCs w:val="17"/>
        </w:rPr>
        <w:t xml:space="preserve">Une thématique par page, comme demandé par le cahier des charges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600"/>
        <w:gridCol w:w="4300"/>
        <w:gridCol w:w="3566"/>
      </w:tblGrid>
      <w:tr>
        <w:tc>
          <w:tcPr>
            <w:tcW w:type="dxa" w:w="2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Page</w:t>
            </w:r>
          </w:p>
        </w:tc>
        <w:tc>
          <w:tcPr>
            <w:tcW w:type="dxa" w:w="43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Objectif</w:t>
            </w:r>
          </w:p>
        </w:tc>
        <w:tc>
          <w:tcPr>
            <w:tcW w:type="dxa" w:w="35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Visuels clés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P1 — Executive</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Donner au comité de direction une lecture immédiate de la performance et des dérives</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Combo chiffre d'affaires et taux de marge hors promo · cartes d'indicateurs · table d'alertes priorisées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P2 — Performance globale</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Décomposer la marge et repérer où la valeur se crée ou se détruit</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Cascade de décomposition de marge · marge par segment et type de vente · table de décisions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Détail performance</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Descendre à la référence : quels produits protéger, lesquels corriger</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Top 20 créateurs de valeur · top 20 sous cible de marge · nuage de points marge × chiffre d'affaires à quatre quadrants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P3 — Ventes</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Suivre la saisonnalité et identifier moteurs et points de pression</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Évolution mensuelle · top 5 moteurs · top 5 sous pression · tableau croisé segment × mois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P4 — Marge</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Isoler la marge structurelle de l'effet commercial</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Taux de marge brut contre net promo · cascade de marge hors promotion</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P5 — Promotions</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Mesurer le retour sur investissement et cadrer les remises futures</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Impact des promotions sur la marge · perte par segment · dépendance au chiffre d'affaires promo · grille de remises · promotions à réévaluer</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P6 — Pricing &amp; Inflation</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Mesurer la répercussion des hausses fournisseurs et prioriser les corrections</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Répercussion sur prix et marge · sensibilité par segment · nuage de priorisation · liste des produits à actionner</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P7 — Stocks &amp; Ruptures</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Arbitrer entre capital immobilisé et risque de rupture</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Couverture par segment · équilibre rupture / critique / normal / surstock · références à réapprovisionner · références en surstock</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P8 — Nouveau marché</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Évaluer le potentiel de la gamme sans alcool</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Évolution du chiffre d'affaires · taux de marge et prix moyen par segment · sensibilité à l'inflation · top 5 produits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P9 — Recommandations</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Consolider les constats en décisions actionnables</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Synthèse des recommandations par axe et par horizon</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P10 — Qualité Data</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Rendre visibles les limites de la donnée plutôt que de les masquer</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Taux de complétude par champ · registre des anomalies avec priorité et statut de correction</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Pages « Analyse_ » (8 pages)</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Expliquer comment lire chaque page et quelle question métier elle traite</w:t>
            </w:r>
          </w:p>
        </w:tc>
        <w:tc>
          <w:tcPr>
            <w:tcW w:type="dxa" w:w="3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Question business · ce que montre le visuel · lecture recommandée</w:t>
            </w:r>
          </w:p>
        </w:tc>
      </w:tr>
    </w:tbl>
    <w:p>
      <w:pPr>
        <w:spacing w:after="20" w:before="200" w:line="252"/>
      </w:pPr>
      <w:r>
        <w:rPr>
          <w:rFonts w:ascii="Corbel" w:cs="Corbel" w:eastAsia="Corbel" w:hAnsi="Corbel"/>
          <w:b/>
          <w:bCs/>
          <w:i w:val="false"/>
          <w:iCs w:val="false"/>
          <w:color w:val="0E5A66"/>
          <w:sz w:val="24"/>
          <w:szCs w:val="24"/>
        </w:rPr>
        <w:t xml:space="preserve">8. Résultats, impact et recommandations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3489"/>
        <w:gridCol w:w="3489"/>
        <w:gridCol w:w="3488"/>
      </w:tblGrid>
      <w:tr>
        <w:tc>
          <w:tcPr>
            <w:tcW w:type="dxa" w:w="3489"/>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89,8 %</w:t>
            </w:r>
          </w:p>
          <w:p>
            <w:pPr>
              <w:spacing w:after="0" w:before="0" w:line="252"/>
              <w:jc w:val="center"/>
            </w:pPr>
            <w:r>
              <w:rPr>
                <w:rFonts w:ascii="Corbel" w:cs="Corbel" w:eastAsia="Corbel" w:hAnsi="Corbel"/>
                <w:b w:val="false"/>
                <w:bCs w:val="false"/>
                <w:i w:val="false"/>
                <w:iCs w:val="false"/>
                <w:color w:val="6C7B7E"/>
                <w:sz w:val="16"/>
                <w:szCs w:val="16"/>
              </w:rPr>
              <w:t xml:space="preserve">des promotions ne sont pas rentables (ROI moyen −3,25)</w:t>
            </w:r>
          </w:p>
        </w:tc>
        <w:tc>
          <w:tcPr>
            <w:tcW w:type="dxa" w:w="3489"/>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 100 K€</w:t>
            </w:r>
          </w:p>
          <w:p>
            <w:pPr>
              <w:spacing w:after="0" w:before="0" w:line="252"/>
              <w:jc w:val="center"/>
            </w:pPr>
            <w:r>
              <w:rPr>
                <w:rFonts w:ascii="Corbel" w:cs="Corbel" w:eastAsia="Corbel" w:hAnsi="Corbel"/>
                <w:b w:val="false"/>
                <w:bCs w:val="false"/>
                <w:i w:val="false"/>
                <w:iCs w:val="false"/>
                <w:color w:val="6C7B7E"/>
                <w:sz w:val="16"/>
                <w:szCs w:val="16"/>
              </w:rPr>
              <w:t xml:space="preserve">de marge sacrifiée faute de répercussion de l'inflation</w:t>
            </w:r>
          </w:p>
        </w:tc>
        <w:tc>
          <w:tcPr>
            <w:tcW w:type="dxa" w:w="3488"/>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694 K€</w:t>
            </w:r>
          </w:p>
          <w:p>
            <w:pPr>
              <w:spacing w:after="0" w:before="0" w:line="252"/>
              <w:jc w:val="center"/>
            </w:pPr>
            <w:r>
              <w:rPr>
                <w:rFonts w:ascii="Corbel" w:cs="Corbel" w:eastAsia="Corbel" w:hAnsi="Corbel"/>
                <w:b w:val="false"/>
                <w:bCs w:val="false"/>
                <w:i w:val="false"/>
                <w:iCs w:val="false"/>
                <w:color w:val="6C7B7E"/>
                <w:sz w:val="16"/>
                <w:szCs w:val="16"/>
              </w:rPr>
              <w:t xml:space="preserve">immobilisés sur 335 références en surstock</w:t>
            </w:r>
          </w:p>
        </w:tc>
      </w:tr>
    </w:tbl>
    <w:p>
      <w:pPr>
        <w:spacing w:after="100" w:before="0" w:line="252"/>
      </w:pP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400"/>
        <w:gridCol w:w="5100"/>
        <w:gridCol w:w="2966"/>
      </w:tblGrid>
      <w:tr>
        <w:tc>
          <w:tcPr>
            <w:tcW w:type="dxa" w:w="2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Constat</w:t>
            </w:r>
          </w:p>
        </w:tc>
        <w:tc>
          <w:tcPr>
            <w:tcW w:type="dxa" w:w="51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Lecture métier</w:t>
            </w:r>
          </w:p>
        </w:tc>
        <w:tc>
          <w:tcPr>
            <w:tcW w:type="dxa" w:w="29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Page du rapport</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Un chiffre d'affaires très saisonnier</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2 441 219 € sur 13 mois, avec un pic de 395 K€ en décembre 2022 contre 90 K€ en janvier 2023. Le stock et les opérations commerciales doivent être calés sur ce rythme, pas sur une moyenne annuelle.</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Executive · Ventes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La promotion détruit de la valeur</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Neuf opérations sur dix affichent un retour sur investissement négatif. Les spiritueux sont les plus pénalisés : −43,7 % de marge par rapport aux ventes standard, pour 20,9 % du chiffre d'affaires du segment réalisé sous promotion.</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Promotions · Marge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L'inflation n'est pas répercutée</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Les hausses fournisseurs constatées à partir de février 2023 (+7,6 % sur les prix d'achat) ne sont que partiellement reportées sur les prix de vente : environ 100 K€ de marge sacrifiée sur la période.</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Pricing &amp; Inflation</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Du stock qui dort et du stock qui manque</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335 références en surstock immobilisent 694 K€ pendant que 68 ruptures se produisent, dont 59 sur des produits qui enregistraient des ventes. Le problème n'est pas le volume de stock mais son allocation.</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Stocks &amp; Ruptures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Le sans-alcool est un relais crédible</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 nouveau segment affiche le meilleur taux de marge du catalogue (55,3 %, devant le vin à 48 %) et la plus faible exposition aux hausses fournisseurs (1,3 %).</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Nouveau marché</w:t>
            </w:r>
          </w:p>
        </w:tc>
      </w:tr>
    </w:tbl>
    <w:p>
      <w:pPr>
        <w:spacing w:after="80" w:before="0" w:line="252"/>
      </w:pPr>
    </w:p>
    <w:p>
      <w:pPr>
        <w:spacing w:after="100" w:before="160" w:line="252"/>
      </w:pPr>
      <w:r>
        <w:rPr>
          <w:rFonts w:ascii="Corbel" w:cs="Corbel" w:eastAsia="Corbel" w:hAnsi="Corbel"/>
          <w:b/>
          <w:bCs/>
          <w:i w:val="false"/>
          <w:iCs w:val="false"/>
          <w:color w:val="1E2A2E"/>
          <w:sz w:val="18"/>
          <w:szCs w:val="18"/>
        </w:rPr>
        <w:t xml:space="preserve">Axe stratégique — </w:t>
      </w:r>
      <w:r>
        <w:rPr>
          <w:rFonts w:ascii="Corbel" w:cs="Corbel" w:eastAsia="Corbel" w:hAnsi="Corbel"/>
          <w:b w:val="false"/>
          <w:bCs w:val="false"/>
          <w:i w:val="false"/>
          <w:iCs w:val="false"/>
          <w:color w:val="33454A"/>
          <w:sz w:val="17"/>
          <w:szCs w:val="17"/>
        </w:rPr>
        <w:t xml:space="preserve">protéger la marge sur ses deux fronts et remettre le capital en mouvement, en six chantiers de l'immédiat au structurel.</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400"/>
        <w:gridCol w:w="1700"/>
        <w:gridCol w:w="6366"/>
      </w:tblGrid>
      <w:tr>
        <w:tc>
          <w:tcPr>
            <w:tcW w:type="dxa" w:w="2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Chantier</w:t>
            </w:r>
          </w:p>
        </w:tc>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Horizon</w:t>
            </w:r>
          </w:p>
        </w:tc>
        <w:tc>
          <w:tcPr>
            <w:tcW w:type="dxa" w:w="63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Actions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Reprendre la main sur la promotion</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Immédiat</w:t>
            </w:r>
          </w:p>
        </w:tc>
        <w:tc>
          <w:tcPr>
            <w:tcW w:type="dxa" w:w="63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Réévaluer ou supprimer les opérations à retour sur investissement négatif identifiées dans la page dédiée · cadrer les remises futures à partir de la grille remise × événement · traiter en priorité les spiritueux</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Répercuter l'inflation fournisseur</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Court terme</w:t>
            </w:r>
          </w:p>
        </w:tc>
        <w:tc>
          <w:tcPr>
            <w:tcW w:type="dxa" w:w="63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Actionner la liste des références sous-répercutées issue de la page Pricing · prioriser selon l'exposition à l'inflation et le levier de correction tarifaire · suivre mensuellement l'écart entre prix d'achat et prix de vente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Rééquilibrer le stock</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Court terme</w:t>
            </w:r>
          </w:p>
        </w:tc>
        <w:tc>
          <w:tcPr>
            <w:tcW w:type="dxa" w:w="63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Écouler les 335 références en surstock pour libérer une partie des 694 K€ immobilisés · sécuriser le réapprovisionnement des références en rupture qui enregistraient des ventes · caler les seuils sur la saisonnalité observée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Développer le sans-alcool</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Moyen terme</w:t>
            </w:r>
          </w:p>
        </w:tc>
        <w:tc>
          <w:tcPr>
            <w:tcW w:type="dxa" w:w="63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Élargir le portefeuille à partir des références les plus performantes · s'appuyer sur le meilleur taux de marge du catalogue et sur la faible exposition à l'inflation pour arbitrer les investissements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Industrialiser le pipeline</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Moyen terme</w:t>
            </w:r>
          </w:p>
        </w:tc>
        <w:tc>
          <w:tcPr>
            <w:tcW w:type="dxa" w:w="63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Installer la gateway on-premise · publier le rapport sur Power BI Service · activer le rafraîchissement planifié · conserver Power Query à l'identique entre prototype et production</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Fiabiliser la source</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Structurel</w:t>
            </w:r>
          </w:p>
        </w:tc>
        <w:tc>
          <w:tcPr>
            <w:tcW w:type="dxa" w:w="63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Normaliser les 110 références sans fiche produit · fiabiliser la saisie des commandes fournisseurs pour réintégrer la colonne Orders · constituer un historique pluriannuel pour permettre de vraies comparaisons N-1</w:t>
            </w:r>
          </w:p>
        </w:tc>
      </w:tr>
    </w:tbl>
    <w:p>
      <w:pPr>
        <w:spacing w:after="20" w:before="200" w:line="252"/>
      </w:pPr>
      <w:r>
        <w:rPr>
          <w:rFonts w:ascii="Corbel" w:cs="Corbel" w:eastAsia="Corbel" w:hAnsi="Corbel"/>
          <w:b/>
          <w:bCs/>
          <w:i w:val="false"/>
          <w:iCs w:val="false"/>
          <w:color w:val="0E5A66"/>
          <w:sz w:val="24"/>
          <w:szCs w:val="24"/>
        </w:rPr>
        <w:t xml:space="preserve">9. Limites et prochaines pistes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5233"/>
        <w:gridCol w:w="5233"/>
      </w:tblGrid>
      <w:tr>
        <w:tc>
          <w:tcPr>
            <w:tcW w:type="dxa" w:w="5233"/>
            <w:tcBorders>
              <w:top w:val="single" w:color="DCE6E7" w:sz="4"/>
              <w:left w:val="single" w:color="DCE6E7" w:sz="4"/>
              <w:bottom w:val="single" w:color="DCE6E7" w:sz="4"/>
              <w:right w:val="single" w:color="DCE6E7" w:sz="4"/>
            </w:tcBorders>
            <w:shd w:fill="FBEEE4"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C25438"/>
                <w:sz w:val="17"/>
                <w:szCs w:val="17"/>
              </w:rPr>
              <w:t xml:space="preserve">CE QUE LE PROJET NE COUVRE PAS ENCORE</w:t>
            </w:r>
          </w:p>
          <w:p>
            <w:pPr>
              <w:spacing w:after="30" w:before="0" w:line="252"/>
            </w:pPr>
            <w:r>
              <w:rPr>
                <w:rFonts w:ascii="Corbel" w:cs="Corbel" w:eastAsia="Corbel" w:hAnsi="Corbel"/>
                <w:b w:val="false"/>
                <w:bCs w:val="false"/>
                <w:i w:val="false"/>
                <w:iCs w:val="false"/>
                <w:color w:val="33454A"/>
                <w:sz w:val="16"/>
                <w:szCs w:val="16"/>
              </w:rPr>
              <w:t xml:space="preserve">— Le rafraîchissement automatique reste une préconisation : la base étant locale, la gateway n'a pas été déployée dans le cadre du projet.</w:t>
            </w:r>
          </w:p>
          <w:p>
            <w:pPr>
              <w:spacing w:after="30" w:before="0" w:line="252"/>
            </w:pPr>
            <w:r>
              <w:rPr>
                <w:rFonts w:ascii="Corbel" w:cs="Corbel" w:eastAsia="Corbel" w:hAnsi="Corbel"/>
                <w:b w:val="false"/>
                <w:bCs w:val="false"/>
                <w:i w:val="false"/>
                <w:iCs w:val="false"/>
                <w:color w:val="33454A"/>
                <w:sz w:val="16"/>
                <w:szCs w:val="16"/>
              </w:rPr>
              <w:t xml:space="preserve">— Les commandes fournisseurs ne sont pas suivies : la colonne Orders a dû être écartée faute de fiabilité.</w:t>
            </w:r>
          </w:p>
          <w:p>
            <w:pPr>
              <w:spacing w:after="30" w:before="0" w:line="252"/>
            </w:pPr>
            <w:r>
              <w:rPr>
                <w:rFonts w:ascii="Corbel" w:cs="Corbel" w:eastAsia="Corbel" w:hAnsi="Corbel"/>
                <w:b w:val="false"/>
                <w:bCs w:val="false"/>
                <w:i w:val="false"/>
                <w:iCs w:val="false"/>
                <w:color w:val="33454A"/>
                <w:sz w:val="16"/>
                <w:szCs w:val="16"/>
              </w:rPr>
              <w:t xml:space="preserve">— 110 références restent sans fiche produit, ce qui rend les analyses par segment partiellement incomplètes.</w:t>
            </w:r>
          </w:p>
          <w:p>
            <w:pPr>
              <w:spacing w:after="30" w:before="0" w:line="252"/>
            </w:pPr>
            <w:r>
              <w:rPr>
                <w:rFonts w:ascii="Corbel" w:cs="Corbel" w:eastAsia="Corbel" w:hAnsi="Corbel"/>
                <w:b w:val="false"/>
                <w:bCs w:val="false"/>
                <w:i w:val="false"/>
                <w:iCs w:val="false"/>
                <w:color w:val="33454A"/>
                <w:sz w:val="16"/>
                <w:szCs w:val="16"/>
              </w:rPr>
              <w:t xml:space="preserve">— L'historique de 13 mois ne permet pas de véritables comparaisons pluriannuelles ni d'isoler une tendance d'un effet de saison.</w:t>
            </w:r>
          </w:p>
          <w:p>
            <w:pPr>
              <w:spacing w:after="0" w:before="0" w:line="252"/>
            </w:pPr>
            <w:r>
              <w:rPr>
                <w:rFonts w:ascii="Corbel" w:cs="Corbel" w:eastAsia="Corbel" w:hAnsi="Corbel"/>
                <w:b w:val="false"/>
                <w:bCs w:val="false"/>
                <w:i w:val="false"/>
                <w:iCs w:val="false"/>
                <w:color w:val="33454A"/>
                <w:sz w:val="16"/>
                <w:szCs w:val="16"/>
              </w:rPr>
              <w:t xml:space="preserve">— Les visualisations statistiques produites en Python sont intégrées en images : elles ne se rafraîchissent pas avec le modèle.</w:t>
            </w:r>
          </w:p>
        </w:tc>
        <w:tc>
          <w:tcPr>
            <w:tcW w:type="dxa" w:w="5233"/>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7"/>
                <w:szCs w:val="17"/>
              </w:rPr>
              <w:t xml:space="preserve">PROCHAINES PISTES</w:t>
            </w:r>
          </w:p>
          <w:p>
            <w:pPr>
              <w:spacing w:after="30" w:before="0" w:line="252"/>
            </w:pPr>
            <w:r>
              <w:rPr>
                <w:rFonts w:ascii="Corbel" w:cs="Corbel" w:eastAsia="Corbel" w:hAnsi="Corbel"/>
                <w:b w:val="false"/>
                <w:bCs w:val="false"/>
                <w:i w:val="false"/>
                <w:iCs w:val="false"/>
                <w:color w:val="33454A"/>
                <w:sz w:val="16"/>
                <w:szCs w:val="16"/>
              </w:rPr>
              <w:t xml:space="preserve">— Déployer la gateway on-premise et activer le rafraîchissement planifié pour passer du prototype à l'usage quotidien.</w:t>
            </w:r>
          </w:p>
          <w:p>
            <w:pPr>
              <w:spacing w:after="30" w:before="0" w:line="252"/>
            </w:pPr>
            <w:r>
              <w:rPr>
                <w:rFonts w:ascii="Corbel" w:cs="Corbel" w:eastAsia="Corbel" w:hAnsi="Corbel"/>
                <w:b w:val="false"/>
                <w:bCs w:val="false"/>
                <w:i w:val="false"/>
                <w:iCs w:val="false"/>
                <w:color w:val="33454A"/>
                <w:sz w:val="16"/>
                <w:szCs w:val="16"/>
              </w:rPr>
              <w:t xml:space="preserve">— Normaliser les 110 SKU orphelins et industrialiser un contrôle de complétude à chaque actualisation.</w:t>
            </w:r>
          </w:p>
          <w:p>
            <w:pPr>
              <w:spacing w:after="30" w:before="0" w:line="252"/>
            </w:pPr>
            <w:r>
              <w:rPr>
                <w:rFonts w:ascii="Corbel" w:cs="Corbel" w:eastAsia="Corbel" w:hAnsi="Corbel"/>
                <w:b w:val="false"/>
                <w:bCs w:val="false"/>
                <w:i w:val="false"/>
                <w:iCs w:val="false"/>
                <w:color w:val="33454A"/>
                <w:sz w:val="16"/>
                <w:szCs w:val="16"/>
              </w:rPr>
              <w:t xml:space="preserve">— Réintégrer le suivi des commandes fournisseurs une fois la saisie fiabilisée à la source.</w:t>
            </w:r>
          </w:p>
          <w:p>
            <w:pPr>
              <w:spacing w:after="30" w:before="0" w:line="252"/>
            </w:pPr>
            <w:r>
              <w:rPr>
                <w:rFonts w:ascii="Corbel" w:cs="Corbel" w:eastAsia="Corbel" w:hAnsi="Corbel"/>
                <w:b w:val="false"/>
                <w:bCs w:val="false"/>
                <w:i w:val="false"/>
                <w:iCs w:val="false"/>
                <w:color w:val="33454A"/>
                <w:sz w:val="16"/>
                <w:szCs w:val="16"/>
              </w:rPr>
              <w:t xml:space="preserve">— Constituer un historique pluriannuel pour distinguer tendance et saisonnalité.</w:t>
            </w:r>
          </w:p>
          <w:p>
            <w:pPr>
              <w:spacing w:after="30" w:before="0" w:line="252"/>
            </w:pPr>
            <w:r>
              <w:rPr>
                <w:rFonts w:ascii="Corbel" w:cs="Corbel" w:eastAsia="Corbel" w:hAnsi="Corbel"/>
                <w:b w:val="false"/>
                <w:bCs w:val="false"/>
                <w:i w:val="false"/>
                <w:iCs w:val="false"/>
                <w:color w:val="33454A"/>
                <w:sz w:val="16"/>
                <w:szCs w:val="16"/>
              </w:rPr>
              <w:t xml:space="preserve">— Basculer les visuels Python vers des visuels natifs ou des visuels R / Python intégrés au modèle.</w:t>
            </w:r>
          </w:p>
          <w:p>
            <w:pPr>
              <w:spacing w:after="0" w:before="0" w:line="252"/>
            </w:pPr>
            <w:r>
              <w:rPr>
                <w:rFonts w:ascii="Corbel" w:cs="Corbel" w:eastAsia="Corbel" w:hAnsi="Corbel"/>
                <w:b w:val="false"/>
                <w:bCs w:val="false"/>
                <w:i w:val="false"/>
                <w:iCs w:val="false"/>
                <w:color w:val="33454A"/>
                <w:sz w:val="16"/>
                <w:szCs w:val="16"/>
              </w:rPr>
              <w:t xml:space="preserve">— Étendre le dashboard au suivi de l'exécution des recommandations (avant / après sur les promotions réévaluées).</w:t>
            </w:r>
          </w:p>
        </w:tc>
      </w:tr>
    </w:tbl>
    <w:p>
      <w:pPr>
        <w:spacing w:after="20" w:before="200" w:line="252"/>
      </w:pPr>
      <w:r>
        <w:rPr>
          <w:rFonts w:ascii="Corbel" w:cs="Corbel" w:eastAsia="Corbel" w:hAnsi="Corbel"/>
          <w:b/>
          <w:bCs/>
          <w:i w:val="false"/>
          <w:iCs w:val="false"/>
          <w:color w:val="0E5A66"/>
          <w:sz w:val="24"/>
          <w:szCs w:val="24"/>
        </w:rPr>
        <w:t xml:space="preserve">10. Sélection hiérarchisée des preuves</w:t>
      </w:r>
    </w:p>
    <w:p>
      <w:pPr>
        <w:spacing w:after="120" w:before="0" w:line="252"/>
      </w:pPr>
      <w:r>
        <w:rPr>
          <w:rFonts w:ascii="Corbel" w:cs="Corbel" w:eastAsia="Corbel" w:hAnsi="Corbel"/>
          <w:b w:val="false"/>
          <w:bCs w:val="false"/>
          <w:i/>
          <w:iCs/>
          <w:color w:val="6C7B7E"/>
          <w:sz w:val="17"/>
          <w:szCs w:val="17"/>
        </w:rPr>
        <w:t xml:space="preserve">Ce qu'un recruteur peut ouvrir et vérifier</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900"/>
        <w:gridCol w:w="2900"/>
        <w:gridCol w:w="3700"/>
        <w:gridCol w:w="1966"/>
      </w:tblGrid>
      <w:tr>
        <w:tc>
          <w:tcPr>
            <w:tcW w:type="dxa" w:w="1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Priorité</w:t>
            </w:r>
          </w:p>
        </w:tc>
        <w:tc>
          <w:tcPr>
            <w:tcW w:type="dxa" w:w="2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w:t>
            </w:r>
          </w:p>
        </w:tc>
        <w:tc>
          <w:tcPr>
            <w:tcW w:type="dxa" w:w="3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Ce qu'elle démontre</w:t>
            </w:r>
          </w:p>
        </w:tc>
        <w:tc>
          <w:tcPr>
            <w:tcW w:type="dxa" w:w="19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Accès</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1 — Essentielle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Tableau de bord Power BI (27 pages)</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Modéliser, calculer et concevoir un outil de pilotage complet et orienté décision</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Fichier .pbix</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2 — Essentielle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Rapport d'analyse des solutions</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Arbitrer une architecture de données sur des critères explicites plutôt que par habitude d'outil</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Document Word / PDF</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3 — Importante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Pipeline Power Query (9 étapes)</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Industrialiser un ETL documenté, rejouable et reprenable par un tiers</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Éditeur Power Query du .pbix</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4 — Importante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Analyse exploratoire Python</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Qualifier une source avant de la modéliser et produire les valeurs de recette</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Notebook Jupyter</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5 — Complémentaire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Page Qualité Data</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Publier les limites de la donnée au lieu de les masquer</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Page du rapport</w:t>
            </w:r>
          </w:p>
        </w:tc>
      </w:tr>
    </w:tbl>
    <w:p>
      <w:pPr>
        <w:spacing w:after="20" w:before="200" w:line="252"/>
      </w:pPr>
      <w:r>
        <w:rPr>
          <w:rFonts w:ascii="Corbel" w:cs="Corbel" w:eastAsia="Corbel" w:hAnsi="Corbel"/>
          <w:b/>
          <w:bCs/>
          <w:i w:val="false"/>
          <w:iCs w:val="false"/>
          <w:color w:val="0E5A66"/>
          <w:sz w:val="24"/>
          <w:szCs w:val="24"/>
        </w:rPr>
        <w:t xml:space="preserve">11. Compétences démontrées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700"/>
        <w:gridCol w:w="3300"/>
        <w:gridCol w:w="5466"/>
      </w:tblGrid>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Type</w:t>
            </w:r>
          </w:p>
        </w:tc>
        <w:tc>
          <w:tcPr>
            <w:tcW w:type="dxa" w:w="33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Compétence</w:t>
            </w:r>
          </w:p>
        </w:tc>
        <w:tc>
          <w:tcPr>
            <w:tcW w:type="dxa" w:w="5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 observable</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Architecture de données</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Trois solutions comparées sur quatre critères, recommandation motivée et conditions de déploiement en production documentées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Analyse exploratoire (Python)</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sqlite3 et pandas sur quatre tables : cinq anomalies identifiées, six règles formalisées, valeurs de référence produites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Préparation des données (Power Query)</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Pipeline de neuf étapes : connexion ODBC, typage, séparateurs décimaux, jointure gauche, suppression des colonnes techniques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Modélisation dimensionnelle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Schéma en étoile à deux tables de faits, union transactionnelle standard / promo, séparation des flux et des états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DAX</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Plus de 140 mesures organisées en dossiers thématiques, dont des mesures narratives et de mise en forme conditionnelle</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Data visualisation &amp; conception de dashboard</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27 pages orientées décision : cascade, nuages de points, tableaux croisés, alertes priorisées, pages d'action</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Esprit critique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Colonne Orders écartée après démonstration de sa non-fiabilité, plutôt qu'affichée pour compléter un visuel</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Rigueur</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Validation croisée systématique des mesures DAX contre des valeurs calculées indépendamment en Python</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Pédagogie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Huit pages de guide de lecture intégrées au rapport, expliquant la question métier traitée par chaque visuel</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Sens business</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Des écarts chiffrés traduits en décisions de pricing, de promotion et de réapprovisionnement, avec un horizon pour chacune</w:t>
            </w:r>
          </w:p>
        </w:tc>
      </w:tr>
    </w:tbl>
    <w:p>
      <w:pPr>
        <w:spacing w:after="20" w:before="200" w:line="252"/>
      </w:pPr>
      <w:r>
        <w:rPr>
          <w:rFonts w:ascii="Corbel" w:cs="Corbel" w:eastAsia="Corbel" w:hAnsi="Corbel"/>
          <w:b/>
          <w:bCs/>
          <w:i w:val="false"/>
          <w:iCs w:val="false"/>
          <w:color w:val="0E5A66"/>
          <w:sz w:val="24"/>
          <w:szCs w:val="24"/>
        </w:rPr>
        <w:t xml:space="preserve">12. Veille métier et technique mobilisée</w:t>
      </w:r>
    </w:p>
    <w:p>
      <w:pPr>
        <w:spacing w:after="120" w:before="0" w:line="252"/>
      </w:pPr>
      <w:r>
        <w:rPr>
          <w:rFonts w:ascii="Corbel" w:cs="Corbel" w:eastAsia="Corbel" w:hAnsi="Corbel"/>
          <w:b w:val="false"/>
          <w:bCs w:val="false"/>
          <w:i/>
          <w:iCs/>
          <w:color w:val="6C7B7E"/>
          <w:sz w:val="17"/>
          <w:szCs w:val="17"/>
        </w:rPr>
        <w:t xml:space="preserve">La veille a orienté les choix d'architecture, de modélisation et de restitution.</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600"/>
        <w:gridCol w:w="3400"/>
        <w:gridCol w:w="4466"/>
      </w:tblGrid>
      <w:tr>
        <w:tc>
          <w:tcPr>
            <w:tcW w:type="dxa" w:w="2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Sujet de veille</w:t>
            </w:r>
          </w:p>
        </w:tc>
        <w:tc>
          <w:tcPr>
            <w:tcW w:type="dxa" w:w="3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Sources / repères</w:t>
            </w:r>
          </w:p>
        </w:tc>
        <w:tc>
          <w:tcPr>
            <w:tcW w:type="dxa" w:w="4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Application au projet</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Architectures ETL et ELT</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Où placer la transformation : dans la source, dans un script externe, ou dans l'outil de restitution</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Grille de comparaison à quatre critères et choix argumenté de la transformation intégrée</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Modélisation décisionnelle</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Schéma en étoile, séparation des faits et des dimensions, granularité des tables de faits</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Deux tables de faits distinctes pour ne pas mélanger un flux de ventes et un état de stock</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Power Query et langage M</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Bonnes pratiques de typage, gestion des séparateurs régionaux, jointures et pliage des requêtes</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Pipeline de neuf étapes nommées, rejouable et lisible par un tiers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Performance DAX</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Colonnes calculées en Power Query plutôt qu'en DAX, stockage colonnaire, organisation des mesures</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Colonnes calculées poussées dans Power Query et mesures regroupées dans une table dédiée</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Déploiement Power BI Service</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Gateway on-premise, rafraîchissement planifié, contraintes des sources locales</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Préconisation d'architecture de production documentée, avec ses prérequis réseau</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Pilotage commercial et pricing</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Retour sur investissement promotionnel, répercussion de l'inflation, couverture et rotation de stock</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Construction des indicateurs de ROI promo, d'exposition à l'inflation et de statut de stock</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2026-07-23T20:38:24.506Z</dcterms:created>
  <dcterms:modified xsi:type="dcterms:W3CDTF">2026-07-23T20:38:24.520Z</dcterms:modified>
</cp:coreProperties>
</file>

<file path=docProps/custom.xml><?xml version="1.0" encoding="utf-8"?>
<Properties xmlns="http://schemas.openxmlformats.org/officeDocument/2006/custom-properties" xmlns:vt="http://schemas.openxmlformats.org/officeDocument/2006/docPropsVTypes"/>
</file>