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2"/>
      </w:pPr>
      <w:r>
        <w:rPr>
          <w:rFonts w:ascii="Corbel" w:cs="Corbel" w:eastAsia="Corbel" w:hAnsi="Corbel"/>
          <w:b/>
          <w:bCs/>
          <w:i w:val="false"/>
          <w:iCs w:val="false"/>
          <w:color w:val="C25438"/>
          <w:sz w:val="20"/>
          <w:szCs w:val="20"/>
        </w:rPr>
        <w:t xml:space="preserve">PROJET 09</w:t>
      </w:r>
    </w:p>
    <w:p>
      <w:pPr>
        <w:spacing w:after="20" w:before="0" w:line="252"/>
      </w:pPr>
      <w:r>
        <w:rPr>
          <w:rFonts w:ascii="Corbel" w:cs="Corbel" w:eastAsia="Corbel" w:hAnsi="Corbel"/>
          <w:b/>
          <w:bCs/>
          <w:i w:val="false"/>
          <w:iCs w:val="false"/>
          <w:color w:val="0E5A66"/>
          <w:sz w:val="32"/>
          <w:szCs w:val="32"/>
        </w:rPr>
        <w:t xml:space="preserve">Analyser une demande business et identifier les segments de marché</w:t>
      </w:r>
    </w:p>
    <w:p>
      <w:pPr>
        <w:spacing w:after="20" w:before="0" w:line="252"/>
      </w:pPr>
      <w:r>
        <w:rPr>
          <w:rFonts w:ascii="Corbel" w:cs="Corbel" w:eastAsia="Corbel" w:hAnsi="Corbel"/>
          <w:b w:val="false"/>
          <w:bCs w:val="false"/>
          <w:i w:val="false"/>
          <w:iCs w:val="false"/>
          <w:color w:val="1E2A2E"/>
          <w:sz w:val="20"/>
          <w:szCs w:val="20"/>
        </w:rPr>
        <w:t xml:space="preserve">Mission de conseil pour UOI Games : une démarche en entonnoir — marché, données, positionnement, terrain, persona, recommandation — pour décider quel jeu AAA lancer, sur quelles plateformes, à quel prix et pour combien de ventes.</w:t>
      </w:r>
    </w:p>
    <w:p>
      <w:pPr>
        <w:pBdr>
          <w:bottom w:val="single" w:color="0E5A66" w:sz="4"/>
        </w:pBdr>
        <w:spacing w:after="160" w:before="0" w:line="252"/>
      </w:pPr>
      <w:r>
        <w:rPr>
          <w:rFonts w:ascii="Corbel" w:cs="Corbel" w:eastAsia="Corbel" w:hAnsi="Corbel"/>
          <w:b w:val="false"/>
          <w:bCs w:val="false"/>
          <w:i w:val="false"/>
          <w:iCs w:val="false"/>
          <w:color w:val="6C7B7E"/>
          <w:sz w:val="17"/>
          <w:szCs w:val="17"/>
        </w:rPr>
        <w:t xml:space="preserve">SWOT · PESTEL · Power BI · DAX · Étude terrain · Persona · Prévisionnel commercial · Data storytelling</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640"/>
        <w:gridCol w:w="1976"/>
        <w:gridCol w:w="640"/>
        <w:gridCol w:w="1976"/>
        <w:gridCol w:w="640"/>
        <w:gridCol w:w="1976"/>
        <w:gridCol w:w="640"/>
        <w:gridCol w:w="1978"/>
      </w:tblGrid>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Période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24 mai – 5 juillet 2026 (31 j ouvrables)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Cadre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Certification Business Intelligence (RNCP)</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Secteur</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Jeu vidéo · industrie du divertissement</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Client</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Juliette, responsable du projet Triple A chez UOI Games</w:t>
            </w:r>
          </w:p>
        </w:tc>
      </w:tr>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Données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3 jeux de données · sources sectorielles · 12 répondants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Analyse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13 pages Power BI · ~40 mesures DAX · 6 axes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Livrables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Support de présentation (29 slides) · ensemble des analyses et sources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Posture</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Consultante en stratégie, pas exécutante d'analyse</w:t>
            </w:r>
          </w:p>
        </w:tc>
      </w:tr>
    </w:tbl>
    <w:p>
      <w:pPr>
        <w:spacing w:after="120" w:before="0" w:line="252"/>
      </w:pP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0466"/>
      </w:tblGrid>
      <w:tr>
        <w:tc>
          <w:tcPr>
            <w:tcW w:type="dxa" w:w="10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MA VALEUR AJOUTÉE</w:t>
            </w:r>
          </w:p>
          <w:p>
            <w:pPr>
              <w:spacing w:after="0" w:before="0" w:line="252"/>
            </w:pPr>
            <w:r>
              <w:rPr>
                <w:rFonts w:ascii="Corbel" w:cs="Corbel" w:eastAsia="Corbel" w:hAnsi="Corbel"/>
                <w:b w:val="false"/>
                <w:bCs w:val="false"/>
                <w:i w:val="false"/>
                <w:iCs w:val="false"/>
                <w:color w:val="33454A"/>
                <w:sz w:val="17"/>
                <w:szCs w:val="17"/>
              </w:rPr>
              <w:t xml:space="preserve">Une recommandation de lancement se juge à sa capacité à tenir devant un comité qui engage des centaines de millions d'euros. J'ai donc construit une chaîne de preuve à trois niveaux plutôt qu'un avis argumenté : le marché donne le cadre et les conditions d'entrée, les données identifient le segment le plus porteur, le terrain valide que les joueurs veulent effectivement ce que les données désignent. Chaque décision — le genre, les plateformes, le prix, le calendrier de contenus — est adossée à un chiffre traçable. Et j'ai distingué explicitement ce qui est démontré de ce qui relève d'une hypothèse : le scénario central de 935 000 unités est présenté comme une hypothèse de management dans la fourchette haute, la base mécanique étant de 715 000. C'est cette transparence qui rend la recommandation défendable.</w:t>
            </w:r>
          </w:p>
        </w:tc>
      </w:tr>
    </w:tbl>
    <w:p>
      <w:pPr>
        <w:spacing w:after="20" w:before="200" w:line="252"/>
      </w:pPr>
      <w:r>
        <w:rPr>
          <w:rFonts w:ascii="Corbel" w:cs="Corbel" w:eastAsia="Corbel" w:hAnsi="Corbel"/>
          <w:b/>
          <w:bCs/>
          <w:i w:val="false"/>
          <w:iCs w:val="false"/>
          <w:color w:val="0E5A66"/>
          <w:sz w:val="24"/>
          <w:szCs w:val="24"/>
        </w:rPr>
        <w:t xml:space="preserve">1. Synthèse exécutive</w:t>
      </w:r>
    </w:p>
    <w:p>
      <w:pPr>
        <w:spacing w:after="120" w:before="0" w:line="252"/>
      </w:pPr>
      <w:r>
        <w:rPr>
          <w:rFonts w:ascii="Corbel" w:cs="Corbel" w:eastAsia="Corbel" w:hAnsi="Corbel"/>
          <w:b w:val="false"/>
          <w:bCs w:val="false"/>
          <w:i/>
          <w:iCs/>
          <w:color w:val="6C7B7E"/>
          <w:sz w:val="17"/>
          <w:szCs w:val="17"/>
        </w:rPr>
        <w:t xml:space="preserve">Lecture recruteur / manager en moins d'une minute</w:t>
      </w:r>
    </w:p>
    <w:p>
      <w:pPr>
        <w:spacing w:after="80" w:before="0" w:line="252"/>
      </w:pPr>
      <w:r>
        <w:rPr>
          <w:rFonts w:ascii="Corbel" w:cs="Corbel" w:eastAsia="Corbel" w:hAnsi="Corbel"/>
          <w:b/>
          <w:bCs/>
          <w:i w:val="false"/>
          <w:iCs w:val="false"/>
          <w:color w:val="1E2A2E"/>
          <w:sz w:val="18"/>
          <w:szCs w:val="18"/>
        </w:rPr>
        <w:t xml:space="preserve">Question directrice — </w:t>
      </w:r>
      <w:r>
        <w:rPr>
          <w:rFonts w:ascii="Corbel" w:cs="Corbel" w:eastAsia="Corbel" w:hAnsi="Corbel"/>
          <w:b w:val="false"/>
          <w:bCs w:val="false"/>
          <w:i w:val="false"/>
          <w:iCs w:val="false"/>
          <w:color w:val="33454A"/>
          <w:sz w:val="17"/>
          <w:szCs w:val="17"/>
        </w:rPr>
        <w:t xml:space="preserve">sur quel segment un studio sans licence ni communauté peut-il engager 100 à 300 M€ avec les meilleures chances de succès — et comment le prouver plutôt que l'affirmer ? La cliente le formule ainsi : « il n'y a pas de bonne ou de mauvaise réponse, nous souhaitons ton point de vue appuyé par des données factuelles ».</w:t>
      </w:r>
    </w:p>
    <w:p>
      <w:pPr>
        <w:spacing w:after="80" w:before="0" w:line="252"/>
      </w:pPr>
      <w:r>
        <w:rPr>
          <w:rFonts w:ascii="Corbel" w:cs="Corbel" w:eastAsia="Corbel" w:hAnsi="Corbel"/>
          <w:b/>
          <w:bCs/>
          <w:i w:val="false"/>
          <w:iCs w:val="false"/>
          <w:color w:val="1E2A2E"/>
          <w:sz w:val="18"/>
          <w:szCs w:val="18"/>
        </w:rPr>
        <w:t xml:space="preserve">4 enjeux — </w:t>
      </w:r>
      <w:r>
        <w:rPr>
          <w:rFonts w:ascii="Corbel" w:cs="Corbel" w:eastAsia="Corbel" w:hAnsi="Corbel"/>
          <w:b w:val="false"/>
          <w:bCs w:val="false"/>
          <w:i w:val="false"/>
          <w:iCs w:val="false"/>
          <w:color w:val="33454A"/>
          <w:sz w:val="17"/>
          <w:szCs w:val="17"/>
        </w:rPr>
        <w:t xml:space="preserve">réduire le risque d'un pari industriel à 5-7 ans, identifier un segment à la fois porteur et accessible à un nouvel entrant, valider que les attentes réelles des joueurs rejoignent ce que disent les données, et traduire l'ensemble en un objectif commercial pilotable.</w:t>
      </w:r>
    </w:p>
    <w:p>
      <w:pPr>
        <w:spacing w:after="80" w:before="0" w:line="252"/>
      </w:pPr>
      <w:r>
        <w:rPr>
          <w:rFonts w:ascii="Corbel" w:cs="Corbel" w:eastAsia="Corbel" w:hAnsi="Corbel"/>
          <w:b/>
          <w:bCs/>
          <w:i w:val="false"/>
          <w:iCs w:val="false"/>
          <w:color w:val="1E2A2E"/>
          <w:sz w:val="18"/>
          <w:szCs w:val="18"/>
        </w:rPr>
        <w:t xml:space="preserve">Réponse apportée — </w:t>
      </w:r>
      <w:r>
        <w:rPr>
          <w:rFonts w:ascii="Corbel" w:cs="Corbel" w:eastAsia="Corbel" w:hAnsi="Corbel"/>
          <w:b w:val="false"/>
          <w:bCs w:val="false"/>
          <w:i w:val="false"/>
          <w:iCs w:val="false"/>
          <w:color w:val="33454A"/>
          <w:sz w:val="17"/>
          <w:szCs w:val="17"/>
        </w:rPr>
        <w:t xml:space="preserve">lancer un Action-RPG premium en monde ouvert intégrant des mécaniques de shooter, simultanément sur PC et PS5, prioritairement en Amérique du Nord puis en Europe, sur un modèle Premium à 79,99 € prolongé par deux extensions narratives. Le prévisionnel retient un scénario central de 935 000 unités et 106 M€ de chiffre d'affaires brut cumulé sur deux ans, encadré par un scénario prudent et un scénario ambitieux, chacun adossé à un jeu comparable réel et sourcé.</w:t>
      </w:r>
    </w:p>
    <w:p>
      <w:pPr>
        <w:spacing w:after="20" w:before="200" w:line="252"/>
      </w:pPr>
      <w:r>
        <w:rPr>
          <w:rFonts w:ascii="Corbel" w:cs="Corbel" w:eastAsia="Corbel" w:hAnsi="Corbel"/>
          <w:b/>
          <w:bCs/>
          <w:i w:val="false"/>
          <w:iCs w:val="false"/>
          <w:color w:val="0E5A66"/>
          <w:sz w:val="24"/>
          <w:szCs w:val="24"/>
        </w:rPr>
        <w:t xml:space="preserve">2. Données : sources, qualité et limites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000"/>
        <w:gridCol w:w="8466"/>
      </w:tblGrid>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Fichiers fournis</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Trois jeux de données remis avec la mission : le catalogue des jeux vidéo avec les notes des joueurs, la base des ventes de jeux ayant dépassé 100 000 unités (1980-2016) et les ventes de consoles. Le brief précise d'emblée que ces fichiers constituent un point de départ et ne suffiront pas à l'étude.</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Sources externes</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Newzoo (Global Games Market Report 2025), Mordor Intelligence, ESA, IDATE, SELL et Gaming Campus — pour la taille du marché, la répartition géographique, la structure des revenus et les tendances prospectives. Les ventes historiques s'arrêtant en 2016, ces sources 2025 sont indispensables pour valider toute conclusion sur le marché actuel.</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Collecte terrain</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Questionnaire de 8 questions diffusé en juin 2026 auprès de 12 joueurs — au-delà du minimum demandé (5 questions, 10 répondants) — couvrant l'âge, le temps de jeu, les plateformes, le genre préféré, le budget annuel, les déclencheurs d'achat, l'intérêt pour le concept et les attentes en réponse libre.</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Traitement</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Modélisation Power BI en étoile avec tables de pont pour gérer les relations plusieurs-à-plusieurs (un jeu peut relever de plusieurs genres, mobiliser plusieurs studios ou éditeurs), et une quarantaine de mesures DAX construites pour répondre aux six questions d'analyse.</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Limites</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Les ventes historiques s'arrêtent en 2016 : elles documentent l'héritage du marché, pas son état actuel — d'où le recours systématique à des sources 2025 pour valider les tendances. L'échantillon terrain est exploratoire (12 répondants) : il conforte une direction, il ne mesure pas un marché. Enfin, l'étude porte sur un lancement futur : aucune donnée réelle ne permet de valider les prévisions.</w:t>
            </w:r>
          </w:p>
        </w:tc>
      </w:tr>
    </w:tbl>
    <w:p>
      <w:pPr>
        <w:spacing w:after="20" w:before="200" w:line="252"/>
      </w:pPr>
      <w:r>
        <w:rPr>
          <w:rFonts w:ascii="Corbel" w:cs="Corbel" w:eastAsia="Corbel" w:hAnsi="Corbel"/>
          <w:b/>
          <w:bCs/>
          <w:i w:val="false"/>
          <w:iCs w:val="false"/>
          <w:color w:val="0E5A66"/>
          <w:sz w:val="24"/>
          <w:szCs w:val="24"/>
        </w:rPr>
        <w:t xml:space="preserve">3. Démarche STAR</w:t>
      </w:r>
    </w:p>
    <w:p>
      <w:pPr>
        <w:spacing w:after="120" w:before="0" w:line="252"/>
      </w:pPr>
      <w:r>
        <w:rPr>
          <w:rFonts w:ascii="Corbel" w:cs="Corbel" w:eastAsia="Corbel" w:hAnsi="Corbel"/>
          <w:b w:val="false"/>
          <w:bCs w:val="false"/>
          <w:i/>
          <w:iCs/>
          <w:color w:val="6C7B7E"/>
          <w:sz w:val="17"/>
          <w:szCs w:val="17"/>
        </w:rPr>
        <w:t xml:space="preserve">Une narration orientée recruteur / client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60"/>
        <w:gridCol w:w="9906"/>
      </w:tblGrid>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S</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SITUATION</w:t>
            </w:r>
          </w:p>
          <w:p>
            <w:pPr>
              <w:spacing w:after="0" w:before="0" w:line="252"/>
            </w:pPr>
            <w:r>
              <w:rPr>
                <w:rFonts w:ascii="Corbel" w:cs="Corbel" w:eastAsia="Corbel" w:hAnsi="Corbel"/>
                <w:b w:val="false"/>
                <w:bCs w:val="false"/>
                <w:i w:val="false"/>
                <w:iCs w:val="false"/>
                <w:color w:val="33454A"/>
                <w:sz w:val="17"/>
                <w:szCs w:val="17"/>
              </w:rPr>
              <w:t xml:space="preserve">UOI Games souhaite lancer son premier jeu AAA. Le développement d'un tel titre s'étale sur cinq à sept ans, mobilise de nombreuses équipes et engage entre 100 et 300 M€. Le marché mondial pèse 189 Md$ et compte 3,6 milliards de joueurs, mais cinq acteurs y concentrent 43 % des revenus et la multiplication des sorties rend la visibilité de plus en plus difficile. Le studio n'a ni licence connue, ni communauté installée, ni historique commercial sur lequel s'appuyer : engager un tel budget sans analyse préalable revient à parier à l'aveugle.</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T</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TÂCHE</w:t>
            </w:r>
          </w:p>
          <w:p>
            <w:pPr>
              <w:spacing w:after="0" w:before="0" w:line="252"/>
            </w:pPr>
            <w:r>
              <w:rPr>
                <w:rFonts w:ascii="Corbel" w:cs="Corbel" w:eastAsia="Corbel" w:hAnsi="Corbel"/>
                <w:b w:val="false"/>
                <w:bCs w:val="false"/>
                <w:i w:val="false"/>
                <w:iCs w:val="false"/>
                <w:color w:val="33454A"/>
                <w:sz w:val="17"/>
                <w:szCs w:val="17"/>
              </w:rPr>
              <w:t xml:space="preserve">Analyser les tendances du marché du jeu vidéo, identifier les segments à fort potentiel et formuler une recommandation de jeu argumentée, accompagnée de prévisions de ventes. Trois livrables attendus : une analyse de marché et de tendances appuyée sur des outils d'analyse stratégique, une analyse de données doublée d'une validation terrain permettant d'isoler un segment cible, et une recommandation stratégique complète portant sur le positionnement produit, les plateformes, les zones géographiques, le modèle économique et le prévisionnel commercial.</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A</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ACTIONS</w:t>
            </w:r>
          </w:p>
          <w:p>
            <w:pPr>
              <w:spacing w:after="40" w:before="0" w:line="252"/>
            </w:pPr>
            <w:r>
              <w:rPr>
                <w:rFonts w:ascii="Corbel" w:cs="Corbel" w:eastAsia="Corbel" w:hAnsi="Corbel"/>
                <w:b w:val="false"/>
                <w:bCs w:val="false"/>
                <w:i w:val="false"/>
                <w:iCs w:val="false"/>
                <w:color w:val="33454A"/>
                <w:sz w:val="17"/>
                <w:szCs w:val="17"/>
              </w:rPr>
              <w:t xml:space="preserve">1. Comprendre le marché — taille, dynamique et structure du marché mondial ; analyse SWOT du segment AAA pour identifier les conditions de succès d'un nouvel entrant ; analyse PESTEL de l'environnement ; lecture prospective des transformations attendues entre 2026 et 2030.</w:t>
            </w:r>
          </w:p>
          <w:p>
            <w:pPr>
              <w:spacing w:after="40" w:before="0" w:line="252"/>
            </w:pPr>
            <w:r>
              <w:rPr>
                <w:rFonts w:ascii="Corbel" w:cs="Corbel" w:eastAsia="Corbel" w:hAnsi="Corbel"/>
                <w:b w:val="false"/>
                <w:bCs w:val="false"/>
                <w:i w:val="false"/>
                <w:iCs w:val="false"/>
                <w:color w:val="33454A"/>
                <w:sz w:val="17"/>
                <w:szCs w:val="17"/>
              </w:rPr>
              <w:t xml:space="preserve">2. Analyser les données — modélisation Power BI de trois jeux de données et construction d'un rapport de 13 pages répondant à six questions stratégiques : où vendre en priorité, quel genre offre le meilleur potentiel, sur quelles plateformes lancer, quels facteurs expliquent le succès, comment monétiser durablement, et que font les blockbusters.</w:t>
            </w:r>
          </w:p>
          <w:p>
            <w:pPr>
              <w:spacing w:after="40" w:before="0" w:line="252"/>
            </w:pPr>
            <w:r>
              <w:rPr>
                <w:rFonts w:ascii="Corbel" w:cs="Corbel" w:eastAsia="Corbel" w:hAnsi="Corbel"/>
                <w:b w:val="false"/>
                <w:bCs w:val="false"/>
                <w:i w:val="false"/>
                <w:iCs w:val="false"/>
                <w:color w:val="33454A"/>
                <w:sz w:val="17"/>
                <w:szCs w:val="17"/>
              </w:rPr>
              <w:t xml:space="preserve">3. Positionner l'offre — traduire les six axes d'analyse en un concept de jeu cohérent : genre, plateformes, zones géographiques et modèle économique. C'est cette hypothèse de positionnement qui sera ensuite testée auprès des joueurs.</w:t>
            </w:r>
          </w:p>
          <w:p>
            <w:pPr>
              <w:spacing w:after="40" w:before="0" w:line="252"/>
            </w:pPr>
            <w:r>
              <w:rPr>
                <w:rFonts w:ascii="Corbel" w:cs="Corbel" w:eastAsia="Corbel" w:hAnsi="Corbel"/>
                <w:b w:val="false"/>
                <w:bCs w:val="false"/>
                <w:i w:val="false"/>
                <w:iCs w:val="false"/>
                <w:color w:val="33454A"/>
                <w:sz w:val="17"/>
                <w:szCs w:val="17"/>
              </w:rPr>
              <w:t xml:space="preserve">4. Valider sur le terrain — conception et diffusion d'un questionnaire de 8 questions auprès de 12 joueurs, analyse quantitative des réponses fermées et codage des réponses libres en mots-clés pondérés.</w:t>
            </w:r>
          </w:p>
          <w:p>
            <w:pPr>
              <w:spacing w:after="40" w:before="0" w:line="252"/>
            </w:pPr>
            <w:r>
              <w:rPr>
                <w:rFonts w:ascii="Corbel" w:cs="Corbel" w:eastAsia="Corbel" w:hAnsi="Corbel"/>
                <w:b w:val="false"/>
                <w:bCs w:val="false"/>
                <w:i w:val="false"/>
                <w:iCs w:val="false"/>
                <w:color w:val="33454A"/>
                <w:sz w:val="17"/>
                <w:szCs w:val="17"/>
              </w:rPr>
              <w:t xml:space="preserve">5. Construire le persona — synthèse d'un profil cible à partir des trois sources croisées : profil sociodémographique, pratiques de jeu, budget, attentes prioritaires, freins à l'achat et déclencheurs de décision.</w:t>
            </w:r>
          </w:p>
          <w:p>
            <w:pPr>
              <w:spacing w:after="40" w:before="0" w:line="252"/>
            </w:pPr>
            <w:r>
              <w:rPr>
                <w:rFonts w:ascii="Corbel" w:cs="Corbel" w:eastAsia="Corbel" w:hAnsi="Corbel"/>
                <w:b w:val="false"/>
                <w:bCs w:val="false"/>
                <w:i w:val="false"/>
                <w:iCs w:val="false"/>
                <w:color w:val="33454A"/>
                <w:sz w:val="17"/>
                <w:szCs w:val="17"/>
              </w:rPr>
              <w:t xml:space="preserve">6. Recommander — recommandation finale portant le concept de jeu et son positionnement : plateformes et zones prioritaires, fenêtre de lancement, grille tarifaire, calendrier de contenus post-lancement et logique de construction d'une licence dans la durée.</w:t>
            </w:r>
          </w:p>
          <w:p>
            <w:pPr>
              <w:spacing w:after="0" w:before="0" w:line="252"/>
            </w:pPr>
            <w:r>
              <w:rPr>
                <w:rFonts w:ascii="Corbel" w:cs="Corbel" w:eastAsia="Corbel" w:hAnsi="Corbel"/>
                <w:b w:val="false"/>
                <w:bCs w:val="false"/>
                <w:i w:val="false"/>
                <w:iCs w:val="false"/>
                <w:color w:val="33454A"/>
                <w:sz w:val="17"/>
                <w:szCs w:val="17"/>
              </w:rPr>
              <w:t xml:space="preserve">7. Chiffrer — prévisionnel commercial à trois scénarios adossés à des jeux comparables réels et sourcés, avec mix éditions, répartition géographique, structure des revenus de l'année 2 et lecture de la rentabilité après commissions plateformes.</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R</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RÉSULTATS</w:t>
            </w:r>
          </w:p>
          <w:p>
            <w:pPr>
              <w:spacing w:after="0" w:before="0" w:line="252"/>
            </w:pPr>
            <w:r>
              <w:rPr>
                <w:rFonts w:ascii="Corbel" w:cs="Corbel" w:eastAsia="Corbel" w:hAnsi="Corbel"/>
                <w:b w:val="false"/>
                <w:bCs w:val="false"/>
                <w:i w:val="false"/>
                <w:iCs w:val="false"/>
                <w:color w:val="33454A"/>
                <w:sz w:val="17"/>
                <w:szCs w:val="17"/>
              </w:rPr>
              <w:t xml:space="preserve">Une recommandation complète et défendable : lancer un Action-RPG premium en monde ouvert intégrant des mécaniques de shooter, simultanément sur PC et PS5, prioritairement en Amérique du Nord puis en Europe, sur un modèle Premium (79,99 € en édition standard, 99,99 € en édition deluxe) prolongé par deux extensions narratives. Le prévisionnel retient un scénario central de 935 000 unités et 106 M€ de chiffre d'affaires brut cumulé sur deux ans, encadré par un scénario prudent (500 000 unités, 57 M€) et un scénario ambitieux (1,3 million d'unités, 147 M€). Le terrain conforte le positionnement : 66,7 % des répondants citent l'Action-RPG comme genre préféré, 100 % se déclarent intéressés par le concept, et les réponses libres font remonter exactement les trois piliers identifiés par le benchmark — personnalisation, monde ouvert, quêtes et narration.</w:t>
            </w:r>
          </w:p>
        </w:tc>
      </w:tr>
    </w:tbl>
    <w:p>
      <w:pPr>
        <w:spacing w:after="80" w:before="0" w:line="252"/>
      </w:pPr>
    </w:p>
    <w:p>
      <w:pPr>
        <w:spacing w:after="80" w:before="160" w:line="252"/>
      </w:pPr>
      <w:r>
        <w:rPr>
          <w:rFonts w:ascii="Corbel" w:cs="Corbel" w:eastAsia="Corbel" w:hAnsi="Corbel"/>
          <w:b/>
          <w:bCs/>
          <w:i w:val="false"/>
          <w:iCs w:val="false"/>
          <w:color w:val="1E2A2E"/>
          <w:sz w:val="18"/>
          <w:szCs w:val="18"/>
        </w:rPr>
        <w:t xml:space="preserve">Entonnoir stratégique — </w:t>
      </w:r>
      <w:r>
        <w:rPr>
          <w:rFonts w:ascii="Corbel" w:cs="Corbel" w:eastAsia="Corbel" w:hAnsi="Corbel"/>
          <w:b w:val="false"/>
          <w:bCs w:val="false"/>
          <w:i/>
          <w:iCs/>
          <w:color w:val="6C7B7E"/>
          <w:sz w:val="17"/>
          <w:szCs w:val="17"/>
        </w:rPr>
        <w:t xml:space="preserve">du marché global à un objectif commercial chiffré.</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495"/>
        <w:gridCol w:w="1495"/>
        <w:gridCol w:w="1495"/>
        <w:gridCol w:w="1495"/>
        <w:gridCol w:w="1495"/>
        <w:gridCol w:w="1495"/>
        <w:gridCol w:w="1496"/>
      </w:tblGrid>
      <w:tr>
        <w:tc>
          <w:tcPr>
            <w:tcW w:type="dxa" w:w="1495"/>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1</w:t>
            </w:r>
          </w:p>
          <w:p>
            <w:pPr>
              <w:spacing w:after="20" w:before="0" w:line="252"/>
            </w:pPr>
            <w:r>
              <w:rPr>
                <w:rFonts w:ascii="Corbel" w:cs="Corbel" w:eastAsia="Corbel" w:hAnsi="Corbel"/>
                <w:b/>
                <w:bCs/>
                <w:i w:val="false"/>
                <w:iCs w:val="false"/>
                <w:color w:val="C25438"/>
                <w:sz w:val="16"/>
                <w:szCs w:val="16"/>
              </w:rPr>
              <w:t xml:space="preserve">Comprendre</w:t>
            </w:r>
          </w:p>
          <w:p>
            <w:pPr>
              <w:spacing w:after="0" w:before="0" w:line="252"/>
            </w:pPr>
            <w:r>
              <w:rPr>
                <w:rFonts w:ascii="Corbel" w:cs="Corbel" w:eastAsia="Corbel" w:hAnsi="Corbel"/>
                <w:b w:val="false"/>
                <w:bCs w:val="false"/>
                <w:i w:val="false"/>
                <w:iCs w:val="false"/>
                <w:color w:val="33454A"/>
                <w:sz w:val="14"/>
                <w:szCs w:val="14"/>
              </w:rPr>
              <w:t xml:space="preserve">marché · SWOT · PESTEL</w:t>
            </w:r>
          </w:p>
        </w:tc>
        <w:tc>
          <w:tcPr>
            <w:tcW w:type="dxa" w:w="1495"/>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2</w:t>
            </w:r>
          </w:p>
          <w:p>
            <w:pPr>
              <w:spacing w:after="20" w:before="0" w:line="252"/>
            </w:pPr>
            <w:r>
              <w:rPr>
                <w:rFonts w:ascii="Corbel" w:cs="Corbel" w:eastAsia="Corbel" w:hAnsi="Corbel"/>
                <w:b/>
                <w:bCs/>
                <w:i w:val="false"/>
                <w:iCs w:val="false"/>
                <w:color w:val="C25438"/>
                <w:sz w:val="16"/>
                <w:szCs w:val="16"/>
              </w:rPr>
              <w:t xml:space="preserve">Analyser</w:t>
            </w:r>
          </w:p>
          <w:p>
            <w:pPr>
              <w:spacing w:after="0" w:before="0" w:line="252"/>
            </w:pPr>
            <w:r>
              <w:rPr>
                <w:rFonts w:ascii="Corbel" w:cs="Corbel" w:eastAsia="Corbel" w:hAnsi="Corbel"/>
                <w:b w:val="false"/>
                <w:bCs w:val="false"/>
                <w:i w:val="false"/>
                <w:iCs w:val="false"/>
                <w:color w:val="33454A"/>
                <w:sz w:val="14"/>
                <w:szCs w:val="14"/>
              </w:rPr>
              <w:t xml:space="preserve">3 datasets · 6 axes</w:t>
            </w:r>
          </w:p>
        </w:tc>
        <w:tc>
          <w:tcPr>
            <w:tcW w:type="dxa" w:w="1495"/>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3</w:t>
            </w:r>
          </w:p>
          <w:p>
            <w:pPr>
              <w:spacing w:after="20" w:before="0" w:line="252"/>
            </w:pPr>
            <w:r>
              <w:rPr>
                <w:rFonts w:ascii="Corbel" w:cs="Corbel" w:eastAsia="Corbel" w:hAnsi="Corbel"/>
                <w:b/>
                <w:bCs/>
                <w:i w:val="false"/>
                <w:iCs w:val="false"/>
                <w:color w:val="C25438"/>
                <w:sz w:val="16"/>
                <w:szCs w:val="16"/>
              </w:rPr>
              <w:t xml:space="preserve">Positionner</w:t>
            </w:r>
          </w:p>
          <w:p>
            <w:pPr>
              <w:spacing w:after="0" w:before="0" w:line="252"/>
            </w:pPr>
            <w:r>
              <w:rPr>
                <w:rFonts w:ascii="Corbel" w:cs="Corbel" w:eastAsia="Corbel" w:hAnsi="Corbel"/>
                <w:b w:val="false"/>
                <w:bCs w:val="false"/>
                <w:i w:val="false"/>
                <w:iCs w:val="false"/>
                <w:color w:val="33454A"/>
                <w:sz w:val="14"/>
                <w:szCs w:val="14"/>
              </w:rPr>
              <w:t xml:space="preserve">concept de jeu</w:t>
            </w:r>
          </w:p>
        </w:tc>
        <w:tc>
          <w:tcPr>
            <w:tcW w:type="dxa" w:w="1495"/>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4</w:t>
            </w:r>
          </w:p>
          <w:p>
            <w:pPr>
              <w:spacing w:after="20" w:before="0" w:line="252"/>
            </w:pPr>
            <w:r>
              <w:rPr>
                <w:rFonts w:ascii="Corbel" w:cs="Corbel" w:eastAsia="Corbel" w:hAnsi="Corbel"/>
                <w:b/>
                <w:bCs/>
                <w:i w:val="false"/>
                <w:iCs w:val="false"/>
                <w:color w:val="C25438"/>
                <w:sz w:val="16"/>
                <w:szCs w:val="16"/>
              </w:rPr>
              <w:t xml:space="preserve">Valider</w:t>
            </w:r>
          </w:p>
          <w:p>
            <w:pPr>
              <w:spacing w:after="0" w:before="0" w:line="252"/>
            </w:pPr>
            <w:r>
              <w:rPr>
                <w:rFonts w:ascii="Corbel" w:cs="Corbel" w:eastAsia="Corbel" w:hAnsi="Corbel"/>
                <w:b w:val="false"/>
                <w:bCs w:val="false"/>
                <w:i w:val="false"/>
                <w:iCs w:val="false"/>
                <w:color w:val="33454A"/>
                <w:sz w:val="14"/>
                <w:szCs w:val="14"/>
              </w:rPr>
              <w:t xml:space="preserve">questionnaire joueurs</w:t>
            </w:r>
          </w:p>
        </w:tc>
        <w:tc>
          <w:tcPr>
            <w:tcW w:type="dxa" w:w="1495"/>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5</w:t>
            </w:r>
          </w:p>
          <w:p>
            <w:pPr>
              <w:spacing w:after="20" w:before="0" w:line="252"/>
            </w:pPr>
            <w:r>
              <w:rPr>
                <w:rFonts w:ascii="Corbel" w:cs="Corbel" w:eastAsia="Corbel" w:hAnsi="Corbel"/>
                <w:b/>
                <w:bCs/>
                <w:i w:val="false"/>
                <w:iCs w:val="false"/>
                <w:color w:val="C25438"/>
                <w:sz w:val="16"/>
                <w:szCs w:val="16"/>
              </w:rPr>
              <w:t xml:space="preserve">Incarner</w:t>
            </w:r>
          </w:p>
          <w:p>
            <w:pPr>
              <w:spacing w:after="0" w:before="0" w:line="252"/>
            </w:pPr>
            <w:r>
              <w:rPr>
                <w:rFonts w:ascii="Corbel" w:cs="Corbel" w:eastAsia="Corbel" w:hAnsi="Corbel"/>
                <w:b w:val="false"/>
                <w:bCs w:val="false"/>
                <w:i w:val="false"/>
                <w:iCs w:val="false"/>
                <w:color w:val="33454A"/>
                <w:sz w:val="14"/>
                <w:szCs w:val="14"/>
              </w:rPr>
              <w:t xml:space="preserve">persona cible</w:t>
            </w:r>
          </w:p>
        </w:tc>
        <w:tc>
          <w:tcPr>
            <w:tcW w:type="dxa" w:w="1495"/>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6</w:t>
            </w:r>
          </w:p>
          <w:p>
            <w:pPr>
              <w:spacing w:after="20" w:before="0" w:line="252"/>
            </w:pPr>
            <w:r>
              <w:rPr>
                <w:rFonts w:ascii="Corbel" w:cs="Corbel" w:eastAsia="Corbel" w:hAnsi="Corbel"/>
                <w:b/>
                <w:bCs/>
                <w:i w:val="false"/>
                <w:iCs w:val="false"/>
                <w:color w:val="C25438"/>
                <w:sz w:val="16"/>
                <w:szCs w:val="16"/>
              </w:rPr>
              <w:t xml:space="preserve">Recommander</w:t>
            </w:r>
          </w:p>
          <w:p>
            <w:pPr>
              <w:spacing w:after="0" w:before="0" w:line="252"/>
            </w:pPr>
            <w:r>
              <w:rPr>
                <w:rFonts w:ascii="Corbel" w:cs="Corbel" w:eastAsia="Corbel" w:hAnsi="Corbel"/>
                <w:b w:val="false"/>
                <w:bCs w:val="false"/>
                <w:i w:val="false"/>
                <w:iCs w:val="false"/>
                <w:color w:val="33454A"/>
                <w:sz w:val="14"/>
                <w:szCs w:val="14"/>
              </w:rPr>
              <w:t xml:space="preserve">reco finale · prix</w:t>
            </w:r>
          </w:p>
        </w:tc>
        <w:tc>
          <w:tcPr>
            <w:tcW w:type="dxa" w:w="149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7</w:t>
            </w:r>
          </w:p>
          <w:p>
            <w:pPr>
              <w:spacing w:after="20" w:before="0" w:line="252"/>
            </w:pPr>
            <w:r>
              <w:rPr>
                <w:rFonts w:ascii="Corbel" w:cs="Corbel" w:eastAsia="Corbel" w:hAnsi="Corbel"/>
                <w:b/>
                <w:bCs/>
                <w:i w:val="false"/>
                <w:iCs w:val="false"/>
                <w:color w:val="C25438"/>
                <w:sz w:val="16"/>
                <w:szCs w:val="16"/>
              </w:rPr>
              <w:t xml:space="preserve">Chiffrer</w:t>
            </w:r>
          </w:p>
          <w:p>
            <w:pPr>
              <w:spacing w:after="0" w:before="0" w:line="252"/>
            </w:pPr>
            <w:r>
              <w:rPr>
                <w:rFonts w:ascii="Corbel" w:cs="Corbel" w:eastAsia="Corbel" w:hAnsi="Corbel"/>
                <w:b w:val="false"/>
                <w:bCs w:val="false"/>
                <w:i w:val="false"/>
                <w:iCs w:val="false"/>
                <w:color w:val="33454A"/>
                <w:sz w:val="14"/>
                <w:szCs w:val="14"/>
              </w:rPr>
              <w:t xml:space="preserve">3 scénarios</w:t>
            </w:r>
          </w:p>
        </w:tc>
      </w:tr>
    </w:tbl>
    <w:p>
      <w:pPr>
        <w:spacing w:after="20" w:before="200" w:line="252"/>
      </w:pPr>
      <w:r>
        <w:rPr>
          <w:rFonts w:ascii="Corbel" w:cs="Corbel" w:eastAsia="Corbel" w:hAnsi="Corbel"/>
          <w:b/>
          <w:bCs/>
          <w:i w:val="false"/>
          <w:iCs w:val="false"/>
          <w:color w:val="0E5A66"/>
          <w:sz w:val="24"/>
          <w:szCs w:val="24"/>
        </w:rPr>
        <w:t xml:space="preserve">4. Le cadre — ce que dit le marché</w:t>
      </w:r>
    </w:p>
    <w:p>
      <w:pPr>
        <w:spacing w:after="120" w:before="0" w:line="252"/>
      </w:pPr>
      <w:r>
        <w:rPr>
          <w:rFonts w:ascii="Corbel" w:cs="Corbel" w:eastAsia="Corbel" w:hAnsi="Corbel"/>
          <w:b w:val="false"/>
          <w:bCs w:val="false"/>
          <w:i w:val="false"/>
          <w:iCs w:val="false"/>
          <w:color w:val="33454A"/>
          <w:sz w:val="17"/>
          <w:szCs w:val="17"/>
        </w:rPr>
        <w:t xml:space="preserve">Un marché porteur, mais dont l'accès est réservé aux acteurs capables de se différencier. Le SWOT et le PESTEL servent ici à qualifier les conditions d'entrée, pas à produire un tableau de synthèse : ils déterminent ce qu'un nouvel entrant doit compenser.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200"/>
        <w:gridCol w:w="2400"/>
        <w:gridCol w:w="5866"/>
      </w:tblGrid>
      <w:tr>
        <w:tc>
          <w:tcPr>
            <w:tcW w:type="dxa" w:w="22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Dimension</w:t>
            </w:r>
          </w:p>
        </w:tc>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Chiffre clé</w:t>
            </w:r>
          </w:p>
        </w:tc>
        <w:tc>
          <w:tcPr>
            <w:tcW w:type="dxa" w:w="58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Lecture stratégique</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Taille et croissance</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189 Md$ en 2025</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Projection à 223 Md$ en 2030, soit une croissance annuelle moyenne de 3,4 % : le marché reste porteur pour un nouvel entrant.</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Audience</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3,6 Mds de joueurs (+4,4 %)</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54 % ont entre 18 et 35 ans et les plus de 50 ans progressent de 6,7 % par an : les attentes se segmentent, le ciblage devient déterminant.</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Géographie</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APAC 46 % · USA + Europe 46 %</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L'Asie domine en volume grâce au mobile, mais les joueurs occidentaux affichent la dépense moyenne la plus élevée : ce sont les marchés les plus rentables par tête pour un titre premium.</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Plateformes</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Mobile 55 % · PC et console 45 %</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premium se joue sur PC et console, qui restent le terrain naturel d'un AAA narratif.</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Modèles économiques</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Free-to-play 52 % du marché</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Les abonnements progressent de 18,2 % par an : la création de valeur se déplace vers l'engagement et la fidélisation.</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Concentration</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43 % des revenus chez 5 acteurs</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Marché dominé mais non fermé : Elden Ring, Baldur's Gate 3 et Clair Obscur montrent que la différenciation permet encore d'émerger.</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Barrières à l’entrée</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100–300 M€ · 5–7 ans</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Coûts considérables, cycles longs, dépendance aux plateformes et notoriété entièrement à construire : ce sont les faiblesses qu'un nouvel entrant doit compenser par le positionnement.</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Opportunités</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−20 à −40 % de coûts via l’IA</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Marchés émergents, IA générative dans la production d'actifs, synergies cross-média, cloud gaming et abonnements : autant de relais pour un acteur agile.</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Tendances 2026-2030</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4 signaux</w:t>
            </w:r>
          </w:p>
        </w:tc>
        <w:tc>
          <w:tcPr>
            <w:tcW w:type="dxa" w:w="5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IA générative et narration interactive, cloud gaming et play anywhere, univers transmédia, arrivée de la génération Alpha : les modèles gagnants créeront une relation durable avec leur communauté.</w:t>
            </w:r>
          </w:p>
        </w:tc>
      </w:tr>
    </w:tbl>
    <w:p>
      <w:pPr>
        <w:spacing w:after="20" w:before="200" w:line="252"/>
      </w:pPr>
      <w:r>
        <w:rPr>
          <w:rFonts w:ascii="Corbel" w:cs="Corbel" w:eastAsia="Corbel" w:hAnsi="Corbel"/>
          <w:b/>
          <w:bCs/>
          <w:i w:val="false"/>
          <w:iCs w:val="false"/>
          <w:color w:val="0E5A66"/>
          <w:sz w:val="24"/>
          <w:szCs w:val="24"/>
        </w:rPr>
        <w:t xml:space="preserve">5. Les six analyses — du marché global au segment cible</w:t>
      </w:r>
    </w:p>
    <w:p>
      <w:pPr>
        <w:spacing w:after="120" w:before="0" w:line="252"/>
      </w:pPr>
      <w:r>
        <w:rPr>
          <w:rFonts w:ascii="Corbel" w:cs="Corbel" w:eastAsia="Corbel" w:hAnsi="Corbel"/>
          <w:b w:val="false"/>
          <w:bCs w:val="false"/>
          <w:i/>
          <w:iCs/>
          <w:color w:val="6C7B7E"/>
          <w:sz w:val="17"/>
          <w:szCs w:val="17"/>
        </w:rPr>
        <w:t xml:space="preserve">Chaque question posée aux données produit une décision, pas un constat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00"/>
        <w:gridCol w:w="2600"/>
        <w:gridCol w:w="5966"/>
      </w:tblGrid>
      <w:tr>
        <w:tc>
          <w:tcPr>
            <w:tcW w:type="dxa" w:w="1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Question</w:t>
            </w:r>
          </w:p>
        </w:tc>
        <w:tc>
          <w:tcPr>
            <w:tcW w:type="dxa" w:w="2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Réponse</w:t>
            </w:r>
          </w:p>
        </w:tc>
        <w:tc>
          <w:tcPr>
            <w:tcW w:type="dxa" w:w="59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 chiffrée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Où vendre ?</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Amérique du Nord puis Europe, APAC en relais</w:t>
            </w:r>
          </w:p>
        </w:tc>
        <w:tc>
          <w:tcPr>
            <w:tcW w:type="dxa" w:w="5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États-Unis et Europe pèsent 46 % des revenus mondiaux avec la dépense par joueur la plus élevée. L'APAC pèse également 46 % mais son poids est porté par le mobile.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Quel genre ?</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Action-RPG premium avec mécaniques shooter</w:t>
            </w:r>
          </w:p>
        </w:tc>
        <w:tc>
          <w:tcPr>
            <w:tcW w:type="dxa" w:w="5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L'Action représente 1 870 millions d'unités historiques, soit un jeu sur cinq. Le Shooter affiche les meilleures ventes moyennes par titre (0,80 M) et le RPG une rentabilité élevée pour une concurrence modérée. Hors Top 20, le temps de jeu se reporte vers Adventure (+18 %) et RPG (+22 %).</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Quelles plateformes ?</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PS5 et PC en lancement simultané</w:t>
            </w:r>
          </w:p>
        </w:tc>
        <w:tc>
          <w:tcPr>
            <w:tcW w:type="dxa" w:w="5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 PS5 est la console premium la plus dynamique avec 21,7 millions d'unités vendues par an ; la console progresse plus vite que le PC (+5,5 % contre +2,5 %). Lors d'un lancement simultané, le PC représente 39 % des joueurs contre 11 % en portage différé.</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Quels facteurs de succès ?</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 qualité est un seuil, la rétention et la recommandation font la différence</w:t>
            </w:r>
          </w:p>
        </w:tc>
        <w:tc>
          <w:tcPr>
            <w:tcW w:type="dxa" w:w="5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Dans le Top 100 : note critique moyenne de 85,2, complétion de 35,3 %, abandon de 19,1 % (15,5 % pour le Shooter) et 93,5 % de jeux recommandés. Le RPG affiche la meilleure qualité perçue à 89,3.</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Quel modèle économique ?</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Premium enrichi d'une édition deluxe et de deux extensions narratives</w:t>
            </w:r>
          </w:p>
        </w:tc>
        <w:tc>
          <w:tcPr>
            <w:tcW w:type="dxa" w:w="5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premium représente 50 % des revenus sur console (+12,1 %) et 29 % sur PC (+11,8 %). Les extensions pèsent 17 à 23 % des revenus des années 2 à 5.</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Que font les blockbusters ?</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Trois piliers récurrents : exploration libre, combat engageant, progression RPG</w:t>
            </w:r>
          </w:p>
        </w:tc>
        <w:tc>
          <w:tcPr>
            <w:tcW w:type="dxa" w:w="5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GTA V pour l'open world grand public, Call of Duty pour le combat accessible et rythmé, Skyrim pour la progression libre (Metacritic 94). L'hybridation est confirmée par les succès récents : Elden Ring, Cyberpunk 2077, Baldur's Gate 3.</w:t>
            </w:r>
          </w:p>
        </w:tc>
      </w:tr>
    </w:tbl>
    <w:p>
      <w:pPr>
        <w:spacing w:after="20" w:before="200" w:line="252"/>
      </w:pPr>
      <w:r>
        <w:rPr>
          <w:rFonts w:ascii="Corbel" w:cs="Corbel" w:eastAsia="Corbel" w:hAnsi="Corbel"/>
          <w:b/>
          <w:bCs/>
          <w:i w:val="false"/>
          <w:iCs w:val="false"/>
          <w:color w:val="0E5A66"/>
          <w:sz w:val="24"/>
          <w:szCs w:val="24"/>
        </w:rPr>
        <w:t xml:space="preserve">6. La validation terrain</w:t>
      </w:r>
    </w:p>
    <w:p>
      <w:pPr>
        <w:spacing w:after="120" w:before="0" w:line="252"/>
      </w:pPr>
      <w:r>
        <w:rPr>
          <w:rFonts w:ascii="Corbel" w:cs="Corbel" w:eastAsia="Corbel" w:hAnsi="Corbel"/>
          <w:b w:val="false"/>
          <w:bCs w:val="false"/>
          <w:i w:val="false"/>
          <w:iCs w:val="false"/>
          <w:color w:val="33454A"/>
          <w:sz w:val="17"/>
          <w:szCs w:val="17"/>
        </w:rPr>
        <w:t xml:space="preserve">Un questionnaire de 8 questions auprès de 12 joueurs. L'échantillon est exploratoire et ne prétend pas à la représentativité statistique — mais son profil (âge, temps de jeu, budget) en fait un panel concerné, capable d'évaluer une expérience premium longue.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200"/>
        <w:gridCol w:w="2000"/>
        <w:gridCol w:w="6266"/>
      </w:tblGrid>
      <w:tr>
        <w:tc>
          <w:tcPr>
            <w:tcW w:type="dxa" w:w="22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Question</w:t>
            </w:r>
          </w:p>
        </w:tc>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Résultat</w:t>
            </w:r>
          </w:p>
        </w:tc>
        <w:tc>
          <w:tcPr>
            <w:tcW w:type="dxa" w:w="62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Ce que cela valide</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Tranche d'âge</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58 % ont 18-34 ans</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Une structure d'âge cohérente avec le marché mondial, où 54 % des joueurs ont entre 18 et 35 ans.</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Temps de jeu</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83 % jouent plus de 5 h par semaine</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Des joueurs suffisamment engagés pour évaluer une expérience longue et immersive.</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Budget annuel</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67 % dépensent plus de 100 €</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 viabilité d'un positionnement premium à 79,99 €.</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Plateformes</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PC 75 %, PS5 en deuxième position</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choix du duo PC et PS5 en lancement simultané.</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Genre préféré</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66,7 % citent l'Action-RPG</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genre identifié par l'analyse de données arrive également en tête des préférences déclarées.</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Déclencheurs d'achat</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Univers et scénario, puis influenceurs</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L'axe de communication : mettre en avant l'univers et s'appuyer sur les créateurs de contenu.</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Intérêt pour le concept</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100 % se déclarent intéressés</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L'attractivité du concept auprès de joueurs concernés — aucun rejet.</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Attentes (réponses libres)</w:t>
            </w:r>
          </w:p>
        </w:tc>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Personnalisation 7 · Open World 6 · Quêtes 5</w:t>
            </w:r>
          </w:p>
        </w:tc>
        <w:tc>
          <w:tcPr>
            <w:tcW w:type="dxa" w:w="6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Les trois piliers du benchmark remontent spontanément, avec une hiérarchie : la personnalisation prime, le combat n'arrive qu'en quatrième position (3 mentions).</w:t>
            </w:r>
          </w:p>
        </w:tc>
      </w:tr>
    </w:tbl>
    <w:p>
      <w:pPr>
        <w:spacing w:after="60" w:before="0" w:line="252"/>
      </w:pPr>
    </w:p>
    <w:p>
      <w:pPr>
        <w:spacing w:after="60" w:before="0" w:line="252"/>
      </w:pPr>
      <w:r>
        <w:rPr>
          <w:rFonts w:ascii="Corbel" w:cs="Corbel" w:eastAsia="Corbel" w:hAnsi="Corbel"/>
          <w:b w:val="false"/>
          <w:bCs w:val="false"/>
          <w:i w:val="false"/>
          <w:iCs w:val="false"/>
          <w:color w:val="33454A"/>
          <w:sz w:val="17"/>
          <w:szCs w:val="17"/>
        </w:rPr>
        <w:t xml:space="preserve">Le persona qui en découle — un joueur de 18 à 34 ans, engagé, jouant sur PC et PS5, disposant d'un budget de 100 à 200 € par an — recherche avant tout un univers immersif, une forte personnalisation et une progression profonde. Ses freins sont explicites : pay-to-win, microtransactions agressives, gameplay répétitif et live-service trop contraignant. Ils ont directement orienté le choix du modèle économique.</w:t>
      </w:r>
    </w:p>
    <w:p>
      <w:pPr>
        <w:spacing w:after="20" w:before="200" w:line="252"/>
      </w:pPr>
      <w:r>
        <w:rPr>
          <w:rFonts w:ascii="Corbel" w:cs="Corbel" w:eastAsia="Corbel" w:hAnsi="Corbel"/>
          <w:b/>
          <w:bCs/>
          <w:i w:val="false"/>
          <w:iCs w:val="false"/>
          <w:color w:val="0E5A66"/>
          <w:sz w:val="24"/>
          <w:szCs w:val="24"/>
        </w:rPr>
        <w:t xml:space="preserve">7. La recommandation stratégique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500"/>
        <w:gridCol w:w="3200"/>
        <w:gridCol w:w="5766"/>
      </w:tblGrid>
      <w:tr>
        <w:tc>
          <w:tcPr>
            <w:tcW w:type="dxa" w:w="15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Question</w:t>
            </w:r>
          </w:p>
        </w:tc>
        <w:tc>
          <w:tcPr>
            <w:tcW w:type="dxa" w:w="32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Recommandation</w:t>
            </w:r>
          </w:p>
        </w:tc>
        <w:tc>
          <w:tcPr>
            <w:tcW w:type="dxa" w:w="57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Justification</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Quoi ?</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Action-RPG premium en monde ouvert avec mécaniques shooter</w:t>
            </w:r>
          </w:p>
        </w:tc>
        <w:tc>
          <w:tcPr>
            <w:tcW w:type="dxa" w:w="5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L'Action apporte le plus fort potentiel d'audience, le Shooter l'engagement immédiat et la meilleure rétention, le RPG la qualité perçue et la fidélisation, l'open world l'exploration et la personnalisation. L'hybridation cumule les trois avantages sans subir la saturation d'un genre unique.</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Où et quand ?</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PC et PS5 en lancement simultané, Amérique du Nord puis Europe, APAC en phase 2</w:t>
            </w:r>
          </w:p>
        </w:tc>
        <w:tc>
          <w:tcPr>
            <w:tcW w:type="dxa" w:w="5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lancement simultané capte 39 % de joueurs PC contre 11 % pour un portage différé. Fenêtre recommandée au premier semestre, pour éviter la saturation d'octobre-novembre.</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Combien ?</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Standard 79,99 €, Deluxe 99,99 €, deux extensions narratives à 19,99–29,99 €</w:t>
            </w:r>
          </w:p>
        </w:tc>
        <w:tc>
          <w:tcPr>
            <w:tcW w:type="dxa" w:w="5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premium concentre les revenus du lancement, les extensions prolongent la monétisation et peuvent représenter 20 à 25 % des revenus après la première année. À écarter : battle pass, pay-to-win et microtransactions agressives, identifiés comme freins par le persona.</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Comment ?</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Onboarding fort, personnalisation immédiate, progression RPG claire, boucle de jeu engageante</w:t>
            </w:r>
          </w:p>
        </w:tc>
        <w:tc>
          <w:tcPr>
            <w:tcW w:type="dxa" w:w="5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Les premières heures conditionnent la rétention : le taux d'abandon moyen du Top 100 est de 19,1 %, et la personnalisation arrive en tête des attentes exprimées par les joueurs interrogés.</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Et après ?</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Construire une licence, pas un jeu isolé</w:t>
            </w:r>
          </w:p>
        </w:tc>
        <w:tc>
          <w:tcPr>
            <w:tcW w:type="dxa" w:w="5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Lancement, première extension vers 12 mois, seconde entre 18 et 24 mois, édition complète au-delà, puis promotions et bundles. Animation continue de la communauté et développement progressif de l'univers.</w:t>
            </w:r>
          </w:p>
        </w:tc>
      </w:tr>
    </w:tbl>
    <w:p>
      <w:pPr>
        <w:spacing w:after="20" w:before="200" w:line="252"/>
      </w:pPr>
      <w:r>
        <w:rPr>
          <w:rFonts w:ascii="Corbel" w:cs="Corbel" w:eastAsia="Corbel" w:hAnsi="Corbel"/>
          <w:b/>
          <w:bCs/>
          <w:i w:val="false"/>
          <w:iCs w:val="false"/>
          <w:color w:val="0E5A66"/>
          <w:sz w:val="24"/>
          <w:szCs w:val="24"/>
        </w:rPr>
        <w:t xml:space="preserve">8. Le prévisionnel commercial</w:t>
      </w:r>
    </w:p>
    <w:p>
      <w:pPr>
        <w:spacing w:after="120" w:before="0" w:line="252"/>
      </w:pPr>
      <w:r>
        <w:rPr>
          <w:rFonts w:ascii="Corbel" w:cs="Corbel" w:eastAsia="Corbel" w:hAnsi="Corbel"/>
          <w:b w:val="false"/>
          <w:bCs w:val="false"/>
          <w:i/>
          <w:iCs/>
          <w:color w:val="6C7B7E"/>
          <w:sz w:val="17"/>
          <w:szCs w:val="17"/>
        </w:rPr>
        <w:t xml:space="preserve">Trois scénarios adossés à des jeux comparables réels et sourcés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3489"/>
        <w:gridCol w:w="3489"/>
        <w:gridCol w:w="3488"/>
      </w:tblGrid>
      <w:tr>
        <w:tc>
          <w:tcPr>
            <w:tcW w:type="dxa" w:w="3489"/>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935 000</w:t>
            </w:r>
          </w:p>
          <w:p>
            <w:pPr>
              <w:spacing w:after="0" w:before="0" w:line="252"/>
              <w:jc w:val="center"/>
            </w:pPr>
            <w:r>
              <w:rPr>
                <w:rFonts w:ascii="Corbel" w:cs="Corbel" w:eastAsia="Corbel" w:hAnsi="Corbel"/>
                <w:b w:val="false"/>
                <w:bCs w:val="false"/>
                <w:i w:val="false"/>
                <w:iCs w:val="false"/>
                <w:color w:val="6C7B7E"/>
                <w:sz w:val="16"/>
                <w:szCs w:val="16"/>
              </w:rPr>
              <w:t xml:space="preserve">unités en scénario central sur deux ans</w:t>
            </w:r>
          </w:p>
        </w:tc>
        <w:tc>
          <w:tcPr>
            <w:tcW w:type="dxa" w:w="3489"/>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106 M€</w:t>
            </w:r>
          </w:p>
          <w:p>
            <w:pPr>
              <w:spacing w:after="0" w:before="0" w:line="252"/>
              <w:jc w:val="center"/>
            </w:pPr>
            <w:r>
              <w:rPr>
                <w:rFonts w:ascii="Corbel" w:cs="Corbel" w:eastAsia="Corbel" w:hAnsi="Corbel"/>
                <w:b w:val="false"/>
                <w:bCs w:val="false"/>
                <w:i w:val="false"/>
                <w:iCs w:val="false"/>
                <w:color w:val="6C7B7E"/>
                <w:sz w:val="16"/>
                <w:szCs w:val="16"/>
              </w:rPr>
              <w:t xml:space="preserve">de chiffre d'affaires brut cumulé</w:t>
            </w:r>
          </w:p>
        </w:tc>
        <w:tc>
          <w:tcPr>
            <w:tcW w:type="dxa" w:w="3488"/>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 74 M€</w:t>
            </w:r>
          </w:p>
          <w:p>
            <w:pPr>
              <w:spacing w:after="0" w:before="0" w:line="252"/>
              <w:jc w:val="center"/>
            </w:pPr>
            <w:r>
              <w:rPr>
                <w:rFonts w:ascii="Corbel" w:cs="Corbel" w:eastAsia="Corbel" w:hAnsi="Corbel"/>
                <w:b w:val="false"/>
                <w:bCs w:val="false"/>
                <w:i w:val="false"/>
                <w:iCs w:val="false"/>
                <w:color w:val="6C7B7E"/>
                <w:sz w:val="16"/>
                <w:szCs w:val="16"/>
              </w:rPr>
              <w:t xml:space="preserve">de net éditeur après commissions de 30 %</w:t>
            </w:r>
          </w:p>
        </w:tc>
      </w:tr>
    </w:tbl>
    <w:p>
      <w:pPr>
        <w:spacing w:after="100" w:before="0" w:line="252"/>
      </w:pP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00"/>
        <w:gridCol w:w="2400"/>
        <w:gridCol w:w="1400"/>
        <w:gridCol w:w="1500"/>
        <w:gridCol w:w="3466"/>
      </w:tblGrid>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Scénario</w:t>
            </w:r>
          </w:p>
        </w:tc>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Jeu comparable</w:t>
            </w:r>
          </w:p>
        </w:tc>
        <w:tc>
          <w:tcPr>
            <w:tcW w:type="dxa" w:w="1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Ventes an 1</w:t>
            </w:r>
          </w:p>
        </w:tc>
        <w:tc>
          <w:tcPr>
            <w:tcW w:type="dxa" w:w="15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CA 2 ans</w:t>
            </w:r>
          </w:p>
        </w:tc>
        <w:tc>
          <w:tcPr>
            <w:tcW w:type="dxa" w:w="3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Hypothèses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Prudent</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GreedFall (2019) — Spiders / Focus Home</w:t>
            </w:r>
          </w:p>
        </w:tc>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500 000</w:t>
            </w:r>
          </w:p>
        </w:tc>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57 M€</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Metacritic 80-82, acquisition plus faible que prévue, faible notoriété, budget marketing limité. Décote de 50 % appliquée au comparable.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Central — retenu</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Lords of the Fallen (2023) — HEXWORKS / CI Games</w:t>
            </w:r>
          </w:p>
        </w:tc>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935 000</w:t>
            </w:r>
          </w:p>
        </w:tc>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106 M€</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Metacritic supérieur ou égal à 85, lancement simultané PC et PS5, réception critique et bouche-à-oreille favorables.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Ambitieux</w:t>
            </w:r>
          </w:p>
        </w:tc>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Remnant II (2023) — Gunfire Games / Gearbox</w:t>
            </w:r>
          </w:p>
        </w:tc>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1 300 000</w:t>
            </w:r>
          </w:p>
        </w:tc>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147 M€</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Metacritic supérieur à 88, recommandation joueurs au-delà de 90 %, bouche-à-oreille viral, forte différenciation Action-RPG et Shooter. Décote de 35 %.</w:t>
            </w:r>
          </w:p>
        </w:tc>
      </w:tr>
    </w:tbl>
    <w:p>
      <w:pPr>
        <w:spacing w:after="60" w:before="0" w:line="252"/>
      </w:pP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400"/>
        <w:gridCol w:w="8066"/>
      </w:tblGrid>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Mix éditions</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Standard 79,99 € pour 80 % des ventes et Deluxe 99,99 € pour 20 %, soit un prix moyen pondéré de 83,99 € — prix public consommateur.</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Répartition géographique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Année 1 : Amérique du Nord 50 %, Europe 35 %, APAC hors Japon 10 %, Japon 5 %. En année 2, l'APAC monte à 13 % au détriment de l'Amérique du Nord.</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Structure année 2</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Chiffre d'affaires égal à 35 % de celui de l'année 1, dont 22 % issus des extensions narratives et 78 % de nouvelles ventes du jeu de base. Aucune extension en année 1 : leur développement demande 9 à 12 mois après le lancement.</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Lecture de la rentabilité</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Après commissions plateformes de 30 %, le net éditeur est estimé à environ 74 M€ sur deux ans. Le projet est rentable en dessous d'environ 55 M€ de budget total, ce qui situe le titre dans la catégorie AA+ (20 à 70 M€) plutôt que dans le AAA à gros budget.</w:t>
            </w:r>
          </w:p>
        </w:tc>
      </w:tr>
    </w:tbl>
    <w:p>
      <w:pPr>
        <w:spacing w:after="60" w:before="0" w:line="252"/>
      </w:pPr>
    </w:p>
    <w:p>
      <w:pPr>
        <w:spacing w:after="60" w:before="0" w:line="252"/>
      </w:pPr>
      <w:r>
        <w:rPr>
          <w:rFonts w:ascii="Corbel" w:cs="Corbel" w:eastAsia="Corbel" w:hAnsi="Corbel"/>
          <w:b/>
          <w:bCs/>
          <w:i w:val="false"/>
          <w:iCs w:val="false"/>
          <w:color w:val="C25438"/>
          <w:sz w:val="18"/>
          <w:szCs w:val="18"/>
        </w:rPr>
        <w:t xml:space="preserve">Point de transparence méthodologique — </w:t>
      </w:r>
      <w:r>
        <w:rPr>
          <w:rFonts w:ascii="Corbel" w:cs="Corbel" w:eastAsia="Corbel" w:hAnsi="Corbel"/>
          <w:b w:val="false"/>
          <w:bCs w:val="false"/>
          <w:i w:val="false"/>
          <w:iCs w:val="false"/>
          <w:color w:val="33454A"/>
          <w:sz w:val="17"/>
          <w:szCs w:val="17"/>
        </w:rPr>
        <w:t xml:space="preserve">le scénario central de 935 000 unités n'est pas un résultat de calcul. La base mécanique, obtenue en appliquant un coefficient de 55 % au comparable, s'établit à 715 000 unités. Les 935 000 constituent une hypothèse de management située dans la fourchette haute (750 000 à 950 000), assumée et présentée comme telle dans la soutenance. Le chiffre d'affaires est par ailleurs un brut au prix public consommateur, avant commissions, promotions et coûts de production.</w:t>
      </w:r>
    </w:p>
    <w:p>
      <w:pPr>
        <w:spacing w:after="20" w:before="200" w:line="252"/>
      </w:pPr>
      <w:r>
        <w:rPr>
          <w:rFonts w:ascii="Corbel" w:cs="Corbel" w:eastAsia="Corbel" w:hAnsi="Corbel"/>
          <w:b/>
          <w:bCs/>
          <w:i w:val="false"/>
          <w:iCs w:val="false"/>
          <w:color w:val="0E5A66"/>
          <w:sz w:val="24"/>
          <w:szCs w:val="24"/>
        </w:rPr>
        <w:t xml:space="preserve">9. Limites et prochaines pistes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233"/>
        <w:gridCol w:w="5233"/>
      </w:tblGrid>
      <w:tr>
        <w:tc>
          <w:tcPr>
            <w:tcW w:type="dxa" w:w="5233"/>
            <w:tcBorders>
              <w:top w:val="single" w:color="DCE6E7" w:sz="4"/>
              <w:left w:val="single" w:color="DCE6E7" w:sz="4"/>
              <w:bottom w:val="single" w:color="DCE6E7" w:sz="4"/>
              <w:right w:val="single" w:color="DCE6E7" w:sz="4"/>
            </w:tcBorders>
            <w:shd w:fill="FBEEE4"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C25438"/>
                <w:sz w:val="17"/>
                <w:szCs w:val="17"/>
              </w:rPr>
              <w:t xml:space="preserve">CE QUE LE PROJET NE COUVRE PAS ENCORE</w:t>
            </w:r>
          </w:p>
          <w:p>
            <w:pPr>
              <w:spacing w:after="30" w:before="0" w:line="252"/>
            </w:pPr>
            <w:r>
              <w:rPr>
                <w:rFonts w:ascii="Corbel" w:cs="Corbel" w:eastAsia="Corbel" w:hAnsi="Corbel"/>
                <w:b w:val="false"/>
                <w:bCs w:val="false"/>
                <w:i w:val="false"/>
                <w:iCs w:val="false"/>
                <w:color w:val="33454A"/>
                <w:sz w:val="16"/>
                <w:szCs w:val="16"/>
              </w:rPr>
              <w:t xml:space="preserve">— L'étude porte sur un lancement futur : aucune donnée réelle ne permet de valider les prévisions.</w:t>
            </w:r>
          </w:p>
          <w:p>
            <w:pPr>
              <w:spacing w:after="30" w:before="0" w:line="252"/>
            </w:pPr>
            <w:r>
              <w:rPr>
                <w:rFonts w:ascii="Corbel" w:cs="Corbel" w:eastAsia="Corbel" w:hAnsi="Corbel"/>
                <w:b w:val="false"/>
                <w:bCs w:val="false"/>
                <w:i w:val="false"/>
                <w:iCs w:val="false"/>
                <w:color w:val="33454A"/>
                <w:sz w:val="16"/>
                <w:szCs w:val="16"/>
              </w:rPr>
              <w:t xml:space="preserve">— L'échantillon terrain est exploratoire (12 répondants) et non représentatif statistiquement.</w:t>
            </w:r>
          </w:p>
          <w:p>
            <w:pPr>
              <w:spacing w:after="30" w:before="0" w:line="252"/>
            </w:pPr>
            <w:r>
              <w:rPr>
                <w:rFonts w:ascii="Corbel" w:cs="Corbel" w:eastAsia="Corbel" w:hAnsi="Corbel"/>
                <w:b w:val="false"/>
                <w:bCs w:val="false"/>
                <w:i w:val="false"/>
                <w:iCs w:val="false"/>
                <w:color w:val="33454A"/>
                <w:sz w:val="16"/>
                <w:szCs w:val="16"/>
              </w:rPr>
              <w:t xml:space="preserve">— Les ventes historiques s'arrêtent en 2016 : l'héritage du marché est documenté, pas son état actuel.</w:t>
            </w:r>
          </w:p>
          <w:p>
            <w:pPr>
              <w:spacing w:after="30" w:before="0" w:line="252"/>
            </w:pPr>
            <w:r>
              <w:rPr>
                <w:rFonts w:ascii="Corbel" w:cs="Corbel" w:eastAsia="Corbel" w:hAnsi="Corbel"/>
                <w:b w:val="false"/>
                <w:bCs w:val="false"/>
                <w:i w:val="false"/>
                <w:iCs w:val="false"/>
                <w:color w:val="33454A"/>
                <w:sz w:val="16"/>
                <w:szCs w:val="16"/>
              </w:rPr>
              <w:t xml:space="preserve">— Les coûts réels de production ne sont pas connus : la rentabilité est exprimée en seuil, pas en résultat.</w:t>
            </w:r>
          </w:p>
          <w:p>
            <w:pPr>
              <w:spacing w:after="0" w:before="0" w:line="252"/>
            </w:pPr>
            <w:r>
              <w:rPr>
                <w:rFonts w:ascii="Corbel" w:cs="Corbel" w:eastAsia="Corbel" w:hAnsi="Corbel"/>
                <w:b w:val="false"/>
                <w:bCs w:val="false"/>
                <w:i w:val="false"/>
                <w:iCs w:val="false"/>
                <w:color w:val="33454A"/>
                <w:sz w:val="16"/>
                <w:szCs w:val="16"/>
              </w:rPr>
              <w:t xml:space="preserve">— Le scénario central relève d'une hypothèse de management, explicitement distinguée du calcul.</w:t>
            </w:r>
          </w:p>
        </w:tc>
        <w:tc>
          <w:tcPr>
            <w:tcW w:type="dxa" w:w="5233"/>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7"/>
                <w:szCs w:val="17"/>
              </w:rPr>
              <w:t xml:space="preserve">PROCHAINES PISTES</w:t>
            </w:r>
          </w:p>
          <w:p>
            <w:pPr>
              <w:spacing w:after="30" w:before="0" w:line="252"/>
            </w:pPr>
            <w:r>
              <w:rPr>
                <w:rFonts w:ascii="Corbel" w:cs="Corbel" w:eastAsia="Corbel" w:hAnsi="Corbel"/>
                <w:b w:val="false"/>
                <w:bCs w:val="false"/>
                <w:i w:val="false"/>
                <w:iCs w:val="false"/>
                <w:color w:val="33454A"/>
                <w:sz w:val="16"/>
                <w:szCs w:val="16"/>
              </w:rPr>
              <w:t xml:space="preserve">— Élargir le questionnaire à un échantillon représentatif par âge, zone et plateforme.</w:t>
            </w:r>
          </w:p>
          <w:p>
            <w:pPr>
              <w:spacing w:after="30" w:before="0" w:line="252"/>
            </w:pPr>
            <w:r>
              <w:rPr>
                <w:rFonts w:ascii="Corbel" w:cs="Corbel" w:eastAsia="Corbel" w:hAnsi="Corbel"/>
                <w:b w:val="false"/>
                <w:bCs w:val="false"/>
                <w:i w:val="false"/>
                <w:iCs w:val="false"/>
                <w:color w:val="33454A"/>
                <w:sz w:val="16"/>
                <w:szCs w:val="16"/>
              </w:rPr>
              <w:t xml:space="preserve">— Tester le concept par un panel qualitatif ou un focus group pour affiner l'univers proposé.</w:t>
            </w:r>
          </w:p>
          <w:p>
            <w:pPr>
              <w:spacing w:after="30" w:before="0" w:line="252"/>
            </w:pPr>
            <w:r>
              <w:rPr>
                <w:rFonts w:ascii="Corbel" w:cs="Corbel" w:eastAsia="Corbel" w:hAnsi="Corbel"/>
                <w:b w:val="false"/>
                <w:bCs w:val="false"/>
                <w:i w:val="false"/>
                <w:iCs w:val="false"/>
                <w:color w:val="33454A"/>
                <w:sz w:val="16"/>
                <w:szCs w:val="16"/>
              </w:rPr>
              <w:t xml:space="preserve">— Compléter le jeu de données de ventes par des sources postérieures à 2016.</w:t>
            </w:r>
          </w:p>
          <w:p>
            <w:pPr>
              <w:spacing w:after="30" w:before="0" w:line="252"/>
            </w:pPr>
            <w:r>
              <w:rPr>
                <w:rFonts w:ascii="Corbel" w:cs="Corbel" w:eastAsia="Corbel" w:hAnsi="Corbel"/>
                <w:b w:val="false"/>
                <w:bCs w:val="false"/>
                <w:i w:val="false"/>
                <w:iCs w:val="false"/>
                <w:color w:val="33454A"/>
                <w:sz w:val="16"/>
                <w:szCs w:val="16"/>
              </w:rPr>
              <w:t xml:space="preserve">— Affiner le prévisionnel avec les coûts réels de développement et de marketing.</w:t>
            </w:r>
          </w:p>
          <w:p>
            <w:pPr>
              <w:spacing w:after="30" w:before="0" w:line="252"/>
            </w:pPr>
            <w:r>
              <w:rPr>
                <w:rFonts w:ascii="Corbel" w:cs="Corbel" w:eastAsia="Corbel" w:hAnsi="Corbel"/>
                <w:b w:val="false"/>
                <w:bCs w:val="false"/>
                <w:i w:val="false"/>
                <w:iCs w:val="false"/>
                <w:color w:val="33454A"/>
                <w:sz w:val="16"/>
                <w:szCs w:val="16"/>
              </w:rPr>
              <w:t xml:space="preserve">— Construire un tableau de bord de suivi post-lancement : ventes, rétention, complétion, recommandation.</w:t>
            </w:r>
          </w:p>
          <w:p>
            <w:pPr>
              <w:spacing w:after="0" w:before="0" w:line="252"/>
            </w:pPr>
            <w:r>
              <w:rPr>
                <w:rFonts w:ascii="Corbel" w:cs="Corbel" w:eastAsia="Corbel" w:hAnsi="Corbel"/>
                <w:b w:val="false"/>
                <w:bCs w:val="false"/>
                <w:i w:val="false"/>
                <w:iCs w:val="false"/>
                <w:color w:val="33454A"/>
                <w:sz w:val="16"/>
                <w:szCs w:val="16"/>
              </w:rPr>
              <w:t xml:space="preserve">— Modéliser une analyse de sensibilité sur le prix et le mix éditions.</w:t>
            </w:r>
          </w:p>
        </w:tc>
      </w:tr>
    </w:tbl>
    <w:p>
      <w:pPr>
        <w:spacing w:after="20" w:before="200" w:line="252"/>
      </w:pPr>
      <w:r>
        <w:rPr>
          <w:rFonts w:ascii="Corbel" w:cs="Corbel" w:eastAsia="Corbel" w:hAnsi="Corbel"/>
          <w:b/>
          <w:bCs/>
          <w:i w:val="false"/>
          <w:iCs w:val="false"/>
          <w:color w:val="0E5A66"/>
          <w:sz w:val="24"/>
          <w:szCs w:val="24"/>
        </w:rPr>
        <w:t xml:space="preserve">10. Sélection hiérarchisée des preuves</w:t>
      </w:r>
    </w:p>
    <w:p>
      <w:pPr>
        <w:spacing w:after="120" w:before="0" w:line="252"/>
      </w:pPr>
      <w:r>
        <w:rPr>
          <w:rFonts w:ascii="Corbel" w:cs="Corbel" w:eastAsia="Corbel" w:hAnsi="Corbel"/>
          <w:b w:val="false"/>
          <w:bCs w:val="false"/>
          <w:i/>
          <w:iCs/>
          <w:color w:val="6C7B7E"/>
          <w:sz w:val="17"/>
          <w:szCs w:val="17"/>
        </w:rPr>
        <w:t xml:space="preserve">Ce qu'un recruteur peut ouvrir et vérifier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00"/>
        <w:gridCol w:w="2900"/>
        <w:gridCol w:w="3700"/>
        <w:gridCol w:w="1966"/>
      </w:tblGrid>
      <w:tr>
        <w:tc>
          <w:tcPr>
            <w:tcW w:type="dxa" w:w="1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Priorité</w:t>
            </w:r>
          </w:p>
        </w:tc>
        <w:tc>
          <w:tcPr>
            <w:tcW w:type="dxa" w:w="2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w:t>
            </w:r>
          </w:p>
        </w:tc>
        <w:tc>
          <w:tcPr>
            <w:tcW w:type="dxa" w:w="3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Ce qu'elle démontre</w:t>
            </w:r>
          </w:p>
        </w:tc>
        <w:tc>
          <w:tcPr>
            <w:tcW w:type="dxa" w:w="19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Accès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1 — Essentielle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Support de soutenance (29 slides)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Construire un raisonnement stratégique en entonnoir et le restituer à une direction</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PPTX / PDF</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2 — Essentielle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Rapport Power BI (13 pages)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Modéliser trois jeux de données hétérogènes et en tirer six décisions argumentées</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Fichier .pbix</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3 — Importante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Prévisionnel commercial</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Construire un modèle financier à scénarios, sourcé et sensible aux hypothèses</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Classeur Excel</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4 — Importante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Questionnaire et analyse des réponses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Concevoir une collecte terrain et coder des réponses libres en enseignements</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Réponses + synthèse mots-clés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5 — Complémentaire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Note de méthode sur les benchmarks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Justifier les comparables retenus et documenter ceux qui ont été écartés</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Onglet Benchmarks du prévisionnel</w:t>
            </w:r>
          </w:p>
        </w:tc>
      </w:tr>
    </w:tbl>
    <w:p>
      <w:pPr>
        <w:spacing w:after="20" w:before="200" w:line="252"/>
      </w:pPr>
      <w:r>
        <w:rPr>
          <w:rFonts w:ascii="Corbel" w:cs="Corbel" w:eastAsia="Corbel" w:hAnsi="Corbel"/>
          <w:b/>
          <w:bCs/>
          <w:i w:val="false"/>
          <w:iCs w:val="false"/>
          <w:color w:val="0E5A66"/>
          <w:sz w:val="24"/>
          <w:szCs w:val="24"/>
        </w:rPr>
        <w:t xml:space="preserve">11. Compétences démontrées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00"/>
        <w:gridCol w:w="3300"/>
        <w:gridCol w:w="5466"/>
      </w:tblGrid>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Type</w:t>
            </w:r>
          </w:p>
        </w:tc>
        <w:tc>
          <w:tcPr>
            <w:tcW w:type="dxa" w:w="3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Compétence</w:t>
            </w:r>
          </w:p>
        </w:tc>
        <w:tc>
          <w:tcPr>
            <w:tcW w:type="dxa" w:w="5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 observable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Analyse stratégique de marché</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SWOT, PESTEL et analyse prospective mobilisés pour qualifier les conditions d'entrée d'un nouvel acteur, pas pour produire un tableau de synthèse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Modélisation dimensionnelle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Trois tables de faits, trois tables de pont pour les relations plusieurs-à-plusieurs, huit dimensions partagées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DAX &amp; data visualisation</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Une quarantaine de mesures (parts de marché, ventes moyennes par titre, intensité concurrentielle, score d'opportunité, complétion, abandon, recommandation) et un rapport de 13 pages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Analyse concurrentielle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Positionnement par genre croisant rentabilité et intensité concurrentielle ; benchmark de trois références décomposées en piliers réutilisables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Étude terrain</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Conception d'un questionnaire de 8 questions, analyse des réponses fermées et codage des réponses libres en mots-clés pondérés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Modélisation financière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Prévisionnel à trois scénarios adossés à des comparables sourcés, avec mix éditions, répartition géographique et lecture du seuil de rentabilité</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Esprit de synthèse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Cinq étapes d'analyse et 29 slides ramenées à une recommandation qui tient en une phrase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Honnêteté intellectuelle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Distinction explicite entre le résultat mécanique (715 000 unités) et l'hypothèse de management retenue (935 000), assumée en soutenance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Sens business</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Une analyse de marché traduite en positionnement produit, en grille tarifaire et en calendrier de contenus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Storytelling stratégique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Une construction en entonnoir où chaque étape referme une question ouverte par la précédente</w:t>
            </w:r>
          </w:p>
        </w:tc>
      </w:tr>
    </w:tbl>
    <w:p>
      <w:pPr>
        <w:spacing w:after="20" w:before="200" w:line="252"/>
      </w:pPr>
      <w:r>
        <w:rPr>
          <w:rFonts w:ascii="Corbel" w:cs="Corbel" w:eastAsia="Corbel" w:hAnsi="Corbel"/>
          <w:b/>
          <w:bCs/>
          <w:i w:val="false"/>
          <w:iCs w:val="false"/>
          <w:color w:val="0E5A66"/>
          <w:sz w:val="24"/>
          <w:szCs w:val="24"/>
        </w:rPr>
        <w:t xml:space="preserve">12. Veille métier et technique mobilisée</w:t>
      </w:r>
    </w:p>
    <w:p>
      <w:pPr>
        <w:spacing w:after="120" w:before="0" w:line="252"/>
      </w:pPr>
      <w:r>
        <w:rPr>
          <w:rFonts w:ascii="Corbel" w:cs="Corbel" w:eastAsia="Corbel" w:hAnsi="Corbel"/>
          <w:b w:val="false"/>
          <w:bCs w:val="false"/>
          <w:i/>
          <w:iCs/>
          <w:color w:val="6C7B7E"/>
          <w:sz w:val="17"/>
          <w:szCs w:val="17"/>
        </w:rPr>
        <w:t xml:space="preserve">La veille a nourri le cadrage du marché, le choix des comparables et la construction du prévisionnel.</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600"/>
        <w:gridCol w:w="3400"/>
        <w:gridCol w:w="4466"/>
      </w:tblGrid>
      <w:tr>
        <w:tc>
          <w:tcPr>
            <w:tcW w:type="dxa" w:w="2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Sujet de veille</w:t>
            </w:r>
          </w:p>
        </w:tc>
        <w:tc>
          <w:tcPr>
            <w:tcW w:type="dxa" w:w="3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Sources / repères</w:t>
            </w:r>
          </w:p>
        </w:tc>
        <w:tc>
          <w:tcPr>
            <w:tcW w:type="dxa" w:w="4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Application au projet</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Économie du jeu vidéo</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Newzoo Global Games Market Report 2025, Mordor Intelligence, ESA, IDATE, SELL</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Taille et structure du marché, répartition géographique, poids des modèles économiques, dépense moyenne par joueur</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Analyse stratégique</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Cadres SWOT et PESTEL appliqués à un secteur à forte intensité capitalistique</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Qualification des conditions d'entrée et identification des faiblesses qu'un nouvel entrant doit compenser</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Benchmark de comparables</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Rapports financiers et communications d'éditeurs : Focus Home, CI Games, Embracer Group</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Sélection de trois comparables documentés et exclusion argumentée de titres portés par des franchises installées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Modèles de monétisation</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Évolution du premium, des extensions payantes, des abonnements et du free-to-play</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Choix d'un modèle Premium enrichi d'extensions narratives, sans dépendance aux microtransactions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Engagement et rétention</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Notions de complétion, d'abandon, de recommandation et d'onboarding dans le jeu vidéo</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Construction des indicateurs d'engagement et identification de la rétention comme levier prioritaire</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Modélisation en étoile et relations N-N</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Tables de pont, cardinalités et sens de filtre dans un modèle dimensionnel</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Gestion des jeux relevant de plusieurs genres, studios ou éditeurs sans créer d'ambiguïté de filtre</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2026-07-24T21:26:27.763Z</dcterms:created>
  <dcterms:modified xsi:type="dcterms:W3CDTF">2026-07-24T21:26:27.784Z</dcterms:modified>
</cp:coreProperties>
</file>

<file path=docProps/custom.xml><?xml version="1.0" encoding="utf-8"?>
<Properties xmlns="http://schemas.openxmlformats.org/officeDocument/2006/custom-properties" xmlns:vt="http://schemas.openxmlformats.org/officeDocument/2006/docPropsVTypes"/>
</file>