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3EFFCA" w14:textId="0101D00F" w:rsidR="001025E1" w:rsidRPr="00FD6E99" w:rsidRDefault="00FD6E99" w:rsidP="00FD6E99">
      <w:pPr>
        <w:tabs>
          <w:tab w:val="left" w:pos="3960"/>
          <w:tab w:val="center" w:pos="4513"/>
        </w:tabs>
        <w:spacing w:line="360" w:lineRule="auto"/>
        <w:rPr>
          <w:rFonts w:ascii="Times New Roman" w:hAnsi="Times New Roman" w:cs="Times New Roman"/>
          <w:b/>
          <w:bCs/>
          <w:sz w:val="52"/>
          <w:szCs w:val="52"/>
        </w:rPr>
      </w:pPr>
      <w:r w:rsidRPr="00FD6E99">
        <w:rPr>
          <w:rFonts w:ascii="Times New Roman" w:hAnsi="Times New Roman" w:cs="Times New Roman"/>
          <w:b/>
          <w:bCs/>
          <w:sz w:val="52"/>
          <w:szCs w:val="52"/>
        </w:rPr>
        <w:tab/>
      </w:r>
      <w:r w:rsidRPr="00FD6E99">
        <w:rPr>
          <w:rFonts w:ascii="Times New Roman" w:hAnsi="Times New Roman" w:cs="Times New Roman"/>
          <w:b/>
          <w:bCs/>
          <w:sz w:val="52"/>
          <w:szCs w:val="52"/>
        </w:rPr>
        <w:tab/>
      </w:r>
      <w:r w:rsidR="001025E1" w:rsidRPr="00FD6E99">
        <w:rPr>
          <w:rFonts w:ascii="Times New Roman" w:hAnsi="Times New Roman" w:cs="Times New Roman"/>
          <w:b/>
          <w:bCs/>
          <w:sz w:val="52"/>
          <w:szCs w:val="52"/>
        </w:rPr>
        <w:t>INSIGHTS</w:t>
      </w:r>
    </w:p>
    <w:p w14:paraId="64DFFDD2" w14:textId="1AD9CB88" w:rsidR="001025E1" w:rsidRPr="001025E1" w:rsidRDefault="001025E1" w:rsidP="00FD6E99">
      <w:pPr>
        <w:spacing w:before="100" w:beforeAutospacing="1" w:after="100" w:afterAutospacing="1" w:line="360" w:lineRule="auto"/>
        <w:outlineLvl w:val="1"/>
        <w:rPr>
          <w:rFonts w:ascii="Times New Roman" w:eastAsia="Times New Roman" w:hAnsi="Times New Roman" w:cs="Times New Roman"/>
          <w:b/>
          <w:bCs/>
          <w:sz w:val="36"/>
          <w:szCs w:val="36"/>
          <w:lang w:eastAsia="en-IN"/>
        </w:rPr>
      </w:pPr>
      <w:r w:rsidRPr="001025E1">
        <w:rPr>
          <w:rFonts w:ascii="Times New Roman" w:eastAsia="Times New Roman" w:hAnsi="Times New Roman" w:cs="Times New Roman"/>
          <w:b/>
          <w:bCs/>
          <w:sz w:val="36"/>
          <w:szCs w:val="36"/>
          <w:lang w:eastAsia="en-IN"/>
        </w:rPr>
        <w:t>Sales by Category</w:t>
      </w:r>
    </w:p>
    <w:p w14:paraId="64EC9C6A" w14:textId="77777777" w:rsidR="001025E1" w:rsidRPr="001025E1" w:rsidRDefault="001025E1" w:rsidP="00FD6E99">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1025E1">
        <w:rPr>
          <w:rFonts w:ascii="Times New Roman" w:eastAsia="Times New Roman" w:hAnsi="Times New Roman" w:cs="Times New Roman"/>
          <w:b/>
          <w:bCs/>
          <w:sz w:val="24"/>
          <w:szCs w:val="24"/>
          <w:lang w:eastAsia="en-IN"/>
        </w:rPr>
        <w:t>Primary Revenue Driver:</w:t>
      </w:r>
      <w:r w:rsidRPr="001025E1">
        <w:rPr>
          <w:rFonts w:ascii="Times New Roman" w:eastAsia="Times New Roman" w:hAnsi="Times New Roman" w:cs="Times New Roman"/>
          <w:sz w:val="24"/>
          <w:szCs w:val="24"/>
          <w:lang w:eastAsia="en-IN"/>
        </w:rPr>
        <w:t xml:space="preserve"> </w:t>
      </w:r>
      <w:r w:rsidRPr="001025E1">
        <w:rPr>
          <w:rFonts w:ascii="Times New Roman" w:eastAsia="Times New Roman" w:hAnsi="Times New Roman" w:cs="Times New Roman"/>
          <w:b/>
          <w:bCs/>
          <w:sz w:val="24"/>
          <w:szCs w:val="24"/>
          <w:lang w:eastAsia="en-IN"/>
        </w:rPr>
        <w:t>Beauty</w:t>
      </w:r>
      <w:r w:rsidRPr="001025E1">
        <w:rPr>
          <w:rFonts w:ascii="Times New Roman" w:eastAsia="Times New Roman" w:hAnsi="Times New Roman" w:cs="Times New Roman"/>
          <w:sz w:val="24"/>
          <w:szCs w:val="24"/>
          <w:lang w:eastAsia="en-IN"/>
        </w:rPr>
        <w:t xml:space="preserve"> is the clear leader in total sales volume, reaching approximately </w:t>
      </w:r>
      <w:r w:rsidRPr="001025E1">
        <w:rPr>
          <w:rFonts w:ascii="Times New Roman" w:eastAsia="Times New Roman" w:hAnsi="Times New Roman" w:cs="Times New Roman"/>
          <w:b/>
          <w:bCs/>
          <w:sz w:val="24"/>
          <w:szCs w:val="24"/>
          <w:lang w:eastAsia="en-IN"/>
        </w:rPr>
        <w:t>$14.9M</w:t>
      </w:r>
      <w:r w:rsidRPr="001025E1">
        <w:rPr>
          <w:rFonts w:ascii="Times New Roman" w:eastAsia="Times New Roman" w:hAnsi="Times New Roman" w:cs="Times New Roman"/>
          <w:sz w:val="24"/>
          <w:szCs w:val="24"/>
          <w:lang w:eastAsia="en-IN"/>
        </w:rPr>
        <w:t>.</w:t>
      </w:r>
    </w:p>
    <w:p w14:paraId="64397BFA" w14:textId="77777777" w:rsidR="001025E1" w:rsidRPr="001025E1" w:rsidRDefault="001025E1" w:rsidP="00FD6E99">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1025E1">
        <w:rPr>
          <w:rFonts w:ascii="Times New Roman" w:eastAsia="Times New Roman" w:hAnsi="Times New Roman" w:cs="Times New Roman"/>
          <w:b/>
          <w:bCs/>
          <w:sz w:val="24"/>
          <w:szCs w:val="24"/>
          <w:lang w:eastAsia="en-IN"/>
        </w:rPr>
        <w:t>Secondary Driver:</w:t>
      </w:r>
      <w:r w:rsidRPr="001025E1">
        <w:rPr>
          <w:rFonts w:ascii="Times New Roman" w:eastAsia="Times New Roman" w:hAnsi="Times New Roman" w:cs="Times New Roman"/>
          <w:sz w:val="24"/>
          <w:szCs w:val="24"/>
          <w:lang w:eastAsia="en-IN"/>
        </w:rPr>
        <w:t xml:space="preserve"> </w:t>
      </w:r>
      <w:r w:rsidRPr="001025E1">
        <w:rPr>
          <w:rFonts w:ascii="Times New Roman" w:eastAsia="Times New Roman" w:hAnsi="Times New Roman" w:cs="Times New Roman"/>
          <w:b/>
          <w:bCs/>
          <w:sz w:val="24"/>
          <w:szCs w:val="24"/>
          <w:lang w:eastAsia="en-IN"/>
        </w:rPr>
        <w:t>Fashion</w:t>
      </w:r>
      <w:r w:rsidRPr="001025E1">
        <w:rPr>
          <w:rFonts w:ascii="Times New Roman" w:eastAsia="Times New Roman" w:hAnsi="Times New Roman" w:cs="Times New Roman"/>
          <w:sz w:val="24"/>
          <w:szCs w:val="24"/>
          <w:lang w:eastAsia="en-IN"/>
        </w:rPr>
        <w:t xml:space="preserve"> follows closely as the second-highest revenue generator at </w:t>
      </w:r>
      <w:r w:rsidRPr="001025E1">
        <w:rPr>
          <w:rFonts w:ascii="Times New Roman" w:eastAsia="Times New Roman" w:hAnsi="Times New Roman" w:cs="Times New Roman"/>
          <w:b/>
          <w:bCs/>
          <w:sz w:val="24"/>
          <w:szCs w:val="24"/>
          <w:lang w:eastAsia="en-IN"/>
        </w:rPr>
        <w:t>$14.6M</w:t>
      </w:r>
      <w:r w:rsidRPr="001025E1">
        <w:rPr>
          <w:rFonts w:ascii="Times New Roman" w:eastAsia="Times New Roman" w:hAnsi="Times New Roman" w:cs="Times New Roman"/>
          <w:sz w:val="24"/>
          <w:szCs w:val="24"/>
          <w:lang w:eastAsia="en-IN"/>
        </w:rPr>
        <w:t>.</w:t>
      </w:r>
    </w:p>
    <w:p w14:paraId="0C561BC3" w14:textId="77777777" w:rsidR="001025E1" w:rsidRPr="001025E1" w:rsidRDefault="001025E1" w:rsidP="00FD6E99">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1025E1">
        <w:rPr>
          <w:rFonts w:ascii="Times New Roman" w:eastAsia="Times New Roman" w:hAnsi="Times New Roman" w:cs="Times New Roman"/>
          <w:b/>
          <w:bCs/>
          <w:sz w:val="24"/>
          <w:szCs w:val="24"/>
          <w:lang w:eastAsia="en-IN"/>
        </w:rPr>
        <w:t>Underperformer:</w:t>
      </w:r>
      <w:r w:rsidRPr="001025E1">
        <w:rPr>
          <w:rFonts w:ascii="Times New Roman" w:eastAsia="Times New Roman" w:hAnsi="Times New Roman" w:cs="Times New Roman"/>
          <w:sz w:val="24"/>
          <w:szCs w:val="24"/>
          <w:lang w:eastAsia="en-IN"/>
        </w:rPr>
        <w:t xml:space="preserve"> </w:t>
      </w:r>
      <w:r w:rsidRPr="001025E1">
        <w:rPr>
          <w:rFonts w:ascii="Times New Roman" w:eastAsia="Times New Roman" w:hAnsi="Times New Roman" w:cs="Times New Roman"/>
          <w:b/>
          <w:bCs/>
          <w:sz w:val="24"/>
          <w:szCs w:val="24"/>
          <w:lang w:eastAsia="en-IN"/>
        </w:rPr>
        <w:t>Electronics</w:t>
      </w:r>
      <w:r w:rsidRPr="001025E1">
        <w:rPr>
          <w:rFonts w:ascii="Times New Roman" w:eastAsia="Times New Roman" w:hAnsi="Times New Roman" w:cs="Times New Roman"/>
          <w:sz w:val="24"/>
          <w:szCs w:val="24"/>
          <w:lang w:eastAsia="en-IN"/>
        </w:rPr>
        <w:t xml:space="preserve"> is the lowest-selling category at approximately </w:t>
      </w:r>
      <w:r w:rsidRPr="001025E1">
        <w:rPr>
          <w:rFonts w:ascii="Times New Roman" w:eastAsia="Times New Roman" w:hAnsi="Times New Roman" w:cs="Times New Roman"/>
          <w:b/>
          <w:bCs/>
          <w:sz w:val="24"/>
          <w:szCs w:val="24"/>
          <w:lang w:eastAsia="en-IN"/>
        </w:rPr>
        <w:t>$13.8M</w:t>
      </w:r>
      <w:r w:rsidRPr="001025E1">
        <w:rPr>
          <w:rFonts w:ascii="Times New Roman" w:eastAsia="Times New Roman" w:hAnsi="Times New Roman" w:cs="Times New Roman"/>
          <w:sz w:val="24"/>
          <w:szCs w:val="24"/>
          <w:lang w:eastAsia="en-IN"/>
        </w:rPr>
        <w:t>.</w:t>
      </w:r>
    </w:p>
    <w:p w14:paraId="5E73B791" w14:textId="77777777" w:rsidR="001025E1" w:rsidRPr="001025E1" w:rsidRDefault="001025E1" w:rsidP="00FD6E99">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1025E1">
        <w:rPr>
          <w:rFonts w:ascii="Times New Roman" w:eastAsia="Times New Roman" w:hAnsi="Times New Roman" w:cs="Times New Roman"/>
          <w:b/>
          <w:bCs/>
          <w:sz w:val="24"/>
          <w:szCs w:val="24"/>
          <w:lang w:eastAsia="en-IN"/>
        </w:rPr>
        <w:t>The "Margin vs. Volume" Paradox:</w:t>
      </w:r>
      <w:r w:rsidRPr="001025E1">
        <w:rPr>
          <w:rFonts w:ascii="Times New Roman" w:eastAsia="Times New Roman" w:hAnsi="Times New Roman" w:cs="Times New Roman"/>
          <w:sz w:val="24"/>
          <w:szCs w:val="24"/>
          <w:lang w:eastAsia="en-IN"/>
        </w:rPr>
        <w:t xml:space="preserve"> Interestingly, while </w:t>
      </w:r>
      <w:r w:rsidRPr="001025E1">
        <w:rPr>
          <w:rFonts w:ascii="Times New Roman" w:eastAsia="Times New Roman" w:hAnsi="Times New Roman" w:cs="Times New Roman"/>
          <w:b/>
          <w:bCs/>
          <w:sz w:val="24"/>
          <w:szCs w:val="24"/>
          <w:lang w:eastAsia="en-IN"/>
        </w:rPr>
        <w:t>Electronics</w:t>
      </w:r>
      <w:r w:rsidRPr="001025E1">
        <w:rPr>
          <w:rFonts w:ascii="Times New Roman" w:eastAsia="Times New Roman" w:hAnsi="Times New Roman" w:cs="Times New Roman"/>
          <w:sz w:val="24"/>
          <w:szCs w:val="24"/>
          <w:lang w:eastAsia="en-IN"/>
        </w:rPr>
        <w:t xml:space="preserve"> has the highest profit margin (from Image 2), it has the lowest total sales volume (from Image 3). This suggests an opportunity to increase marketing spend on Electronics to drive volume for your most profitable items.</w:t>
      </w:r>
    </w:p>
    <w:p w14:paraId="23BCDD11" w14:textId="77777777" w:rsidR="001025E1" w:rsidRPr="00FD6E99" w:rsidRDefault="001025E1" w:rsidP="00FD6E99">
      <w:pPr>
        <w:pStyle w:val="Heading2"/>
        <w:spacing w:line="360" w:lineRule="auto"/>
      </w:pPr>
      <w:r w:rsidRPr="00FD6E99">
        <w:t>Sales by Region and Segment</w:t>
      </w:r>
    </w:p>
    <w:p w14:paraId="169E67C5" w14:textId="77777777" w:rsidR="001025E1" w:rsidRPr="00FD6E99" w:rsidRDefault="001025E1" w:rsidP="00FD6E99">
      <w:pPr>
        <w:pStyle w:val="NormalWeb"/>
        <w:numPr>
          <w:ilvl w:val="0"/>
          <w:numId w:val="2"/>
        </w:numPr>
        <w:spacing w:line="360" w:lineRule="auto"/>
      </w:pPr>
      <w:r w:rsidRPr="00FD6E99">
        <w:rPr>
          <w:b/>
          <w:bCs/>
        </w:rPr>
        <w:t>Top Performing Region:</w:t>
      </w:r>
      <w:r w:rsidRPr="00FD6E99">
        <w:t xml:space="preserve"> The </w:t>
      </w:r>
      <w:r w:rsidRPr="00FD6E99">
        <w:rPr>
          <w:b/>
          <w:bCs/>
        </w:rPr>
        <w:t>South</w:t>
      </w:r>
      <w:r w:rsidRPr="00FD6E99">
        <w:t xml:space="preserve"> region is the strongest overall performer with total sales of </w:t>
      </w:r>
      <w:r w:rsidRPr="00FD6E99">
        <w:rPr>
          <w:b/>
          <w:bCs/>
        </w:rPr>
        <w:t>$1,840,297.47</w:t>
      </w:r>
      <w:r w:rsidRPr="00FD6E99">
        <w:t>, followed closely by the East.</w:t>
      </w:r>
    </w:p>
    <w:p w14:paraId="55FFBA38" w14:textId="77777777" w:rsidR="001025E1" w:rsidRPr="00FD6E99" w:rsidRDefault="001025E1" w:rsidP="00FD6E99">
      <w:pPr>
        <w:pStyle w:val="NormalWeb"/>
        <w:numPr>
          <w:ilvl w:val="0"/>
          <w:numId w:val="2"/>
        </w:numPr>
        <w:spacing w:line="360" w:lineRule="auto"/>
      </w:pPr>
      <w:r w:rsidRPr="00FD6E99">
        <w:rPr>
          <w:b/>
          <w:bCs/>
        </w:rPr>
        <w:t>Consumer Dominance in the South:</w:t>
      </w:r>
      <w:r w:rsidRPr="00FD6E99">
        <w:t xml:space="preserve"> The highest individual cell in the matrix is the </w:t>
      </w:r>
      <w:r w:rsidRPr="00FD6E99">
        <w:rPr>
          <w:b/>
          <w:bCs/>
        </w:rPr>
        <w:t>Consumer segment in the South ($660,049.63)</w:t>
      </w:r>
      <w:r w:rsidRPr="00FD6E99">
        <w:t>. This appears to be your most critical market "sweet spot."</w:t>
      </w:r>
    </w:p>
    <w:p w14:paraId="4E97E563" w14:textId="77777777" w:rsidR="001025E1" w:rsidRPr="00FD6E99" w:rsidRDefault="001025E1" w:rsidP="00FD6E99">
      <w:pPr>
        <w:pStyle w:val="NormalWeb"/>
        <w:numPr>
          <w:ilvl w:val="0"/>
          <w:numId w:val="2"/>
        </w:numPr>
        <w:spacing w:line="360" w:lineRule="auto"/>
      </w:pPr>
      <w:r w:rsidRPr="00FD6E99">
        <w:rPr>
          <w:b/>
          <w:bCs/>
        </w:rPr>
        <w:t>West Region Vulnerability:</w:t>
      </w:r>
      <w:r w:rsidRPr="00FD6E99">
        <w:t xml:space="preserve"> The </w:t>
      </w:r>
      <w:r w:rsidRPr="00FD6E99">
        <w:rPr>
          <w:b/>
          <w:bCs/>
        </w:rPr>
        <w:t>West</w:t>
      </w:r>
      <w:r w:rsidRPr="00FD6E99">
        <w:t xml:space="preserve"> region shows the lowest sales for the Consumer segment ($553,088.47), marked in bright red on the heat map. However, the West makes up for this with strong Corporate sales, suggesting a different market dynamic there.</w:t>
      </w:r>
    </w:p>
    <w:p w14:paraId="3447E826" w14:textId="77777777" w:rsidR="001025E1" w:rsidRPr="00FD6E99" w:rsidRDefault="001025E1" w:rsidP="00FD6E99">
      <w:pPr>
        <w:pStyle w:val="NormalWeb"/>
        <w:numPr>
          <w:ilvl w:val="0"/>
          <w:numId w:val="2"/>
        </w:numPr>
        <w:spacing w:line="360" w:lineRule="auto"/>
      </w:pPr>
      <w:r w:rsidRPr="00FD6E99">
        <w:rPr>
          <w:b/>
          <w:bCs/>
        </w:rPr>
        <w:t>Segment Consistency:</w:t>
      </w:r>
      <w:r w:rsidRPr="00FD6E99">
        <w:t xml:space="preserve"> Total sales across segments are remarkably balanced at the macro level (each around $23M–$24M), though local regional variations are significant.</w:t>
      </w:r>
    </w:p>
    <w:p w14:paraId="7AD6B520" w14:textId="77777777" w:rsidR="00FD6E99" w:rsidRDefault="00FD6E99" w:rsidP="00FD6E99">
      <w:pPr>
        <w:pStyle w:val="Heading2"/>
        <w:spacing w:line="360" w:lineRule="auto"/>
      </w:pPr>
    </w:p>
    <w:p w14:paraId="3493A4E2" w14:textId="3D97925C" w:rsidR="00FD6E99" w:rsidRPr="00FD6E99" w:rsidRDefault="00FD6E99" w:rsidP="00FD6E99">
      <w:pPr>
        <w:pStyle w:val="Heading2"/>
        <w:spacing w:line="360" w:lineRule="auto"/>
      </w:pPr>
      <w:r w:rsidRPr="00FD6E99">
        <w:lastRenderedPageBreak/>
        <w:t>Profit Margin Analysis</w:t>
      </w:r>
    </w:p>
    <w:p w14:paraId="0BDACAAE" w14:textId="77777777" w:rsidR="00FD6E99" w:rsidRPr="00FD6E99" w:rsidRDefault="00FD6E99" w:rsidP="00FD6E99">
      <w:pPr>
        <w:pStyle w:val="NormalWeb"/>
        <w:numPr>
          <w:ilvl w:val="0"/>
          <w:numId w:val="3"/>
        </w:numPr>
        <w:spacing w:line="360" w:lineRule="auto"/>
      </w:pPr>
      <w:r w:rsidRPr="00FD6E99">
        <w:rPr>
          <w:b/>
          <w:bCs/>
        </w:rPr>
        <w:t>Uniform Profitability:</w:t>
      </w:r>
      <w:r w:rsidRPr="00FD6E99">
        <w:t xml:space="preserve"> There is very little variance in profit margins across categories. Every category hovers around </w:t>
      </w:r>
      <w:r w:rsidRPr="00FD6E99">
        <w:rPr>
          <w:b/>
          <w:bCs/>
        </w:rPr>
        <w:t>20%</w:t>
      </w:r>
      <w:r w:rsidRPr="00FD6E99">
        <w:t>.</w:t>
      </w:r>
    </w:p>
    <w:p w14:paraId="639E1A26" w14:textId="77777777" w:rsidR="00FD6E99" w:rsidRPr="00FD6E99" w:rsidRDefault="00FD6E99" w:rsidP="00FD6E99">
      <w:pPr>
        <w:pStyle w:val="NormalWeb"/>
        <w:numPr>
          <w:ilvl w:val="0"/>
          <w:numId w:val="3"/>
        </w:numPr>
        <w:spacing w:line="360" w:lineRule="auto"/>
      </w:pPr>
      <w:r w:rsidRPr="00FD6E99">
        <w:rPr>
          <w:b/>
          <w:bCs/>
        </w:rPr>
        <w:t>Leading Category:</w:t>
      </w:r>
      <w:r w:rsidRPr="00FD6E99">
        <w:t xml:space="preserve"> </w:t>
      </w:r>
      <w:r w:rsidRPr="00FD6E99">
        <w:rPr>
          <w:b/>
          <w:bCs/>
        </w:rPr>
        <w:t>Electronics</w:t>
      </w:r>
      <w:r w:rsidRPr="00FD6E99">
        <w:t xml:space="preserve"> has the highest average profit margin at </w:t>
      </w:r>
      <w:r w:rsidRPr="00FD6E99">
        <w:rPr>
          <w:b/>
          <w:bCs/>
        </w:rPr>
        <w:t>0.2022 (20.22%)</w:t>
      </w:r>
      <w:r w:rsidRPr="00FD6E99">
        <w:t>.</w:t>
      </w:r>
    </w:p>
    <w:p w14:paraId="435E12B3" w14:textId="77777777" w:rsidR="00FD6E99" w:rsidRPr="00FD6E99" w:rsidRDefault="00FD6E99" w:rsidP="00FD6E99">
      <w:pPr>
        <w:pStyle w:val="NormalWeb"/>
        <w:numPr>
          <w:ilvl w:val="0"/>
          <w:numId w:val="3"/>
        </w:numPr>
        <w:spacing w:line="360" w:lineRule="auto"/>
      </w:pPr>
      <w:r w:rsidRPr="00FD6E99">
        <w:rPr>
          <w:b/>
          <w:bCs/>
        </w:rPr>
        <w:t>Bottom Category:</w:t>
      </w:r>
      <w:r w:rsidRPr="00FD6E99">
        <w:t xml:space="preserve"> </w:t>
      </w:r>
      <w:r w:rsidRPr="00FD6E99">
        <w:rPr>
          <w:b/>
          <w:bCs/>
        </w:rPr>
        <w:t>Books</w:t>
      </w:r>
      <w:r w:rsidRPr="00FD6E99">
        <w:t xml:space="preserve"> has the lowest margin at </w:t>
      </w:r>
      <w:r w:rsidRPr="00FD6E99">
        <w:rPr>
          <w:b/>
          <w:bCs/>
        </w:rPr>
        <w:t>0.2000 (20.00%)</w:t>
      </w:r>
      <w:r w:rsidRPr="00FD6E99">
        <w:t>, though the difference is statistically marginal.</w:t>
      </w:r>
    </w:p>
    <w:p w14:paraId="0B003047" w14:textId="77777777" w:rsidR="00FD6E99" w:rsidRPr="00FD6E99" w:rsidRDefault="00FD6E99" w:rsidP="00FD6E99">
      <w:pPr>
        <w:pStyle w:val="NormalWeb"/>
        <w:numPr>
          <w:ilvl w:val="0"/>
          <w:numId w:val="3"/>
        </w:numPr>
        <w:spacing w:line="360" w:lineRule="auto"/>
      </w:pPr>
      <w:r w:rsidRPr="00FD6E99">
        <w:rPr>
          <w:b/>
          <w:bCs/>
        </w:rPr>
        <w:t>Overall Health:</w:t>
      </w:r>
      <w:r w:rsidRPr="00FD6E99">
        <w:t xml:space="preserve"> A steady 20% margin across all categories suggests a very stable pricing strategy or consistent supplier costs, but it also indicates there isn't currently a "high-margin" standout category to aggressively pivot toward.</w:t>
      </w:r>
    </w:p>
    <w:p w14:paraId="1BF404F1" w14:textId="77777777" w:rsidR="001025E1" w:rsidRPr="00FD6E99" w:rsidRDefault="001025E1" w:rsidP="00FD6E99">
      <w:pPr>
        <w:spacing w:line="360" w:lineRule="auto"/>
        <w:rPr>
          <w:b/>
          <w:bCs/>
          <w:sz w:val="24"/>
          <w:szCs w:val="24"/>
        </w:rPr>
      </w:pPr>
    </w:p>
    <w:p w14:paraId="215A27C0" w14:textId="1AB3BD67" w:rsidR="001025E1" w:rsidRPr="00FD6E99" w:rsidRDefault="001025E1" w:rsidP="00FD6E99">
      <w:pPr>
        <w:spacing w:line="360" w:lineRule="auto"/>
        <w:rPr>
          <w:sz w:val="24"/>
          <w:szCs w:val="24"/>
        </w:rPr>
      </w:pPr>
    </w:p>
    <w:p w14:paraId="7C75EB49" w14:textId="77777777" w:rsidR="001025E1" w:rsidRPr="00FD6E99" w:rsidRDefault="001025E1" w:rsidP="00FD6E99">
      <w:pPr>
        <w:spacing w:line="360" w:lineRule="auto"/>
        <w:rPr>
          <w:sz w:val="24"/>
          <w:szCs w:val="24"/>
        </w:rPr>
      </w:pPr>
    </w:p>
    <w:sectPr w:rsidR="001025E1" w:rsidRPr="00FD6E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2485E"/>
    <w:multiLevelType w:val="multilevel"/>
    <w:tmpl w:val="2A04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5A1433"/>
    <w:multiLevelType w:val="multilevel"/>
    <w:tmpl w:val="2578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F807CF"/>
    <w:multiLevelType w:val="multilevel"/>
    <w:tmpl w:val="9BF47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defaultTabStop w:val="720"/>
  <w:characterSpacingControl w:val="doNotCompress"/>
  <w:savePreviewPicture/>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0A8"/>
    <w:rsid w:val="001025E1"/>
    <w:rsid w:val="00180626"/>
    <w:rsid w:val="00A600A8"/>
    <w:rsid w:val="00FD6E99"/>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1A0C8"/>
  <w15:chartTrackingRefBased/>
  <w15:docId w15:val="{75A580E1-F3D4-4946-A3CE-36A6E8D00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025E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025E1"/>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1025E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82926">
      <w:bodyDiv w:val="1"/>
      <w:marLeft w:val="0"/>
      <w:marRight w:val="0"/>
      <w:marTop w:val="0"/>
      <w:marBottom w:val="0"/>
      <w:divBdr>
        <w:top w:val="none" w:sz="0" w:space="0" w:color="auto"/>
        <w:left w:val="none" w:sz="0" w:space="0" w:color="auto"/>
        <w:bottom w:val="none" w:sz="0" w:space="0" w:color="auto"/>
        <w:right w:val="none" w:sz="0" w:space="0" w:color="auto"/>
      </w:divBdr>
    </w:div>
    <w:div w:id="476728823">
      <w:bodyDiv w:val="1"/>
      <w:marLeft w:val="0"/>
      <w:marRight w:val="0"/>
      <w:marTop w:val="0"/>
      <w:marBottom w:val="0"/>
      <w:divBdr>
        <w:top w:val="none" w:sz="0" w:space="0" w:color="auto"/>
        <w:left w:val="none" w:sz="0" w:space="0" w:color="auto"/>
        <w:bottom w:val="none" w:sz="0" w:space="0" w:color="auto"/>
        <w:right w:val="none" w:sz="0" w:space="0" w:color="auto"/>
      </w:divBdr>
    </w:div>
    <w:div w:id="826021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292</Words>
  <Characters>1668</Characters>
  <Application>Microsoft Office Word</Application>
  <DocSecurity>0</DocSecurity>
  <Lines>13</Lines>
  <Paragraphs>3</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Sales by Category</vt:lpstr>
      <vt:lpstr>    Sales by Region and Segment</vt:lpstr>
    </vt:vector>
  </TitlesOfParts>
  <Company/>
  <LinksUpToDate>false</LinksUpToDate>
  <CharactersWithSpaces>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Gohilot</dc:creator>
  <cp:keywords/>
  <dc:description/>
  <cp:lastModifiedBy>Sonia Gohilot</cp:lastModifiedBy>
  <cp:revision>2</cp:revision>
  <dcterms:created xsi:type="dcterms:W3CDTF">2026-01-16T16:43:00Z</dcterms:created>
  <dcterms:modified xsi:type="dcterms:W3CDTF">2026-01-16T16:43:00Z</dcterms:modified>
</cp:coreProperties>
</file>