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6Colorful-Accent1"/>
        <w:tblpPr w:leftFromText="180" w:rightFromText="180" w:vertAnchor="page" w:horzAnchor="margin" w:tblpY="4591"/>
        <w:tblW w:w="920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576"/>
        <w:gridCol w:w="8628"/>
      </w:tblGrid>
      <w:tr w:rsidR="005E7215" w:rsidRPr="005E7215" w:rsidTr="005E7215">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Borders>
              <w:bottom w:val="none" w:sz="0" w:space="0" w:color="auto"/>
            </w:tcBorders>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w:t>
            </w:r>
          </w:p>
        </w:tc>
        <w:tc>
          <w:tcPr>
            <w:tcW w:w="8628" w:type="dxa"/>
            <w:tcBorders>
              <w:bottom w:val="none" w:sz="0" w:space="0" w:color="auto"/>
            </w:tcBorders>
          </w:tcPr>
          <w:p w:rsidR="005E7215" w:rsidRPr="005E7215" w:rsidRDefault="005E7215" w:rsidP="005E7215">
            <w:pP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color w:val="000000"/>
                <w:sz w:val="32"/>
                <w:lang w:eastAsia="en-GB"/>
              </w:rPr>
              <w:t>Title &amp; Author Details: Identifies the article, authors, and their affiliations.</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2</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Abstract: A concise summary of the research, methods, results, and conclusions.</w:t>
            </w:r>
          </w:p>
        </w:tc>
      </w:tr>
      <w:tr w:rsidR="005E7215" w:rsidRPr="005E7215"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3</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 xml:space="preserve">Keywords: Terms used for indexing and </w:t>
            </w:r>
            <w:proofErr w:type="spellStart"/>
            <w:r w:rsidRPr="005E7215">
              <w:rPr>
                <w:rFonts w:ascii="Arial Narrow" w:eastAsia="Times New Roman" w:hAnsi="Arial Narrow" w:cs="Times"/>
                <w:bCs/>
                <w:color w:val="000000"/>
                <w:sz w:val="32"/>
                <w:lang w:eastAsia="en-GB"/>
              </w:rPr>
              <w:t>searchability</w:t>
            </w:r>
            <w:proofErr w:type="spellEnd"/>
            <w:r w:rsidRPr="005E7215">
              <w:rPr>
                <w:rFonts w:ascii="Arial Narrow" w:eastAsia="Times New Roman" w:hAnsi="Arial Narrow" w:cs="Times"/>
                <w:bCs/>
                <w:color w:val="000000"/>
                <w:sz w:val="32"/>
                <w:lang w:eastAsia="en-GB"/>
              </w:rPr>
              <w:t>.</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4</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Introduction: Background, context, research problem, and objectives.</w:t>
            </w:r>
          </w:p>
        </w:tc>
      </w:tr>
      <w:tr w:rsidR="005E7215" w:rsidRPr="005E7215"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5</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Literature Review: Establishes the theoretical framework and existing knowledge.</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6</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Methodology: Detailed procedures, design, and data collection methods.</w:t>
            </w:r>
          </w:p>
        </w:tc>
      </w:tr>
      <w:tr w:rsidR="005E7215" w:rsidRPr="005E7215"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7</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Results: Findings, often supported by tables and figures.</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8</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Discussion: Interpretation of findings, implications, and comparison with previous research.</w:t>
            </w:r>
          </w:p>
        </w:tc>
      </w:tr>
      <w:tr w:rsidR="005E7215" w:rsidRPr="005E7215"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9</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Conclusion: Summary of main findings and future research recommendations.</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13</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References/Bibliography: A list of sources cited in the article.</w:t>
            </w:r>
          </w:p>
        </w:tc>
      </w:tr>
      <w:tr w:rsidR="005E7215" w:rsidRPr="005E7215"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p>
        </w:tc>
      </w:tr>
    </w:tbl>
    <w:tbl>
      <w:tblPr>
        <w:tblW w:w="6889" w:type="dxa"/>
        <w:jc w:val="center"/>
        <w:tblLayout w:type="fixed"/>
        <w:tblCellMar>
          <w:left w:w="70" w:type="dxa"/>
          <w:right w:w="70" w:type="dxa"/>
        </w:tblCellMar>
        <w:tblLook w:val="0000" w:firstRow="0" w:lastRow="0" w:firstColumn="0" w:lastColumn="0" w:noHBand="0" w:noVBand="0"/>
      </w:tblPr>
      <w:tblGrid>
        <w:gridCol w:w="1692"/>
        <w:gridCol w:w="3444"/>
        <w:gridCol w:w="1753"/>
      </w:tblGrid>
      <w:tr w:rsidR="006B1AFF" w:rsidRPr="009A3755" w:rsidTr="00183CCD">
        <w:trPr>
          <w:jc w:val="center"/>
        </w:trPr>
        <w:tc>
          <w:tcPr>
            <w:tcW w:w="1664" w:type="dxa"/>
            <w:tcBorders>
              <w:top w:val="single" w:sz="12" w:space="0" w:color="000000"/>
              <w:bottom w:val="single" w:sz="6" w:space="0" w:color="000000"/>
            </w:tcBorders>
          </w:tcPr>
          <w:p w:rsidR="006B1AFF" w:rsidRPr="009A3755" w:rsidRDefault="006B1AFF" w:rsidP="00183CCD">
            <w:pPr>
              <w:rPr>
                <w:sz w:val="18"/>
                <w:szCs w:val="18"/>
              </w:rPr>
            </w:pPr>
            <w:r w:rsidRPr="009A3755">
              <w:rPr>
                <w:sz w:val="18"/>
                <w:szCs w:val="18"/>
              </w:rPr>
              <w:t>Heading level</w:t>
            </w:r>
          </w:p>
        </w:tc>
        <w:tc>
          <w:tcPr>
            <w:tcW w:w="3387" w:type="dxa"/>
            <w:tcBorders>
              <w:top w:val="single" w:sz="12" w:space="0" w:color="000000"/>
              <w:bottom w:val="single" w:sz="6" w:space="0" w:color="000000"/>
            </w:tcBorders>
          </w:tcPr>
          <w:p w:rsidR="006B1AFF" w:rsidRPr="009A3755" w:rsidRDefault="006B1AFF" w:rsidP="00183CCD">
            <w:pPr>
              <w:rPr>
                <w:sz w:val="18"/>
                <w:szCs w:val="18"/>
              </w:rPr>
            </w:pPr>
            <w:r w:rsidRPr="009A3755">
              <w:rPr>
                <w:sz w:val="18"/>
                <w:szCs w:val="18"/>
              </w:rPr>
              <w:t>Example</w:t>
            </w:r>
          </w:p>
        </w:tc>
        <w:tc>
          <w:tcPr>
            <w:tcW w:w="1724" w:type="dxa"/>
            <w:tcBorders>
              <w:top w:val="single" w:sz="12" w:space="0" w:color="000000"/>
              <w:bottom w:val="single" w:sz="6" w:space="0" w:color="000000"/>
            </w:tcBorders>
          </w:tcPr>
          <w:p w:rsidR="006B1AFF" w:rsidRPr="009A3755" w:rsidRDefault="006B1AFF" w:rsidP="00183CCD">
            <w:pPr>
              <w:rPr>
                <w:sz w:val="18"/>
                <w:szCs w:val="18"/>
              </w:rPr>
            </w:pPr>
            <w:r w:rsidRPr="009A3755">
              <w:rPr>
                <w:sz w:val="18"/>
                <w:szCs w:val="18"/>
              </w:rPr>
              <w:t>Font size and style</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Title (</w:t>
            </w:r>
            <w:proofErr w:type="spellStart"/>
            <w:r w:rsidRPr="009A3755">
              <w:rPr>
                <w:sz w:val="18"/>
                <w:szCs w:val="18"/>
              </w:rPr>
              <w:t>centered</w:t>
            </w:r>
            <w:proofErr w:type="spellEnd"/>
            <w:r w:rsidRPr="009A3755">
              <w:rPr>
                <w:sz w:val="18"/>
                <w:szCs w:val="18"/>
              </w:rPr>
              <w:t>)</w:t>
            </w:r>
          </w:p>
        </w:tc>
        <w:tc>
          <w:tcPr>
            <w:tcW w:w="3387" w:type="dxa"/>
            <w:vAlign w:val="center"/>
          </w:tcPr>
          <w:p w:rsidR="006B1AFF" w:rsidRPr="009A3755" w:rsidRDefault="006B1AFF" w:rsidP="00183CCD">
            <w:pPr>
              <w:rPr>
                <w:sz w:val="18"/>
                <w:szCs w:val="18"/>
              </w:rPr>
            </w:pPr>
            <w:r w:rsidRPr="00192151">
              <w:rPr>
                <w:b/>
                <w:bCs/>
                <w:sz w:val="28"/>
                <w:szCs w:val="25"/>
              </w:rPr>
              <w:t>Lecture Notes</w:t>
            </w:r>
          </w:p>
        </w:tc>
        <w:tc>
          <w:tcPr>
            <w:tcW w:w="1724" w:type="dxa"/>
            <w:vAlign w:val="center"/>
          </w:tcPr>
          <w:p w:rsidR="006B1AFF" w:rsidRPr="009A3755" w:rsidRDefault="006B1AFF" w:rsidP="00183CCD">
            <w:pPr>
              <w:rPr>
                <w:sz w:val="18"/>
                <w:szCs w:val="18"/>
              </w:rPr>
            </w:pPr>
            <w:r w:rsidRPr="009A3755">
              <w:rPr>
                <w:sz w:val="18"/>
                <w:szCs w:val="18"/>
              </w:rPr>
              <w:t>14 point, bold</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1</w:t>
            </w:r>
            <w:r w:rsidRPr="009A3755">
              <w:rPr>
                <w:sz w:val="18"/>
                <w:szCs w:val="18"/>
                <w:vertAlign w:val="superscript"/>
              </w:rPr>
              <w:t>st</w:t>
            </w:r>
            <w:r w:rsidRPr="009A3755">
              <w:rPr>
                <w:sz w:val="18"/>
                <w:szCs w:val="18"/>
              </w:rPr>
              <w:t>-level heading</w:t>
            </w:r>
          </w:p>
        </w:tc>
        <w:tc>
          <w:tcPr>
            <w:tcW w:w="3387" w:type="dxa"/>
            <w:vAlign w:val="center"/>
          </w:tcPr>
          <w:p w:rsidR="006B1AFF" w:rsidRPr="009A3755" w:rsidRDefault="006B1AFF" w:rsidP="00183CCD">
            <w:pPr>
              <w:rPr>
                <w:sz w:val="18"/>
                <w:szCs w:val="18"/>
              </w:rPr>
            </w:pPr>
            <w:r w:rsidRPr="00192151">
              <w:rPr>
                <w:b/>
                <w:bCs/>
                <w:sz w:val="24"/>
                <w:szCs w:val="21"/>
              </w:rPr>
              <w:t>1 Introduction</w:t>
            </w:r>
          </w:p>
        </w:tc>
        <w:tc>
          <w:tcPr>
            <w:tcW w:w="1724" w:type="dxa"/>
            <w:vAlign w:val="center"/>
          </w:tcPr>
          <w:p w:rsidR="006B1AFF" w:rsidRPr="009A3755" w:rsidRDefault="006B1AFF" w:rsidP="00183CCD">
            <w:pPr>
              <w:rPr>
                <w:sz w:val="18"/>
                <w:szCs w:val="18"/>
              </w:rPr>
            </w:pPr>
            <w:r w:rsidRPr="009A3755">
              <w:rPr>
                <w:sz w:val="18"/>
                <w:szCs w:val="18"/>
              </w:rPr>
              <w:t>12 point, bold</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2</w:t>
            </w:r>
            <w:r w:rsidRPr="009A3755">
              <w:rPr>
                <w:sz w:val="18"/>
                <w:szCs w:val="18"/>
                <w:vertAlign w:val="superscript"/>
              </w:rPr>
              <w:t>nd</w:t>
            </w:r>
            <w:r w:rsidRPr="009A3755">
              <w:rPr>
                <w:sz w:val="18"/>
                <w:szCs w:val="18"/>
              </w:rPr>
              <w:t>-level heading</w:t>
            </w:r>
          </w:p>
        </w:tc>
        <w:tc>
          <w:tcPr>
            <w:tcW w:w="3387" w:type="dxa"/>
            <w:vAlign w:val="center"/>
          </w:tcPr>
          <w:p w:rsidR="006B1AFF" w:rsidRPr="009A3755" w:rsidRDefault="006B1AFF" w:rsidP="00183CCD">
            <w:pPr>
              <w:rPr>
                <w:sz w:val="18"/>
                <w:szCs w:val="18"/>
              </w:rPr>
            </w:pPr>
            <w:r w:rsidRPr="00192151">
              <w:rPr>
                <w:b/>
                <w:bCs/>
                <w:szCs w:val="18"/>
              </w:rPr>
              <w:t>2.1 Printing Area</w:t>
            </w:r>
          </w:p>
        </w:tc>
        <w:tc>
          <w:tcPr>
            <w:tcW w:w="1724" w:type="dxa"/>
            <w:vAlign w:val="center"/>
          </w:tcPr>
          <w:p w:rsidR="006B1AFF" w:rsidRPr="009A3755" w:rsidRDefault="006B1AFF" w:rsidP="00183CCD">
            <w:pPr>
              <w:rPr>
                <w:sz w:val="18"/>
                <w:szCs w:val="18"/>
              </w:rPr>
            </w:pPr>
            <w:r w:rsidRPr="009A3755">
              <w:rPr>
                <w:sz w:val="18"/>
                <w:szCs w:val="18"/>
              </w:rPr>
              <w:t>10 point, bold</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3</w:t>
            </w:r>
            <w:r w:rsidRPr="009A3755">
              <w:rPr>
                <w:sz w:val="18"/>
                <w:szCs w:val="18"/>
                <w:vertAlign w:val="superscript"/>
              </w:rPr>
              <w:t>rd</w:t>
            </w:r>
            <w:r w:rsidRPr="009A3755">
              <w:rPr>
                <w:sz w:val="18"/>
                <w:szCs w:val="18"/>
              </w:rPr>
              <w:t>-level heading</w:t>
            </w:r>
          </w:p>
        </w:tc>
        <w:tc>
          <w:tcPr>
            <w:tcW w:w="3387" w:type="dxa"/>
            <w:vAlign w:val="center"/>
          </w:tcPr>
          <w:p w:rsidR="006B1AFF" w:rsidRPr="009A3755" w:rsidRDefault="006B1AFF" w:rsidP="00183CCD">
            <w:pPr>
              <w:rPr>
                <w:sz w:val="18"/>
                <w:szCs w:val="18"/>
              </w:rPr>
            </w:pPr>
            <w:r w:rsidRPr="00192151">
              <w:rPr>
                <w:b/>
                <w:bCs/>
                <w:szCs w:val="18"/>
              </w:rPr>
              <w:t>Run-in Heading in Bold.</w:t>
            </w:r>
            <w:r w:rsidRPr="00192151">
              <w:rPr>
                <w:szCs w:val="18"/>
              </w:rPr>
              <w:t xml:space="preserve"> Text follows</w:t>
            </w:r>
          </w:p>
        </w:tc>
        <w:tc>
          <w:tcPr>
            <w:tcW w:w="1724" w:type="dxa"/>
            <w:vAlign w:val="center"/>
          </w:tcPr>
          <w:p w:rsidR="006B1AFF" w:rsidRPr="009A3755" w:rsidRDefault="006B1AFF" w:rsidP="00183CCD">
            <w:pPr>
              <w:rPr>
                <w:sz w:val="18"/>
                <w:szCs w:val="18"/>
              </w:rPr>
            </w:pPr>
            <w:r w:rsidRPr="009A3755">
              <w:rPr>
                <w:sz w:val="18"/>
                <w:szCs w:val="18"/>
              </w:rPr>
              <w:t>10 point, bold</w:t>
            </w:r>
          </w:p>
        </w:tc>
      </w:tr>
      <w:tr w:rsidR="006B1AFF" w:rsidRPr="009A3755" w:rsidTr="00183CCD">
        <w:trPr>
          <w:trHeight w:val="284"/>
          <w:jc w:val="center"/>
        </w:trPr>
        <w:tc>
          <w:tcPr>
            <w:tcW w:w="1664" w:type="dxa"/>
            <w:tcBorders>
              <w:bottom w:val="single" w:sz="12" w:space="0" w:color="000000"/>
            </w:tcBorders>
            <w:vAlign w:val="center"/>
          </w:tcPr>
          <w:p w:rsidR="006B1AFF" w:rsidRPr="009A3755" w:rsidRDefault="006B1AFF" w:rsidP="00183CCD">
            <w:pPr>
              <w:rPr>
                <w:sz w:val="18"/>
                <w:szCs w:val="18"/>
              </w:rPr>
            </w:pPr>
            <w:r w:rsidRPr="009A3755">
              <w:rPr>
                <w:sz w:val="18"/>
                <w:szCs w:val="18"/>
              </w:rPr>
              <w:t>4</w:t>
            </w:r>
            <w:r w:rsidRPr="009A3755">
              <w:rPr>
                <w:sz w:val="18"/>
                <w:szCs w:val="18"/>
                <w:vertAlign w:val="superscript"/>
              </w:rPr>
              <w:t>th</w:t>
            </w:r>
            <w:r w:rsidRPr="009A3755">
              <w:rPr>
                <w:sz w:val="18"/>
                <w:szCs w:val="18"/>
              </w:rPr>
              <w:t>-level heading</w:t>
            </w:r>
          </w:p>
        </w:tc>
        <w:tc>
          <w:tcPr>
            <w:tcW w:w="3387" w:type="dxa"/>
            <w:tcBorders>
              <w:bottom w:val="single" w:sz="12" w:space="0" w:color="000000"/>
            </w:tcBorders>
            <w:vAlign w:val="center"/>
          </w:tcPr>
          <w:p w:rsidR="006B1AFF" w:rsidRPr="009A3755" w:rsidRDefault="006B1AFF" w:rsidP="00183CCD">
            <w:pPr>
              <w:rPr>
                <w:sz w:val="18"/>
                <w:szCs w:val="18"/>
              </w:rPr>
            </w:pPr>
            <w:r w:rsidRPr="00192151">
              <w:rPr>
                <w:i/>
                <w:iCs/>
                <w:szCs w:val="18"/>
              </w:rPr>
              <w:t>Lowest Level Heading.</w:t>
            </w:r>
            <w:r w:rsidRPr="00192151">
              <w:rPr>
                <w:szCs w:val="18"/>
              </w:rPr>
              <w:t xml:space="preserve"> Text follows</w:t>
            </w:r>
          </w:p>
        </w:tc>
        <w:tc>
          <w:tcPr>
            <w:tcW w:w="1724" w:type="dxa"/>
            <w:tcBorders>
              <w:bottom w:val="single" w:sz="12" w:space="0" w:color="000000"/>
            </w:tcBorders>
            <w:vAlign w:val="center"/>
          </w:tcPr>
          <w:p w:rsidR="006B1AFF" w:rsidRPr="009A3755" w:rsidRDefault="006B1AFF" w:rsidP="00183CCD">
            <w:pPr>
              <w:rPr>
                <w:sz w:val="18"/>
                <w:szCs w:val="18"/>
              </w:rPr>
            </w:pPr>
            <w:r w:rsidRPr="009A3755">
              <w:rPr>
                <w:sz w:val="18"/>
                <w:szCs w:val="18"/>
              </w:rPr>
              <w:t>10 point, italic</w:t>
            </w:r>
          </w:p>
        </w:tc>
      </w:tr>
    </w:tbl>
    <w:bookmarkEnd w:id="3"/>
    <w:p>
      <w:pPr>
        <w:pStyle w:val="papertitle"/>
      </w:pPr>
      <w:r>
        <w:t>A Systematic Review of IoT-Enabled Smart Agriculture for Food Security and Sustainable Development: Opportunities, Challenges, and Future Directions</w:t>
      </w:r>
    </w:p>
    <w:p>
      <w:pPr>
        <w:pStyle w:val="author"/>
      </w:pPr>
      <w:r>
        <w:t>Sonia Ben Aissa¹[0009-0005-4044-4516] · Mounir Frikha¹[0009-0007-8983-3429]</w:t>
      </w:r>
    </w:p>
    <w:p>
      <w:pPr>
        <w:pStyle w:val="address"/>
      </w:pPr>
      <w:r>
        <w:t>¹ Department of Computer Networks and Communications, College of Computer Sciences and Information Technology, King Faisal University, Al-Ahsa, Saudi Arabia</w:t>
      </w:r>
    </w:p>
    <w:p>
      <w:pPr>
        <w:pStyle w:val="address"/>
      </w:pPr>
      <w:r>
        <w:t>saissa@kfu.edu.sa</w:t>
      </w:r>
    </w:p>
    <w:p>
      <w:pPr>
        <w:pStyle w:val="abstract"/>
      </w:pPr>
      <w:r>
        <w:rPr>
          <w:b/>
        </w:rPr>
        <w:t xml:space="preserve">Abstract. </w:t>
      </w:r>
      <w:r>
        <w:rPr>
          <w:b w:val="0"/>
        </w:rPr>
        <w:t>Food security remains a critical global challenge, particularly in developing countries where agricultural systems face mounting pressures from climate change, population growth, and resource scarcity. The Internet of Things (IoT) has emerged as a transformative technology with significant potential to modernize agricultural practices and contribute to the United Nations Sustainable Development Goals (SDGs), notably SDG 2 (Zero Hunger), SDG 9 (Industry, Innovation and Infrastructure), and SDG 13 (Climate Action). This chapter presents a systematic literature review following the PRISMA 2020 protocol, covering peer-reviewed publications from 2018 to 2025 retrieved from IEEE Xplore, Scopus, Web of Science, ACM Digital Library, and Google Scholar. A total of 87 studies were retained after applying rigorous inclusion and exclusion criteria. Our review examines IoT architectures, sensor technologies, and Low-Power Wide-Area Network (LPWAN) communication protocols — including LoRaWAN, NB-IoT, and Sigfox — deployed in smart agriculture contexts, with a focus on developing country settings. The originality of our work consists in providing a comprehensive dual-impact analysis, addressing both the positive contributions of IoT — including water efficiency, crop yield optimization, pest detection, and climate-adaptive farming — and the negative externalities such as e-waste generation, energy consumption, cybersecurity vulnerabilities, and labour displacement risks. We further identify key structural challenges hindering large-scale IoT adoption and propose future research directions. Our findings confirm the substantial potential of IoT-enabled smart agriculture in advancing food security, while highlighting the urgent need for sustainable, low-cost, and inclusive technology deployment strategies.</w:t>
      </w:r>
    </w:p>
    <w:p>
      <w:pPr>
        <w:pStyle w:val="keywords"/>
      </w:pPr>
      <w:r>
        <w:rPr>
          <w:b/>
        </w:rPr>
        <w:t xml:space="preserve">Keywords: </w:t>
      </w:r>
      <w:r>
        <w:rPr>
          <w:b w:val="0"/>
        </w:rPr>
        <w:t>Internet of Things · Smart Agriculture · Food Security · LPWAN · LoRaWAN · SDG 2 · Developing Countries · Precision Farming · Systematic Review · PRISMA</w:t>
      </w:r>
    </w:p>
    <w:p>
      <w:pPr>
        <w:pStyle w:val="heading1"/>
        <w:numPr>
          <w:ilvl w:val="0"/>
          <w:numId w:val="1"/>
        </w:numPr>
      </w:pPr>
      <w:r>
        <w:t>Introduction</w:t>
      </w:r>
    </w:p>
    <w:p>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w:t>
      </w:r>
    </w:p>
    <w:p>
      <w:pPr>
        <w:ind w:firstLine="227"/>
      </w:pPr>
      <w:r>
        <w:t>Against this backdrop, the Internet of Things (IoT) has emerged as a cornerstone technology with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 from USD 15.4 billion in 2023 to over USD 34 billion by 2028, reflecting a growing recognition of IoT’s transformative potential [6].</w:t>
      </w:r>
    </w:p>
    <w:p>
      <w:pPr>
        <w:ind w:firstLine="227"/>
      </w:pPr>
      <w:r>
        <w:t>The United Nations 2030 Agenda for Sustainable Development provides a compelling framework for contextualizing this transformation. Three SDGs are particularly relevant to IoT-enabled smart agriculture: SDG 2 (Zero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pPr>
        <w:ind w:firstLine="227"/>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We consider also the critical role of LPWAN technologies such as LoRaWAN, NB-IoT, and Sigfox, which are particularly well-suited to the connectivity constraints of rural agricultural environments.</w:t>
      </w:r>
    </w:p>
    <w:p>
      <w:pPr>
        <w:ind w:firstLine="227"/>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pPr>
        <w:pStyle w:val="heading1"/>
        <w:numPr>
          <w:ilvl w:val="0"/>
          <w:numId w:val="1"/>
        </w:numPr>
      </w:pPr>
      <w:r>
        <w:t>Methodology</w:t>
      </w:r>
    </w:p>
    <w:p>
      <w:pPr>
        <w:pStyle w:val="p1a"/>
      </w:pPr>
      <w:r>
        <w:t>Our systematic review follows the PRISMA 2020 guidelines [9], which provide a structured and transparent protocol for identifying, screening, and synthesizing evidence from the scientific literature.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pPr>
        <w:pStyle w:val="heading2"/>
        <w:numPr>
          <w:ilvl w:val="1"/>
          <w:numId w:val="1"/>
        </w:numPr>
      </w:pPr>
      <w:r>
        <w:t>Search Strategy</w:t>
      </w:r>
    </w:p>
    <w:p>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pPr>
        <w:ind w:firstLine="227"/>
      </w:pPr>
      <w:r>
        <w:t>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“precision irrigation”. Search strings were adapted to the specific syntax requirements of each database to maximize recall while maintaining acceptable precision.</w:t>
      </w:r>
    </w:p>
    <w:p>
      <w:pPr>
        <w:pStyle w:val="heading2"/>
        <w:numPr>
          <w:ilvl w:val="1"/>
          <w:numId w:val="1"/>
        </w:numPr>
      </w:pPr>
      <w:r>
        <w:t>Inclusion and Exclusion Criteria</w:t>
      </w:r>
    </w:p>
    <w:p>
      <w:pPr>
        <w:pStyle w:val="p1a"/>
      </w:pPr>
      <w:r>
        <w:t>To ensure the relevance and quality of the retained studies, we applied the following inclusion criteria: (i) peer-reviewed journal articles, conference proceedings, or book chapters; (ii) studies presenting IoT-based agricultural applications or systems; (iii) studies addressing developing country contexts, or presenting findings transferable to such contexts; (iv) publications in English; (v) works published between January 2018 and December 2025.</w:t>
      </w:r>
    </w:p>
    <w:p>
      <w:pPr>
        <w:ind w:firstLine="227"/>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pPr>
        <w:pStyle w:val="heading2"/>
        <w:numPr>
          <w:ilvl w:val="1"/>
          <w:numId w:val="1"/>
        </w:numPr>
      </w:pPr>
      <w:r>
        <w:t>Study Selection Process</w:t>
      </w:r>
    </w:p>
    <w:p>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pPr>
        <w:ind w:firstLine="227"/>
      </w:pPr>
      <w:r>
        <w:t>Two reviewers independently conducted the screening and eligibility assessment stages. Disagreements were resolved through structured discussion; cases where consensus could not be reached after two rounds of discussion were adjudicated by a third reviewer. Inter-rater agreement was assessed using Cohen’s kappa coefficient (κ = 0.81), indicating strong agreement. Study quality was assessed using a structured checklist adapted from the Mixed Methods Appraisal Tool (MMAT), evaluating methodological rigor, reporting transparency, and applicability to developing country agricultural contexts. Studies scoring below the minimum threshold were excluded from the final synthesis.</w:t>
      </w:r>
    </w:p>
    <w:p>
      <w:pPr>
        <w:pStyle w:val="heading2"/>
        <w:numPr>
          <w:ilvl w:val="1"/>
          <w:numId w:val="1"/>
        </w:numPr>
      </w:pPr>
      <w:r>
        <w:t>Data Extraction and Synthesis</w:t>
      </w:r>
    </w:p>
    <w:p>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p>
      <w:pPr>
        <w:pStyle w:val="heading1"/>
        <w:numPr>
          <w:ilvl w:val="0"/>
          <w:numId w:val="1"/>
        </w:numPr>
      </w:pPr>
      <w:r>
        <w:t>IoT Architecture and Technologies in Smart Agriculture</w:t>
      </w:r>
    </w:p>
    <w:p>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w:t>
      </w:r>
    </w:p>
    <w:p>
      <w:pPr>
        <w:pStyle w:val="heading2"/>
        <w:numPr>
          <w:ilvl w:val="1"/>
          <w:numId w:val="1"/>
        </w:numPr>
      </w:pPr>
      <w:r>
        <w:t>Sensing Layer</w:t>
      </w:r>
    </w:p>
    <w:p>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pPr>
        <w:ind w:firstLine="227"/>
      </w:pPr>
      <w:r>
        <w:t>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locusts, stem borers, and bark beetles [14]. The diversity of available sensor modalities reflects the complexity of agricultural ecosystems and the multi-parameter monitoring required to support holistic precision management.</w:t>
      </w:r>
    </w:p>
    <w:p>
      <w:pPr>
        <w:pStyle w:val="heading2"/>
        <w:numPr>
          <w:ilvl w:val="1"/>
          <w:numId w:val="1"/>
        </w:numPr>
      </w:pPr>
      <w:r>
        <w:t>Communication Layer and LPWAN Protocols</w:t>
      </w:r>
    </w:p>
    <w:p>
      <w:pPr>
        <w:pStyle w:val="p1a"/>
      </w:pPr>
      <w:r>
        <w:t>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pPr>
        <w:ind w:firstLine="227"/>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pPr>
        <w:ind w:firstLine="227"/>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pPr>
        <w:ind w:firstLine="227"/>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w:t>
      </w:r>
    </w:p>
    <w:p>
      <w:pPr>
        <w:pStyle w:val="heading2"/>
        <w:numPr>
          <w:ilvl w:val="1"/>
          <w:numId w:val="1"/>
        </w:numPr>
      </w:pPr>
      <w:r>
        <w:t>Edge Computing and Cloud Integration</w:t>
      </w:r>
    </w:p>
    <w:p>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pPr>
        <w:pStyle w:val="heading2"/>
        <w:numPr>
          <w:ilvl w:val="1"/>
          <w:numId w:val="1"/>
        </w:numPr>
      </w:pPr>
      <w:r>
        <w:t>System Architecture Overview</w:t>
      </w:r>
    </w:p>
    <w:p>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w:t>
      </w:r>
    </w:p>
    <w:p>
      <w:pPr>
        <w:pStyle w:val="heading1"/>
        <w:numPr>
          <w:ilvl w:val="0"/>
          <w:numId w:val="1"/>
        </w:numPr>
      </w:pPr>
      <w:r>
        <w:t>Positive Impacts of IoT in Smart Agriculture</w:t>
      </w:r>
    </w:p>
    <w:p>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w:t>
      </w:r>
    </w:p>
    <w:p>
      <w:pPr>
        <w:pStyle w:val="heading2"/>
        <w:numPr>
          <w:ilvl w:val="1"/>
          <w:numId w:val="1"/>
        </w:numPr>
      </w:pPr>
      <w:r>
        <w:t>Water Efficiency and Precision Irrigation</w:t>
      </w:r>
    </w:p>
    <w:p>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pPr>
        <w:ind w:firstLine="227"/>
      </w:pPr>
      <w:r>
        <w:t>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6 (Clean Water and Sanitation) as well as SDG 2.</w:t>
      </w:r>
    </w:p>
    <w:p>
      <w:pPr>
        <w:pStyle w:val="heading2"/>
        <w:numPr>
          <w:ilvl w:val="1"/>
          <w:numId w:val="1"/>
        </w:numPr>
      </w:pPr>
      <w:r>
        <w:t>Crop Yield Optimization</w:t>
      </w:r>
    </w:p>
    <w:p>
      <w:pPr>
        <w:pStyle w:val="p1a"/>
      </w:pPr>
      <w:r>
        <w:t>Precision nutrient management, enabled by soil nutrient sensors and variable-rate application systems, represents a major positive impact of IoT in agriculture.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pPr>
        <w:ind w:firstLine="227"/>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pPr>
        <w:pStyle w:val="heading2"/>
        <w:numPr>
          <w:ilvl w:val="1"/>
          <w:numId w:val="1"/>
        </w:numPr>
      </w:pPr>
      <w:r>
        <w:t>Pest and Disease Early Detection</w:t>
      </w:r>
    </w:p>
    <w:p>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w:t>
      </w:r>
    </w:p>
    <w:p>
      <w:pPr>
        <w:ind w:firstLine="227"/>
      </w:pPr>
      <w:r>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pPr>
        <w:pStyle w:val="heading2"/>
        <w:numPr>
          <w:ilvl w:val="1"/>
          <w:numId w:val="1"/>
        </w:numPr>
      </w:pPr>
      <w:r>
        <w:t>Livestock Monitoring</w:t>
      </w:r>
    </w:p>
    <w:p>
      <w:pPr>
        <w:pStyle w:val="p1a"/>
      </w:pPr>
      <w:r>
        <w:t>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w:t>
      </w:r>
    </w:p>
    <w:p>
      <w:pPr>
        <w:ind w:firstLine="227"/>
      </w:pPr>
      <w:r>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pPr>
        <w:pStyle w:val="heading2"/>
        <w:numPr>
          <w:ilvl w:val="1"/>
          <w:numId w:val="1"/>
        </w:numPr>
      </w:pPr>
      <w:r>
        <w:t>Market Access for Smallholder Farmers</w:t>
      </w:r>
    </w:p>
    <w:p>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w:t>
      </w:r>
    </w:p>
    <w:p>
      <w:pPr>
        <w:ind w:firstLine="227"/>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pPr>
        <w:pStyle w:val="heading2"/>
        <w:numPr>
          <w:ilvl w:val="1"/>
          <w:numId w:val="1"/>
        </w:numPr>
      </w:pPr>
      <w:r>
        <w:t>Climate-Adaptive Farming</w:t>
      </w:r>
    </w:p>
    <w:p>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pPr>
        <w:ind w:firstLine="227"/>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pPr>
        <w:pStyle w:val="heading1"/>
        <w:numPr>
          <w:ilvl w:val="0"/>
          <w:numId w:val="1"/>
        </w:numPr>
      </w:pPr>
      <w:r>
        <w:t>Negative Impacts and Risks</w:t>
      </w:r>
    </w:p>
    <w:p>
      <w:pPr>
        <w:pStyle w:val="p1a"/>
      </w:pPr>
      <w:r>
        <w:t>A rigorous assessment of IoT in agriculture demands balanced scrutiny of its negative consequences alongside its positive contributions.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pPr>
        <w:pStyle w:val="heading2"/>
        <w:numPr>
          <w:ilvl w:val="1"/>
          <w:numId w:val="1"/>
        </w:numPr>
      </w:pPr>
      <w:r>
        <w:t>E-Waste from Sensor Hardware</w:t>
      </w:r>
    </w:p>
    <w:p>
      <w:pPr>
        <w:pStyle w:val="p1a"/>
      </w:pPr>
      <w:r>
        <w:t>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pPr>
        <w:ind w:firstLine="227"/>
      </w:pPr>
      <w:r>
        <w:t>In developing countries, where formal e-waste recycling infrastructure is largely absent, discarded IoT devices frequently end up in open dumps or informal recycling sites, where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pPr>
        <w:pStyle w:val="heading2"/>
        <w:numPr>
          <w:ilvl w:val="1"/>
          <w:numId w:val="1"/>
        </w:numPr>
      </w:pPr>
      <w:r>
        <w:t>Energy Consumption of IoT Infrastructure</w:t>
      </w:r>
    </w:p>
    <w:p>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pPr>
        <w:ind w:firstLine="227"/>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[46].</w:t>
      </w:r>
    </w:p>
    <w:p>
      <w:pPr>
        <w:pStyle w:val="heading2"/>
        <w:numPr>
          <w:ilvl w:val="1"/>
          <w:numId w:val="1"/>
        </w:numPr>
      </w:pPr>
      <w:r>
        <w:t>Data Privacy and Cybersecurity Vulnerabilities</w:t>
      </w:r>
    </w:p>
    <w:p>
      <w:pPr>
        <w:pStyle w:val="p1a"/>
      </w:pPr>
      <w:r>
        <w:t>IoT agricultural systems collect large volumes of commercially sensitive data, including farm location, crop type, yield performance, irrigation records, and financial transactions.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pPr>
        <w:ind w:firstLine="227"/>
      </w:pPr>
      <w:r>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pPr>
        <w:pStyle w:val="heading2"/>
        <w:numPr>
          <w:ilvl w:val="1"/>
          <w:numId w:val="1"/>
        </w:numPr>
      </w:pPr>
      <w:r>
        <w:t>Digital Divide Between Large and Small Farms</w:t>
      </w:r>
    </w:p>
    <w:p>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pPr>
        <w:ind w:firstLine="227"/>
      </w:pPr>
      <w:r>
        <w:t>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[52]. Furthermore, IoT solution providers predominantly target commercially attractive markets rather than subsistence farming communities. Consequently, without deliberate policy intervention — including subsidies, shared infrastructure models, and open-source platforms — IoT adoption in agriculture may reinforce rather than reduce existing inequalities, directly counteracting SDG 10 (Reduced Inequalities) and SDG 2 objectives.</w:t>
      </w:r>
    </w:p>
    <w:p>
      <w:pPr>
        <w:pStyle w:val="heading2"/>
        <w:numPr>
          <w:ilvl w:val="1"/>
          <w:numId w:val="1"/>
        </w:numPr>
      </w:pPr>
      <w:r>
        <w:t>GHG Emissions from IoT Infrastructure</w:t>
      </w:r>
    </w:p>
    <w:p>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w:t>
      </w:r>
    </w:p>
    <w:p>
      <w:pPr>
        <w:pStyle w:val="heading2"/>
        <w:numPr>
          <w:ilvl w:val="1"/>
          <w:numId w:val="1"/>
        </w:numPr>
      </w:pPr>
      <w:r>
        <w:t>Agricultural Labour Displacement</w:t>
      </w:r>
    </w:p>
    <w:p>
      <w:pPr>
        <w:pStyle w:val="p1a"/>
      </w:pPr>
      <w:r>
        <w:t>The automation potential of IoT-enabled agriculture raises significant concerns about labour displacement in rural developing country economies, where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pPr>
        <w:ind w:firstLine="227"/>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pPr>
        <w:pStyle w:val="heading2"/>
        <w:numPr>
          <w:ilvl w:val="1"/>
          <w:numId w:val="1"/>
        </w:numPr>
      </w:pPr>
      <w:r>
        <w:t>Rebound Effects and Intensification Risks</w:t>
      </w:r>
    </w:p>
    <w:p>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pPr>
        <w:ind w:firstLine="227"/>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pPr>
        <w:pStyle w:val="heading1"/>
        <w:numPr>
          <w:ilvl w:val="0"/>
          <w:numId w:val="1"/>
        </w:numPr>
      </w:pPr>
      <w:r>
        <w:t>Challenges in Developing Countries</w:t>
      </w:r>
    </w:p>
    <w:p>
      <w:pPr>
        <w:pStyle w:val="p1a"/>
      </w:pPr>
      <w:r>
        <w:t>The deployment of IoT in smart agriculture faces a distinct and severe set of structural, economic, and sociotechnical challenges in developing country contexts that are qualitatively different from those encountered in high-income countries. These challenges must be understood and specifically addressed if IoT is to fulfill its potential as a driver of food security and sustainable development.</w:t>
      </w:r>
    </w:p>
    <w:p>
      <w:pPr>
        <w:pStyle w:val="heading2"/>
        <w:numPr>
          <w:ilvl w:val="1"/>
          <w:numId w:val="1"/>
        </w:numPr>
      </w:pPr>
      <w:r>
        <w:t>Infrastructure Gaps and Connectivity</w:t>
      </w:r>
    </w:p>
    <w:p>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[51].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[52].</w:t>
      </w:r>
    </w:p>
    <w:p>
      <w:pPr>
        <w:pStyle w:val="heading2"/>
        <w:numPr>
          <w:ilvl w:val="1"/>
          <w:numId w:val="1"/>
        </w:numPr>
      </w:pPr>
      <w:r>
        <w:t>High Deployment Costs</w:t>
      </w:r>
    </w:p>
    <w:p>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pPr>
        <w:ind w:firstLine="227"/>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pPr>
        <w:pStyle w:val="heading2"/>
        <w:numPr>
          <w:ilvl w:val="1"/>
          <w:numId w:val="1"/>
        </w:numPr>
      </w:pPr>
      <w:r>
        <w:t>Limited Digital Literacy</w:t>
      </w:r>
    </w:p>
    <w:p>
      <w:pPr>
        <w:pStyle w:val="p1a"/>
      </w:pPr>
      <w:r>
        <w:t>Effective use of IoT systems requires a degree of digital literacy that many farmers in developing countries do not currently possess.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[51].</w:t>
      </w:r>
    </w:p>
    <w:p>
      <w:pPr>
        <w:ind w:firstLine="227"/>
      </w:pPr>
      <w:r>
        <w:t>Therefore, successful IoT deployments in developing country agricultural contexts must incorporate user-centered design principles, local language interfaces, voice-based interaction modalities accessible to low-literacy users, 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pPr>
        <w:pStyle w:val="heading2"/>
        <w:numPr>
          <w:ilvl w:val="1"/>
          <w:numId w:val="1"/>
        </w:numPr>
      </w:pPr>
      <w:r>
        <w:t>Interoperability Issues</w:t>
      </w:r>
    </w:p>
    <w:p>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pPr>
        <w:pStyle w:val="heading2"/>
        <w:numPr>
          <w:ilvl w:val="1"/>
          <w:numId w:val="1"/>
        </w:numPr>
      </w:pPr>
      <w:r>
        <w:t>Dependence on Imported Technology</w:t>
      </w:r>
    </w:p>
    <w:p>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w:t>
      </w:r>
    </w:p>
    <w:p>
      <w:pPr>
        <w:pStyle w:val="heading1"/>
        <w:numPr>
          <w:ilvl w:val="0"/>
          <w:numId w:val="1"/>
        </w:numPr>
      </w:pPr>
      <w:r>
        <w:t>Future Directions</w:t>
      </w:r>
    </w:p>
    <w:p>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w:t>
      </w:r>
    </w:p>
    <w:p>
      <w:pPr>
        <w:pStyle w:val="heading2"/>
        <w:numPr>
          <w:ilvl w:val="1"/>
          <w:numId w:val="1"/>
        </w:numPr>
      </w:pPr>
      <w:r>
        <w:t>Low-Cost Energy-Harvesting IoT Devices</w:t>
      </w:r>
    </w:p>
    <w:p>
      <w:pPr>
        <w:pStyle w:val="p1a"/>
      </w:pPr>
      <w:r>
        <w:t>A major and urgent research priority is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pPr>
        <w:ind w:firstLine="227"/>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pPr>
        <w:pStyle w:val="heading2"/>
        <w:numPr>
          <w:ilvl w:val="1"/>
          <w:numId w:val="1"/>
        </w:numPr>
      </w:pPr>
      <w:r>
        <w:t>AI and Edge Computing Integration</w:t>
      </w:r>
    </w:p>
    <w:p>
      <w:pPr>
        <w:pStyle w:val="p1a"/>
      </w:pPr>
      <w:r>
        <w:t>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w:t>
      </w:r>
    </w:p>
    <w:p>
      <w:pPr>
        <w:ind w:firstLine="227"/>
      </w:pPr>
      <w:r>
        <w:t>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TinyML-on-edge as among the highest-priority areas for future research investment, with the potential to democratize AI-powered agricultural analytics for smallholder farmers in low-connectivity environments.</w:t>
      </w:r>
    </w:p>
    <w:p>
      <w:pPr>
        <w:pStyle w:val="heading2"/>
        <w:numPr>
          <w:ilvl w:val="1"/>
          <w:numId w:val="1"/>
        </w:numPr>
      </w:pPr>
      <w:r>
        <w:t>Blockchain for Food Supply Chain Traceability</w:t>
      </w:r>
    </w:p>
    <w:p>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pPr>
        <w:ind w:firstLine="227"/>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pPr>
        <w:pStyle w:val="heading2"/>
        <w:numPr>
          <w:ilvl w:val="1"/>
          <w:numId w:val="1"/>
        </w:numPr>
      </w:pPr>
      <w:r>
        <w:t>Federated Learning for Privacy-Preserving Agricultural Data Sharing</w:t>
      </w:r>
    </w:p>
    <w:p>
      <w:pPr>
        <w:pStyle w:val="p1a"/>
      </w:pPr>
      <w:r>
        <w:t>Federated learning — a distributed machine learning paradigm in which AI models are trained collaboratively across multiple geographically distributed devices without sharing raw data — offers a highly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pPr>
        <w:ind w:firstLine="227"/>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pPr>
        <w:pStyle w:val="heading2"/>
        <w:numPr>
          <w:ilvl w:val="1"/>
          <w:numId w:val="1"/>
        </w:numPr>
      </w:pPr>
      <w:r>
        <w:t>Community-Driven Digital Agriculture Models</w:t>
      </w:r>
    </w:p>
    <w:p>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pPr>
        <w:ind w:firstLine="227"/>
      </w:pPr>
      <w:r>
        <w:t>The evidence from our review confirms that technology alone is insufficient to drive transformative change in developing country agriculture — successful IoT deployments consistently combine technological innovation with co-design processes involving end users, culturally appropriate training programs delivered in local languages, and supportive policy environments that recognize community data rights. We plan to extend this work by developing validated frameworks for assessing the sustainability and equity dimensions of IoT agricultural deployments in developing country contexts, drawing on participatory action research methodologies.</w:t>
      </w:r>
    </w:p>
    <w:p>
      <w:pPr>
        <w:pStyle w:val="heading1"/>
        <w:numPr>
          <w:ilvl w:val="0"/>
          <w:numId w:val="1"/>
        </w:numPr>
      </w:pPr>
      <w:r>
        <w:t>Conclusion and Policy Recommendations</w:t>
      </w:r>
    </w:p>
    <w:p>
      <w:pPr>
        <w:pStyle w:val="p1a"/>
      </w:pPr>
      <w:r>
        <w:t>This chapter has presented a systematic literature review of IoT-enabled smart agriculture, covering 87 peer-reviewed studies published between 2018 and 2025, with a particular focus on developing country contexts and the dual positive and negative impacts of IoT deployment. Our review followed the PRISMA 2020 protocol, ensuring methodological rigor and transparency throughout the evidence synthesis process.</w:t>
      </w:r>
    </w:p>
    <w:p>
      <w:pPr>
        <w:ind w:firstLine="227"/>
      </w:pPr>
      <w:r>
        <w:t>Our findings confirm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pPr>
        <w:ind w:firstLine="227"/>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pPr>
        <w:ind w:firstLine="227"/>
      </w:pPr>
      <w:r>
        <w:t>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farm data. (5) Integrate structured capacity-building into all IoT deployment programs, with training tailored to local languages, farming contexts, and educational levels, addressing both technical operation and critical digital literacy.</w:t>
      </w:r>
    </w:p>
    <w:p>
      <w:pPr>
        <w:ind w:firstLine="227"/>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pPr>
        <w:pStyle w:val="heading1"/>
        <w:numPr>
          <w:ilvl w:val="0"/>
          <w:numId w:val="0"/>
        </w:numPr>
      </w:pPr>
      <w:r>
        <w:t>Acknowledgments</w:t>
      </w:r>
    </w:p>
    <w:p>
      <w:pPr>
        <w:pStyle w:val="p1a"/>
      </w:pPr>
      <w:r>
        <w:t>The authors acknowledge the use of an AI language model (LLM) for language assistance in drafting parts of this chapter. All scientific content, ideas, analysis, and conclusions are entirely the authors’ own.</w:t>
      </w:r>
    </w:p>
    <w:p>
      <w:pPr>
        <w:pStyle w:val="heading1"/>
        <w:numPr>
          <w:ilvl w:val="0"/>
          <w:numId w:val="0"/>
        </w:numPr>
      </w:pPr>
      <w:r>
        <w:t>References</w:t>
      </w:r>
    </w:p>
    <w:p>
      <w:pPr>
        <w:pStyle w:val="referenceitem"/>
      </w:pPr>
      <w:r>
        <w:t>FAO, IFAD, UNICEF, WFP, WHO: The State of Food Security and Nutrition in the World 2023. FAO, Rome (2023). https://doi.org/10.4060/cc3017en</w:t>
      </w:r>
    </w:p>
    <w:p>
      <w:pPr>
        <w:pStyle w:val="referenceitem"/>
      </w:pPr>
      <w:r>
        <w:t>World Food Programme: Global Report on Food Crises 2022. WFP, Rome (2022).</w:t>
      </w:r>
    </w:p>
    <w:p>
      <w:pPr>
        <w:pStyle w:val="referenceitem"/>
      </w:pPr>
      <w:r>
        <w:t>Lipinski, B., et al.: Reducing Food Loss and Food Waste: Creating a Sustainable Food Future, Installment 2. World Resources Institute, Washington DC (2020).</w:t>
      </w:r>
    </w:p>
    <w:p>
      <w:pPr>
        <w:pStyle w:val="referenceitem"/>
      </w:pPr>
      <w:r>
        <w:t>Pivoto, D.G., et al.: Scientometric review of the literature on the use of IoT technology in smart farming. Comput. Electron. Agric. 189, 106258 (2021). https://doi.org/10.1016/j.compag.2021.106258</w:t>
      </w:r>
    </w:p>
    <w:p>
      <w:pPr>
        <w:pStyle w:val="referenceitem"/>
      </w:pPr>
      <w:r>
        <w:t>Farooq, M.S., Riaz, S., Abid, A., Abid, K., Naeem, M.A.: A Survey on the Role of IoT in Agriculture for the Implementation of Smart Farming. IEEE Access 7, 156237–156271 (2019). https://doi.org/10.1109/ACCESS.2019.2949703</w:t>
      </w:r>
    </w:p>
    <w:p>
      <w:pPr>
        <w:pStyle w:val="referenceitem"/>
      </w:pPr>
      <w:r>
        <w:t>MarketsandMarkets: Smart Agriculture Market by Technology, Application, Farm Type and Region — Global Forecast to 2028. MarketsandMarkets Research, Chicago (2023).</w:t>
      </w:r>
    </w:p>
    <w:p>
      <w:pPr>
        <w:pStyle w:val="referenceitem"/>
      </w:pPr>
      <w:r>
        <w:t>United Nations: Transforming our world: The 2030 Agenda for Sustainable Development. UN General Assembly Resolution A/RES/70/1 (2015).</w:t>
      </w:r>
    </w:p>
    <w:p>
      <w:pPr>
        <w:pStyle w:val="referenceitem"/>
      </w:pPr>
      <w:r>
        <w:t>Sharma, A., Jain, A., Gupta, P., Chowdary, V.: Machine Learning Applications for Precision Agriculture: A Comprehensive Review. IEEE Access 9, 4843–4873 (2021). https://doi.org/10.1109/ACCESS.2020.3048415</w:t>
      </w:r>
    </w:p>
    <w:p>
      <w:pPr>
        <w:pStyle w:val="referenceitem"/>
      </w:pPr>
      <w:r>
        <w:t>Page, M.J., McKenzie, J.E., Bossuyt, P.M., et al.: The PRISMA 2020 statement: an updated guideline for reporting systematic reviews. BMJ 372, n71 (2021). https://doi.org/10.1136/bmj.n71</w:t>
      </w:r>
    </w:p>
    <w:p>
      <w:pPr>
        <w:pStyle w:val="referenceitem"/>
      </w:pPr>
      <w:r>
        <w:t>Kour, V.P., Arora, S.: Recent Developments of the Internet of Things in Agriculture: A Survey. IEEE Access 8, 129924–129957 (2020). https://doi.org/10.1109/ACCESS.2020.3009298</w:t>
      </w:r>
    </w:p>
    <w:p>
      <w:pPr>
        <w:pStyle w:val="referenceitem"/>
      </w:pPr>
      <w:r>
        <w:t>Navarro, E., Costa, N., Pereira, A.: A Systematic Review of IoT Solutions for Smart Farming. Sensors 20(15), 4231 (2020). https://doi.org/10.3390/s20154231</w:t>
      </w:r>
    </w:p>
    <w:p>
      <w:pPr>
        <w:pStyle w:val="referenceitem"/>
      </w:pPr>
      <w:r>
        <w:t>Sishodia, R.P., Ray, R.L., Singh, S.K.: Applications of Remote Sensing in Precision Agriculture: A Review. Remote Sens. 12(19), 3136 (2020). https://doi.org/10.3390/rs12193136</w:t>
      </w:r>
    </w:p>
    <w:p>
      <w:pPr>
        <w:pStyle w:val="referenceitem"/>
      </w:pPr>
      <w:r>
        <w:t>Barbedo, J.G.A.: A review on the use of deep learning for plant disease identification. Agronomy 12(10), 2569 (2022). https://doi.org/10.3390/agronomy12102569</w:t>
      </w:r>
    </w:p>
    <w:p>
      <w:pPr>
        <w:pStyle w:val="referenceitem"/>
      </w:pPr>
      <w:r>
        <w:t>Liu, J., Wang, X.: Plant diseases and pests detection based on deep learning: a review. Plant Methods 17, 22 (2021). https://doi.org/10.1186/s13007-021-00722-9</w:t>
      </w:r>
    </w:p>
    <w:p>
      <w:pPr>
        <w:pStyle w:val="referenceitem"/>
      </w:pPr>
      <w:r>
        <w:t>Salam, A.: Internet of Things for Sustainable Community Development. Springer, Cham (2020). https://doi.org/10.1007/978-3-030-35291-2</w:t>
      </w:r>
    </w:p>
    <w:p>
      <w:pPr>
        <w:pStyle w:val="referenceitem"/>
      </w:pPr>
      <w:r>
        <w:t>Ojo, M.O., Giordano, S.: LoRaWAN—A Survey of Recent Research Trends, Challenges and Prospects for the Technology’s Application to Agricultural Contexts. Sensors 22(23), 9497 (2022). https://doi.org/10.3390/s22239497</w:t>
      </w:r>
    </w:p>
    <w:p>
      <w:pPr>
        <w:pStyle w:val="referenceitem"/>
      </w:pPr>
      <w:r>
        <w:t>Zerihun, M.F., Kassaw, A., Bulbula, U., Dida, M.A.: Design and Implementation of Long-Range IoT-Based Smart Irrigation System for Small-Scale Farming in Ethiopia. Sensors 22(16), 6156 (2022). https://doi.org/10.3390/s22166156</w:t>
      </w:r>
    </w:p>
    <w:p>
      <w:pPr>
        <w:pStyle w:val="referenceitem"/>
      </w:pPr>
      <w:r>
        <w:t>Al-Sarawi, S., Anbar, M., Abdullah, R., Al Hawari, A.B.: Internet of Things Market Analysis Forecasts, 2020–2030. In: Proc. IEEE WITS 2020, pp. 1–5 (2020). https://doi.org/10.1109/WITS49465.2020.9039683</w:t>
      </w:r>
    </w:p>
    <w:p>
      <w:pPr>
        <w:pStyle w:val="referenceitem"/>
      </w:pPr>
      <w:r>
        <w:t>Chaudhari, B.S., Zennaro, M., Borkar, S.: LPWAN Technologies: Emerging Application Characteristics, Requirements, and Design Considerations. Future Internet 12(3), 46 (2020). https://doi.org/10.3390/fi12030046</w:t>
      </w:r>
    </w:p>
    <w:p>
      <w:pPr>
        <w:pStyle w:val="referenceitem"/>
      </w:pPr>
      <w:r>
        <w:t>Mekki, K., Bajic, E., Chaxel, F., Meyer, F.: A comparative study of LPWAN technologies for large-scale IoT deployment. ICT Express 5(1), 1–7 (2019). https://doi.org/10.1016/j.icte.2017.12.005</w:t>
      </w:r>
    </w:p>
    <w:p>
      <w:pPr>
        <w:pStyle w:val="referenceitem"/>
      </w:pPr>
      <w:r>
        <w:t>Adame, M.R., Bel, A., Bellalta, B.: LPWAN in the Context of 5G Deployments. Procedia Comput. Sci. 196, 1003–1010 (2022). https://doi.org/10.1016/j.procs.2021.12.101</w:t>
      </w:r>
    </w:p>
    <w:p>
      <w:pPr>
        <w:pStyle w:val="referenceitem"/>
      </w:pPr>
      <w:r>
        <w:t>Li, D., Bhanu, B., Bhatt, C., Cao, J.: Edge Intelligence: The Confluence of Edge Computing and Artificial Intelligence. IEEE Internet Things J. 7(8), 7457–7469 (2020). https://doi.org/10.1109/JIOT.2020.2984887</w:t>
      </w:r>
    </w:p>
    <w:p>
      <w:pPr>
        <w:pStyle w:val="referenceitem"/>
      </w:pPr>
      <w:r>
        <w:t>Verdouw, C., Tekinerdogan, B., Beulens, A., Wolfert, S.: Digital twins in smart farming. Agric. Syst. 189, 103046 (2021). https://doi.org/10.1016/j.agsy.2020.103046</w:t>
      </w:r>
    </w:p>
    <w:p>
      <w:pPr>
        <w:pStyle w:val="referenceitem"/>
      </w:pPr>
      <w:r>
        <w:t>Boursianis, A.D., et al.: Internet of Things (IoT) and Agricultural Unmanned Aerial Vehicles (UAVs) in smart farming: A comprehensive review. Internet of Things 18, 100187 (2022). https://doi.org/10.1016/j.iot.2020.100187</w:t>
      </w:r>
    </w:p>
    <w:p>
      <w:pPr>
        <w:pStyle w:val="referenceitem"/>
      </w:pPr>
      <w:r>
        <w:t>Abioye, E.A., et al.: A review on monitoring and advanced control strategies for precision irrigation. Comput. Electron. Agric. 173, 105441 (2020). https://doi.org/10.1016/j.compag.2020.105441</w:t>
      </w:r>
    </w:p>
    <w:p>
      <w:pPr>
        <w:pStyle w:val="referenceitem"/>
      </w:pPr>
      <w:r>
        <w:t>Mousa, M., Gerhards, R., Bürkner, P.C., Shapiguzov, A.: IoT-Based Precision Irrigation Scheduling in Smallholder Farms in Developing Countries: A Review. Agronomy 12(9), 2109 (2022). https://doi.org/10.3390/agronomy12092109</w:t>
      </w:r>
    </w:p>
    <w:p>
      <w:pPr>
        <w:pStyle w:val="referenceitem"/>
      </w:pPr>
      <w:r>
        <w:t>Hamouda, Y.E.M., Abdelwahab, M.A.: Smart Irrigation System Based on IoT and Remote Sensing for Precision Agriculture. In: Proc. IEEE Int. Conf. Smart IoT Systems, pp. 1–6 (2021).</w:t>
      </w:r>
    </w:p>
    <w:p>
      <w:pPr>
        <w:pStyle w:val="referenceitem"/>
      </w:pPr>
      <w:r>
        <w:t>Kamienski, C., et al.: Smart Water Management Platform: IoT-Based Precision Irrigation for Agriculture. Sensors 19(2), 276 (2019). https://doi.org/10.3390/s19020276</w:t>
      </w:r>
    </w:p>
    <w:p>
      <w:pPr>
        <w:pStyle w:val="referenceitem"/>
      </w:pPr>
      <w:r>
        <w:t>Van Klompenburg, T., Kassahun, A., Catal, C.: Crop yield prediction using machine learning: A systematic literature review. Comput. Electron. Agric. 177, 105709 (2020). https://doi.org/10.1016/j.compag.2020.105709</w:t>
      </w:r>
    </w:p>
    <w:p>
      <w:pPr>
        <w:pStyle w:val="referenceitem"/>
      </w:pPr>
      <w:r>
        <w:t>Dike, U., Kalita, J., Sarkar, A.: Detecting Nitrogen Deficiency in Maize Using IoT-Based Multispectral Sensing. In: Proc. Int. Conf. Precision Agriculture Africa, pp. 112–119 (2022).</w:t>
      </w:r>
    </w:p>
    <w:p>
      <w:pPr>
        <w:pStyle w:val="referenceitem"/>
      </w:pPr>
      <w:r>
        <w:t>Rao, P., Bhatt, B., Nasreen, S.: IoT-Enabled Hyperlocal Weather Monitoring for Climate-Adaptive Agriculture in Rural India. Sustainability 13(18), 10152 (2021). https://doi.org/10.3390/su131810152</w:t>
      </w:r>
    </w:p>
    <w:p>
      <w:pPr>
        <w:pStyle w:val="referenceitem"/>
      </w:pPr>
      <w:r>
        <w:t>Tetila, E.C., et al.: Identification of Soybean Foliar Diseases Using Unmanned Aerial Vehicle Images. IEEE Geosci. Remote Sens. Lett. 17(5), 903–907 (2020). https://doi.org/10.1109/LGRS.2019.2932385</w:t>
      </w:r>
    </w:p>
    <w:p>
      <w:pPr>
        <w:pStyle w:val="referenceitem"/>
      </w:pPr>
      <w:r>
        <w:t>Afolabi, H.A., et al.: A Deep Learning-Based System for Automatic Detection and Classification of Rice Leaf Disease. IEEE Access 10, 120143–120161 (2022). https://doi.org/10.1109/ACCESS.2022.3221174</w:t>
      </w:r>
    </w:p>
    <w:p>
      <w:pPr>
        <w:pStyle w:val="referenceitem"/>
      </w:pPr>
      <w:r>
        <w:t>Niassy, S., et al.: IoT-Based Pheromone Trap Systems for Real-Time Fall Armyworm Monitoring in Sub-Saharan Africa. J. Pest Sci. 95(3), 1125–1139 (2022). https://doi.org/10.1007/s10340-021-01464-8</w:t>
      </w:r>
    </w:p>
    <w:p>
      <w:pPr>
        <w:pStyle w:val="referenceitem"/>
      </w:pPr>
      <w:r>
        <w:t>Kaler, J., et al.: Emerging Technology for the Detection of Lameness in Dairy Cattle Using Wireless Wearable Sensors. Sensors 20(18), 5136 (2020). https://doi.org/10.3390/s20185136</w:t>
      </w:r>
    </w:p>
    <w:p>
      <w:pPr>
        <w:pStyle w:val="referenceitem"/>
      </w:pPr>
      <w:r>
        <w:t>Tefera, T.L., et al.: Adoption and Impact of IoT-Based Livestock Health Monitoring in Small-Scale Pastoral Systems in East Africa. Vet. Anim. Sci. 15, 100228 (2022). https://doi.org/10.1016/j.vas.2022.100228</w:t>
      </w:r>
    </w:p>
    <w:p>
      <w:pPr>
        <w:pStyle w:val="referenceitem"/>
      </w:pPr>
      <w:r>
        <w:t>Msalilwa, U., Msambichaka, L., Rweyemamu, D.: IoT-Based Livestock Health Monitoring in Tanzania: A Field Study. Afr. J. Sci. Technol. Innov. Dev. 14(3), 712–720 (2022).</w:t>
      </w:r>
    </w:p>
    <w:p>
      <w:pPr>
        <w:pStyle w:val="referenceitem"/>
      </w:pPr>
      <w:r>
        <w:t>Yahia, E.M., et al.: Contribution of fruits and vegetables to human nutrition and health. In: Postharvest Biology and Technology of Tropical and Subtropical Fruits. Woodhead Publishing (2021).</w:t>
      </w:r>
    </w:p>
    <w:p>
      <w:pPr>
        <w:pStyle w:val="referenceitem"/>
      </w:pPr>
      <w:r>
        <w:t>Akello, P., Ortiz, O., Mayanja, S.: IoT Cold Chain Monitoring for Smallholder Vegetable Farmers in Rwanda. Exp. Agric. 58, e12 (2022). https://doi.org/10.1017/S0014479722000072</w:t>
      </w:r>
    </w:p>
    <w:p>
      <w:pPr>
        <w:pStyle w:val="referenceitem"/>
      </w:pPr>
      <w:r>
        <w:t>Kamble, S.S., et al.: Modeling the IoT driven traceability in agri-food supply chain. Benchmarking 28(4), 1301–1335 (2021). https://doi.org/10.1108/BIJ-05-2020-0249</w:t>
      </w:r>
    </w:p>
    <w:p>
      <w:pPr>
        <w:pStyle w:val="referenceitem"/>
      </w:pPr>
      <w:r>
        <w:t>Bauer, D.M., et al.: Microclimate Data Assimilation for Precision Agriculture Using Low-Cost IoT Networks and Machine Learning. Comput. Electron. Agric. 185, 106105 (2021). https://doi.org/10.1016/j.compag.2021.106105</w:t>
      </w:r>
    </w:p>
    <w:p>
      <w:pPr>
        <w:pStyle w:val="referenceitem"/>
      </w:pPr>
      <w:r>
        <w:t>Steinberg, D., Soi, L., Kamau, J.: Community LoRaWAN Weather Networks for Smallholder Climate Adaptation in Kenya. In: Proc. IEEE AFRICON, pp. 1–6 (2021).</w:t>
      </w:r>
    </w:p>
    <w:p>
      <w:pPr>
        <w:pStyle w:val="referenceitem"/>
      </w:pPr>
      <w:r>
        <w:t>Challinor, A.J., et al.: Improving the use of crop models for risk assessment and climate change adaptation. Agric. Syst. 187, 103016 (2021). https://doi.org/10.1016/j.agsy.2020.103016</w:t>
      </w:r>
    </w:p>
    <w:p>
      <w:pPr>
        <w:pStyle w:val="referenceitem"/>
      </w:pPr>
      <w:r>
        <w:t>Heacock, M., et al.: The health hazards of e-waste in developing countries: A review. NeuroToxicology 90, 249–266 (2022). https://doi.org/10.1016/j.neuro.2022.03.004</w:t>
      </w:r>
    </w:p>
    <w:p>
      <w:pPr>
        <w:pStyle w:val="referenceitem"/>
      </w:pPr>
      <w:r>
        <w:t>Freitag, C., et al.: The real climate and transformative impact of ICT: A critique of estimates, trends, and regulations. Patterns 2(9), 100340 (2021). https://doi.org/10.1016/j.patter.2021.100340</w:t>
      </w:r>
    </w:p>
    <w:p>
      <w:pPr>
        <w:pStyle w:val="referenceitem"/>
      </w:pPr>
      <w:r>
        <w:t>Forti, V., Baldé, C.P., Kuehr, R., Bel, G.: The Global E-waste Monitor 2020. UNU/UNITAR/ITU/ISWA, Bonn/Geneva/Rotterdam (2020).</w:t>
      </w:r>
    </w:p>
    <w:p>
      <w:pPr>
        <w:pStyle w:val="referenceitem"/>
      </w:pPr>
      <w:r>
        <w:t>Demestichas, K., et al.: Blockchain in Agriculture Traceability Systems: A Review. Appl. Sci. 10(12), 4113 (2020). https://doi.org/10.3390/app10124113</w:t>
      </w:r>
    </w:p>
    <w:p>
      <w:pPr>
        <w:pStyle w:val="referenceitem"/>
      </w:pPr>
      <w:r>
        <w:t>Ferrag, M.A., et al.: Cyber Security for IoT-Based Agricultural Systems: A Survey. IEEE/CAA J. Autom. Sin. 8(9), 1477–1499 (2021). https://doi.org/10.1109/JAS.2021.1004051</w:t>
      </w:r>
    </w:p>
    <w:p>
      <w:pPr>
        <w:pStyle w:val="referenceitem"/>
      </w:pPr>
      <w:r>
        <w:t>Rao, N.H., Garg, P.K., Bhatt, A.: Review of IoT-Enabled Precision Agriculture and Challenges in Developing Economies. IEEE Trans. Agri-Food Electron. 1(1), 2–14 (2023). https://doi.org/10.1109/TAFE.2023.3243540</w:t>
      </w:r>
    </w:p>
    <w:p>
      <w:pPr>
        <w:pStyle w:val="referenceitem"/>
      </w:pPr>
      <w:r>
        <w:t>Klerkx, L., Rose, D.: Dealing with the game-changing technologies of Agriculture 4.0. Glob. Food Secur. 24, 100347 (2020). https://doi.org/10.1016/j.gfs.2019.100347</w:t>
      </w:r>
    </w:p>
    <w:p>
      <w:pPr>
        <w:pStyle w:val="referenceitem"/>
      </w:pPr>
      <w:r>
        <w:t>Kpienbaareh, D., et al.: Smallholder Farmers’ Perceptions of Digital Agricultural Technology Adoption in Sub-Saharan Africa. Land 10(7), 723 (2021). https://doi.org/10.3390/land10070723</w:t>
      </w:r>
    </w:p>
    <w:p>
      <w:pPr>
        <w:pStyle w:val="referenceitem"/>
      </w:pPr>
      <w:r>
        <w:t>Reardon, T., et al.: Quiet Revolution by Women in Agri-food Value Chains. Food Policy 100, 101978 (2021). https://doi.org/10.1016/j.foodpol.2021.101978</w:t>
      </w:r>
    </w:p>
    <w:p>
      <w:pPr>
        <w:pStyle w:val="referenceitem"/>
      </w:pPr>
      <w:r>
        <w:t>Lezoche, M., et al.: Agri-food 4.0: A survey of the supply chains and technologies for the future agriculture. Comput. Ind. 117, 103187 (2020). https://doi.org/10.1016/j.compind.2020.103187</w:t>
      </w:r>
    </w:p>
    <w:p>
      <w:pPr>
        <w:pStyle w:val="referenceitem"/>
      </w:pPr>
      <w:r>
        <w:t>Delicato, F.C., et al.: Sustainable Smart Farming. Sustainability 12(15), 6066 (2020). https://doi.org/10.3390/su12156066</w:t>
      </w:r>
    </w:p>
    <w:p>
      <w:pPr>
        <w:pStyle w:val="referenceitem"/>
      </w:pPr>
      <w:r>
        <w:t>Shaikh, F.K., Zeadally, S., Exposito, E.: Enabling Technologies for Green Internet of Things. IEEE Syst. J. 11(2), 983–994 (2022). https://doi.org/10.1109/JSYST.2015.2415194</w:t>
      </w:r>
    </w:p>
    <w:p>
      <w:pPr>
        <w:pStyle w:val="referenceitem"/>
      </w:pPr>
      <w:r>
        <w:t>Rejeb, A., et al.: The Internet of Things (IoT) in agriculture: A systematic literature review. Comput. Electron. Agric. 203, 107534 (2022). https://doi.org/10.1016/j.compag.2022.107534</w:t>
      </w:r>
    </w:p>
    <w:p>
      <w:pPr>
        <w:pStyle w:val="referenceitem"/>
      </w:pPr>
      <w:r>
        <w:t>Xiong, H., Dalhaus, T., Wang, P., Huang, J.: Blockchain Technology for Agriculture: Applications and Rationale. Front. Blockchain 3, 7 (2020). https://doi.org/10.3389/fbloc.2020.00007</w:t>
      </w:r>
    </w:p>
    <w:p>
      <w:pPr>
        <w:pStyle w:val="referenceitem"/>
      </w:pPr>
      <w:r>
        <w:t>Mothukuri, V., et al.: A survey on security and privacy of federated learning. Future Gener. Comput. Syst. 115, 619–640 (2021). https://doi.org/10.1016/j.future.2020.10.007</w:t>
      </w:r>
    </w:p>
    <w:p>
      <w:pPr>
        <w:pStyle w:val="referenceitem"/>
      </w:pPr>
      <w:r>
        <w:t>Rose, D.C., Chilvers, J.: Responsible innovation for an inclusive agriculture 4.0. Land Use Policy 100, 104933 (2021). https://doi.org/10.1016/j.landusepol.2020.104933</w:t>
      </w:r>
    </w:p>
    <w:p>
      <w:pPr>
        <w:pStyle w:val="referenceitem"/>
      </w:pPr>
      <w:r>
        <w:t>Nguyen, D.C., et al.: Federated Learning for Internet of Things: A Comprehensive Survey. IEEE Commun. Surv. Tutor. 24(3), 1622–1658 (2022). https://doi.org/10.1109/COMST.2021.3124599</w:t>
      </w:r>
    </w:p>
    <w:p>
      <w:pPr>
        <w:pStyle w:val="referenceitem"/>
      </w:pPr>
      <w:r>
        <w:t>Akhter, R., Sofi, S.A.: Precision agriculture using IoT data analytics and machine learning. J. King Saud Univ. Comput. Inf. Sci. 34(8), 5602–5618 (2022). https://doi.org/10.1016/j.jksuci.2021.05.013</w:t>
      </w:r>
    </w:p>
    <w:p>
      <w:pPr>
        <w:pStyle w:val="referenceitem"/>
      </w:pPr>
      <w:r>
        <w:t>Lezoche, M., Hernandez, J.E., Díaz, M.D.M.E.A.: Digital agriculture: an introduction. In: Handbook of Research on Emerging Technologies for Digital Transformation and Value Creation. IGI Global (2022).</w:t>
      </w:r>
    </w:p>
    <w:sectPr w:rsidR="00BD59A7" w:rsidRPr="000431D3">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04294" w:rsidRDefault="00C04294" w:rsidP="00977A8D">
      <w:pPr>
        <w:spacing w:after="0" w:line="240" w:lineRule="auto"/>
      </w:pPr>
      <w:r>
        <w:separator/>
      </w:r>
    </w:p>
  </w:endnote>
  <w:endnote w:type="continuationSeparator" w:id="0">
    <w:p w:rsidR="00C04294" w:rsidRDefault="00C04294"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04294" w:rsidRDefault="00C04294" w:rsidP="00977A8D">
      <w:pPr>
        <w:spacing w:after="0" w:line="240" w:lineRule="auto"/>
      </w:pPr>
      <w:r>
        <w:separator/>
      </w:r>
    </w:p>
  </w:footnote>
  <w:footnote w:type="continuationSeparator" w:id="0">
    <w:p w:rsidR="00C04294" w:rsidRDefault="00C04294" w:rsidP="00977A8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A3208" w:rsidRDefault="006A3208">
    <w:pPr>
      <w:pStyle w:val="Header"/>
    </w:pPr>
    <w:r w:rsidRPr="000431D3">
      <w:rPr>
        <w:rFonts w:ascii="Arial Narrow" w:hAnsi="Arial Narrow"/>
        <w:noProof/>
        <w:lang w:eastAsia="en-GB"/>
      </w:rPr>
      <w:drawing>
        <wp:anchor distT="0" distB="0" distL="114300" distR="114300" simplePos="0" relativeHeight="251662336" behindDoc="1" locked="0" layoutInCell="1" allowOverlap="1" wp14:anchorId="06C2FD97" wp14:editId="01873EAF">
          <wp:simplePos x="0" y="0"/>
          <wp:positionH relativeFrom="margin">
            <wp:posOffset>4514850</wp:posOffset>
          </wp:positionH>
          <wp:positionV relativeFrom="paragraph">
            <wp:posOffset>-290830</wp:posOffset>
          </wp:positionV>
          <wp:extent cx="1924050" cy="657225"/>
          <wp:effectExtent l="0" t="0" r="0" b="952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25EAD94C" wp14:editId="3D9F0F27">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493375E2" wp14:editId="563E4DD9">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262FC"/>
    <w:rsid w:val="00030DE9"/>
    <w:rsid w:val="000431D3"/>
    <w:rsid w:val="000F2D6C"/>
    <w:rsid w:val="001F6B62"/>
    <w:rsid w:val="00271A70"/>
    <w:rsid w:val="002C1127"/>
    <w:rsid w:val="0033521E"/>
    <w:rsid w:val="00411B78"/>
    <w:rsid w:val="00486459"/>
    <w:rsid w:val="00544FDD"/>
    <w:rsid w:val="005758C4"/>
    <w:rsid w:val="005E7215"/>
    <w:rsid w:val="00653CA7"/>
    <w:rsid w:val="006A3208"/>
    <w:rsid w:val="006B1AFF"/>
    <w:rsid w:val="00725A89"/>
    <w:rsid w:val="007568F6"/>
    <w:rsid w:val="00757A2F"/>
    <w:rsid w:val="007A34B8"/>
    <w:rsid w:val="007B0DA9"/>
    <w:rsid w:val="008F086C"/>
    <w:rsid w:val="00943C3F"/>
    <w:rsid w:val="00977A8D"/>
    <w:rsid w:val="009F4ADD"/>
    <w:rsid w:val="00AA19B5"/>
    <w:rsid w:val="00B136B6"/>
    <w:rsid w:val="00BD59A7"/>
    <w:rsid w:val="00C04294"/>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Heading4">
    <w:name w:val="heading 4"/>
    <w:basedOn w:val="Normal"/>
    <w:next w:val="Normal"/>
    <w:link w:val="Heading4Ch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77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7A8D"/>
  </w:style>
  <w:style w:type="paragraph" w:styleId="Footer">
    <w:name w:val="footer"/>
    <w:basedOn w:val="Normal"/>
    <w:link w:val="FooterChar"/>
    <w:uiPriority w:val="99"/>
    <w:unhideWhenUsed/>
    <w:rsid w:val="00977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7A8D"/>
  </w:style>
  <w:style w:type="paragraph" w:styleId="BalloonText">
    <w:name w:val="Balloon Text"/>
    <w:basedOn w:val="Normal"/>
    <w:link w:val="BalloonTextChar"/>
    <w:uiPriority w:val="99"/>
    <w:semiHidden/>
    <w:unhideWhenUsed/>
    <w:rsid w:val="00977A8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PlainText">
    <w:name w:val="Plain Text"/>
    <w:basedOn w:val="Normal"/>
    <w:link w:val="PlainTextChar"/>
    <w:rsid w:val="009F4ADD"/>
    <w:pPr>
      <w:spacing w:after="0" w:line="240" w:lineRule="auto"/>
    </w:pPr>
    <w:rPr>
      <w:rFonts w:ascii="Courier New" w:eastAsia="SimSun" w:hAnsi="Courier New" w:cs="Times New Roman"/>
      <w:sz w:val="20"/>
      <w:szCs w:val="20"/>
      <w:lang w:val="en-AU"/>
    </w:rPr>
  </w:style>
  <w:style w:type="character" w:customStyle="1" w:styleId="PlainTextChar">
    <w:name w:val="Plain Text Char"/>
    <w:basedOn w:val="DefaultParagraphFont"/>
    <w:link w:val="PlainText"/>
    <w:rsid w:val="009F4ADD"/>
    <w:rPr>
      <w:rFonts w:ascii="Courier New" w:eastAsia="SimSun" w:hAnsi="Courier New" w:cs="Times New Roman"/>
      <w:sz w:val="20"/>
      <w:szCs w:val="20"/>
      <w:lang w:val="en-AU"/>
    </w:rPr>
  </w:style>
  <w:style w:type="character" w:customStyle="1" w:styleId="Heading3Char">
    <w:name w:val="Heading 3 Char"/>
    <w:basedOn w:val="DefaultParagraphFont"/>
    <w:link w:val="Heading3"/>
    <w:rsid w:val="006B1AFF"/>
    <w:rPr>
      <w:rFonts w:ascii="Times New Roman" w:eastAsia="Times New Roman" w:hAnsi="Times New Roman" w:cs="Times New Roman"/>
      <w:sz w:val="20"/>
      <w:szCs w:val="20"/>
      <w:lang w:val="en-US"/>
    </w:rPr>
  </w:style>
  <w:style w:type="character" w:customStyle="1" w:styleId="Heading4Char">
    <w:name w:val="Heading 4 Char"/>
    <w:basedOn w:val="DefaultParagraphFont"/>
    <w:link w:val="Heading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DefaultParagraphFon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0">
    <w:name w:val="heading3"/>
    <w:basedOn w:val="DefaultParagraphFont"/>
    <w:rsid w:val="006B1AFF"/>
    <w:rPr>
      <w:b/>
    </w:rPr>
  </w:style>
  <w:style w:type="character" w:customStyle="1" w:styleId="heading40">
    <w:name w:val="heading4"/>
    <w:basedOn w:val="DefaultParagraphFont"/>
    <w:rsid w:val="006B1AFF"/>
    <w:rPr>
      <w:i/>
    </w:rPr>
  </w:style>
  <w:style w:type="numbering" w:customStyle="1" w:styleId="headings">
    <w:name w:val="headings"/>
    <w:basedOn w:val="NoList"/>
    <w:rsid w:val="006B1AFF"/>
    <w:pPr>
      <w:numPr>
        <w:numId w:val="1"/>
      </w:numPr>
    </w:pPr>
  </w:style>
  <w:style w:type="character" w:styleId="Hyperlink">
    <w:name w:val="Hyperlink"/>
    <w:basedOn w:val="DefaultParagraphFon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NoList"/>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DefaultParagraphFont"/>
    <w:rsid w:val="006B1AFF"/>
    <w:rPr>
      <w:position w:val="0"/>
      <w:vertAlign w:val="superscript"/>
    </w:rPr>
  </w:style>
  <w:style w:type="table" w:styleId="TableGrid">
    <w:name w:val="Table Grid"/>
    <w:basedOn w:val="Table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1">
    <w:name w:val="Grid Table 6 Colorful Accent 1"/>
    <w:basedOn w:val="Table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ListParagraph">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pringer.com/lncs" TargetMode="Externa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smooth val="0"/>
        <c:axId val="421776064"/>
        <c:axId val="424381088"/>
      </c:lineChart>
      <c:catAx>
        <c:axId val="421776064"/>
        <c:scaling>
          <c:orientation val="minMax"/>
        </c:scaling>
        <c:delete val="0"/>
        <c:axPos val="b"/>
        <c:numFmt formatCode="General" sourceLinked="1"/>
        <c:majorTickMark val="out"/>
        <c:minorTickMark val="none"/>
        <c:tickLblPos val="nextTo"/>
        <c:crossAx val="424381088"/>
        <c:crosses val="autoZero"/>
        <c:auto val="1"/>
        <c:lblAlgn val="ctr"/>
        <c:lblOffset val="100"/>
        <c:tickLblSkip val="5"/>
        <c:noMultiLvlLbl val="0"/>
      </c:catAx>
      <c:valAx>
        <c:axId val="424381088"/>
        <c:scaling>
          <c:orientation val="minMax"/>
        </c:scaling>
        <c:delete val="0"/>
        <c:axPos val="l"/>
        <c:majorGridlines>
          <c:spPr>
            <a:ln>
              <a:noFill/>
            </a:ln>
          </c:spPr>
        </c:majorGridlines>
        <c:numFmt formatCode="General" sourceLinked="1"/>
        <c:majorTickMark val="out"/>
        <c:minorTickMark val="none"/>
        <c:tickLblPos val="nextTo"/>
        <c:crossAx val="4217760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794</Words>
  <Characters>4531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Emmanuel Eilu</cp:lastModifiedBy>
  <cp:revision>3</cp:revision>
  <cp:lastPrinted>2019-10-23T10:33:00Z</cp:lastPrinted>
  <dcterms:created xsi:type="dcterms:W3CDTF">2026-02-06T10:35:00Z</dcterms:created>
  <dcterms:modified xsi:type="dcterms:W3CDTF">2026-02-17T08:50:00Z</dcterms:modified>
</cp:coreProperties>
</file>