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2C" w:rsidRP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sz w:val="24"/>
          <w:szCs w:val="24"/>
          <w:u w:val="single"/>
          <w:lang w:val="en-US"/>
        </w:rPr>
      </w:pPr>
      <w:r w:rsidRPr="00E56C2C">
        <w:rPr>
          <w:rFonts w:ascii="ArialMT" w:cs="ArialMT"/>
          <w:b/>
          <w:sz w:val="24"/>
          <w:szCs w:val="24"/>
          <w:u w:val="single"/>
          <w:lang w:val="en-US"/>
        </w:rPr>
        <w:t xml:space="preserve">Committee Description </w:t>
      </w:r>
    </w:p>
    <w:p w:rsid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val="en-US"/>
        </w:rPr>
      </w:pPr>
    </w:p>
    <w:p w:rsidR="00E56C2C" w:rsidRP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val="en-US"/>
        </w:rPr>
      </w:pPr>
      <w:r w:rsidRPr="00E56C2C">
        <w:rPr>
          <w:rFonts w:ascii="ArialMT" w:cs="ArialMT"/>
          <w:sz w:val="24"/>
          <w:szCs w:val="24"/>
          <w:lang w:val="en-US"/>
        </w:rPr>
        <w:t>Constantly asserting its leading role as the legitimate system for resolving disputes on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the international level, the International Court of Justice is the primary judiciary organ of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the United Nations. Established in June 1945 by the Charter of the United Nations, the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ICJ has for principal mandate to settle legal disputes submitted to it by States.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In the context of SSUNS 2017, the ICJ committee will be composed of four (4) judges,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 xml:space="preserve">whose positions will be filled by the Dias Members. The </w:t>
      </w:r>
      <w:proofErr w:type="gramStart"/>
      <w:r w:rsidRPr="00E56C2C">
        <w:rPr>
          <w:rFonts w:ascii="ArialMT" w:cs="ArialMT"/>
          <w:sz w:val="24"/>
          <w:szCs w:val="24"/>
          <w:lang w:val="en-US"/>
        </w:rPr>
        <w:t>delegates,</w:t>
      </w:r>
      <w:proofErr w:type="gramEnd"/>
      <w:r w:rsidRPr="00E56C2C">
        <w:rPr>
          <w:rFonts w:ascii="ArialMT" w:cs="ArialMT"/>
          <w:sz w:val="24"/>
          <w:szCs w:val="24"/>
          <w:lang w:val="en-US"/>
        </w:rPr>
        <w:t xml:space="preserve"> will be expected to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act as Lawyers, or in the terms of the ICJ: Advocates. Their role consists of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representing the State they were assigned by performing the duties of submitting written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pleadings and delivering oral argument in its defense. They will face the challenge of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resort</w:t>
      </w:r>
      <w:r>
        <w:rPr>
          <w:rFonts w:ascii="ArialMT" w:cs="ArialMT"/>
          <w:sz w:val="24"/>
          <w:szCs w:val="24"/>
          <w:lang w:val="en-US"/>
        </w:rPr>
        <w:t xml:space="preserve">ing to the different sources of </w:t>
      </w:r>
      <w:r w:rsidRPr="00E56C2C">
        <w:rPr>
          <w:rFonts w:ascii="ArialMT" w:cs="ArialMT"/>
          <w:sz w:val="24"/>
          <w:szCs w:val="24"/>
          <w:lang w:val="en-US"/>
        </w:rPr>
        <w:t>International Law to convince the judges of their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argumentation.</w:t>
      </w:r>
    </w:p>
    <w:p w:rsidR="00E56C2C" w:rsidRP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val="en-US"/>
        </w:rPr>
      </w:pPr>
      <w:r w:rsidRPr="00E56C2C">
        <w:rPr>
          <w:rFonts w:ascii="ArialMT" w:cs="ArialMT"/>
          <w:sz w:val="24"/>
          <w:szCs w:val="24"/>
          <w:lang w:val="en-US"/>
        </w:rPr>
        <w:t>In terms of the committee</w:t>
      </w:r>
      <w:r w:rsidRPr="00E56C2C">
        <w:rPr>
          <w:rFonts w:ascii="ArialMT" w:cs="ArialMT" w:hint="cs"/>
          <w:sz w:val="24"/>
          <w:szCs w:val="24"/>
          <w:lang w:val="en-US"/>
        </w:rPr>
        <w:t>’</w:t>
      </w:r>
      <w:r w:rsidRPr="00E56C2C">
        <w:rPr>
          <w:rFonts w:ascii="ArialMT" w:cs="ArialMT"/>
          <w:sz w:val="24"/>
          <w:szCs w:val="24"/>
          <w:lang w:val="en-US"/>
        </w:rPr>
        <w:t>s progression, the ICJ committee will be presented only one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case: Armed Activities on the Territory of the Congo (Democratic Republic of the Congo</w:t>
      </w:r>
    </w:p>
    <w:p w:rsidR="00E56C2C" w:rsidRP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val="en-US"/>
        </w:rPr>
      </w:pPr>
      <w:r w:rsidRPr="00E56C2C">
        <w:rPr>
          <w:rFonts w:ascii="ArialMT" w:cs="ArialMT"/>
          <w:sz w:val="24"/>
          <w:szCs w:val="24"/>
          <w:lang w:val="en-US"/>
        </w:rPr>
        <w:t>v. Rwanda). The committee will start off as a Crisis committee where delegates will be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put first hand into the conflict between the Democratic Republic of the Congo and</w:t>
      </w:r>
    </w:p>
    <w:p w:rsidR="00D85C8B" w:rsidRPr="00E56C2C" w:rsidRDefault="00E56C2C" w:rsidP="00E56C2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4"/>
          <w:szCs w:val="24"/>
          <w:lang w:val="en-US"/>
        </w:rPr>
      </w:pPr>
      <w:r w:rsidRPr="00E56C2C">
        <w:rPr>
          <w:rFonts w:ascii="ArialMT" w:cs="ArialMT"/>
          <w:sz w:val="24"/>
          <w:szCs w:val="24"/>
          <w:lang w:val="en-US"/>
        </w:rPr>
        <w:t>Rwanda. They will be expected to take part into a role-play of the problematic and to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simultaneously build their case. The Crisis part of the simulation will be followed by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formal sessions during which delegate will argue their case and defend their respective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State-party. The simulation will close with one session of mood-court-like debate where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the advocates of each party will have the opportunity to present one culminating and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final oral argument before the judges. The judges will then have the right to question</w:t>
      </w:r>
      <w:r>
        <w:rPr>
          <w:rFonts w:ascii="ArialMT" w:cs="ArialMT"/>
          <w:sz w:val="24"/>
          <w:szCs w:val="24"/>
          <w:lang w:val="en-US"/>
        </w:rPr>
        <w:t xml:space="preserve"> </w:t>
      </w:r>
      <w:r w:rsidRPr="00E56C2C">
        <w:rPr>
          <w:rFonts w:ascii="ArialMT" w:cs="ArialMT"/>
          <w:sz w:val="24"/>
          <w:szCs w:val="24"/>
          <w:lang w:val="en-US"/>
        </w:rPr>
        <w:t>and challenge each argument and will assess a final judgment.</w:t>
      </w:r>
    </w:p>
    <w:sectPr w:rsidR="00D85C8B" w:rsidRPr="00E56C2C" w:rsidSect="00D85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6C2C"/>
    <w:rsid w:val="00D85C8B"/>
    <w:rsid w:val="00E56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1549</Characters>
  <Application>Microsoft Office Word</Application>
  <DocSecurity>0</DocSecurity>
  <Lines>12</Lines>
  <Paragraphs>3</Paragraphs>
  <ScaleCrop>false</ScaleCrop>
  <Company>Toshiba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Gretel Kahn</dc:creator>
  <cp:lastModifiedBy>Gretel Kahn</cp:lastModifiedBy>
  <cp:revision>1</cp:revision>
  <dcterms:created xsi:type="dcterms:W3CDTF">2017-04-18T02:16:00Z</dcterms:created>
  <dcterms:modified xsi:type="dcterms:W3CDTF">2017-04-18T02:17:00Z</dcterms:modified>
</cp:coreProperties>
</file>