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FF23B">
      <w:pPr>
        <w:jc w:val="center"/>
        <w:rPr>
          <w:rFonts w:hint="default" w:eastAsiaTheme="minorEastAsia"/>
          <w:sz w:val="32"/>
          <w:szCs w:val="32"/>
          <w:lang w:val="en-US" w:eastAsia="zh-CN"/>
        </w:rPr>
      </w:pPr>
      <w:r>
        <w:rPr>
          <w:rFonts w:hint="eastAsia" w:ascii="宋体" w:hAnsi="宋体" w:eastAsia="宋体"/>
          <w:sz w:val="32"/>
          <w:szCs w:val="32"/>
          <w:lang w:val="en-US" w:eastAsia="zh-CN"/>
        </w:rPr>
        <w:t>专利申请技术交底书</w:t>
      </w:r>
    </w:p>
    <w:p w14:paraId="223C6B5D">
      <w:pPr>
        <w:rPr>
          <w:rFonts w:hint="default"/>
          <w:b/>
          <w:bCs/>
          <w:lang w:val="en-US" w:eastAsia="zh-CN"/>
        </w:rPr>
      </w:pPr>
      <w:r>
        <w:rPr>
          <w:rFonts w:hint="eastAsia" w:ascii="宋体" w:hAnsi="宋体" w:eastAsia="宋体"/>
          <w:b/>
          <w:bCs/>
          <w:lang w:val="en-US" w:eastAsia="zh-CN"/>
        </w:rPr>
        <w:t>申请信息</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0"/>
        <w:gridCol w:w="1688"/>
        <w:gridCol w:w="1787"/>
        <w:gridCol w:w="1625"/>
        <w:gridCol w:w="1713"/>
      </w:tblGrid>
      <w:tr w14:paraId="0BAC6803">
        <w:tc>
          <w:tcPr>
            <w:tcW w:w="8193" w:type="dxa"/>
            <w:gridSpan w:val="5"/>
          </w:tcPr>
          <w:p w14:paraId="166CB1B7">
            <w:pPr>
              <w:jc w:val="center"/>
              <w:rPr>
                <w:rFonts w:hint="default"/>
                <w:vertAlign w:val="baseline"/>
                <w:lang w:val="en-US" w:eastAsia="zh-CN"/>
              </w:rPr>
            </w:pPr>
            <w:r>
              <w:rPr>
                <w:rFonts w:hint="eastAsia"/>
                <w:vertAlign w:val="baseline"/>
                <w:lang w:val="en-US" w:eastAsia="zh-CN"/>
              </w:rPr>
              <w:t>申请信息表</w:t>
            </w:r>
          </w:p>
        </w:tc>
      </w:tr>
      <w:tr w14:paraId="63AE627B">
        <w:tc>
          <w:tcPr>
            <w:tcW w:w="1380" w:type="dxa"/>
            <w:vAlign w:val="center"/>
          </w:tcPr>
          <w:p w14:paraId="5DC09905">
            <w:pPr>
              <w:keepNext w:val="0"/>
              <w:keepLines w:val="0"/>
              <w:pageBreakBefore w:val="0"/>
              <w:widowControl w:val="0"/>
              <w:kinsoku/>
              <w:wordWrap/>
              <w:overflowPunct/>
              <w:topLinePunct w:val="0"/>
              <w:autoSpaceDE/>
              <w:autoSpaceDN/>
              <w:bidi w:val="0"/>
              <w:adjustRightInd/>
              <w:snapToGrid/>
              <w:jc w:val="distribute"/>
              <w:textAlignment w:val="center"/>
              <w:rPr>
                <w:rFonts w:hint="default"/>
                <w:vertAlign w:val="baseline"/>
                <w:lang w:val="en-US" w:eastAsia="zh-CN"/>
              </w:rPr>
            </w:pPr>
            <w:r>
              <w:rPr>
                <w:rFonts w:hint="eastAsia"/>
                <w:vertAlign w:val="baseline"/>
                <w:lang w:val="en-US" w:eastAsia="zh-CN"/>
              </w:rPr>
              <w:t>方案名称</w:t>
            </w:r>
          </w:p>
        </w:tc>
        <w:tc>
          <w:tcPr>
            <w:tcW w:w="6813" w:type="dxa"/>
            <w:gridSpan w:val="4"/>
          </w:tcPr>
          <w:p w14:paraId="7F0FB601">
            <w:pPr>
              <w:spacing w:after="60" w:line="259" w:lineRule="auto"/>
            </w:pPr>
            <w:r>
              <w:rPr>
                <w:rFonts w:ascii="宋体" w:hAnsi="宋体" w:eastAsia="宋体"/>
                <w:b w:val="0"/>
                <w:sz w:val="21"/>
              </w:rPr>
              <w:t>一种面向多厂商录音硬件的标准BLE指令SDK封装、适配及生态接入方法、系统与存储介质</w:t>
            </w:r>
          </w:p>
        </w:tc>
      </w:tr>
      <w:tr w14:paraId="456C7869">
        <w:tc>
          <w:tcPr>
            <w:tcW w:w="1380" w:type="dxa"/>
            <w:vAlign w:val="center"/>
          </w:tcPr>
          <w:p w14:paraId="0731D683">
            <w:pPr>
              <w:keepNext w:val="0"/>
              <w:keepLines w:val="0"/>
              <w:pageBreakBefore w:val="0"/>
              <w:widowControl w:val="0"/>
              <w:kinsoku/>
              <w:wordWrap/>
              <w:overflowPunct/>
              <w:topLinePunct w:val="0"/>
              <w:autoSpaceDE/>
              <w:autoSpaceDN/>
              <w:bidi w:val="0"/>
              <w:adjustRightInd/>
              <w:snapToGrid/>
              <w:jc w:val="distribute"/>
              <w:textAlignment w:val="center"/>
              <w:rPr>
                <w:rFonts w:hint="eastAsia"/>
                <w:vertAlign w:val="baseline"/>
                <w:lang w:val="en-US" w:eastAsia="zh-CN"/>
              </w:rPr>
            </w:pPr>
            <w:r>
              <w:rPr>
                <w:rFonts w:hint="eastAsia"/>
                <w:vertAlign w:val="baseline"/>
                <w:lang w:val="en-US" w:eastAsia="zh-CN"/>
              </w:rPr>
              <w:t>申请单位</w:t>
            </w:r>
          </w:p>
        </w:tc>
        <w:tc>
          <w:tcPr>
            <w:tcW w:w="6813" w:type="dxa"/>
            <w:gridSpan w:val="4"/>
            <w:vAlign w:val="top"/>
          </w:tcPr>
          <w:p w14:paraId="4E591CE5">
            <w:pPr>
              <w:rPr>
                <w:rFonts w:hint="eastAsia"/>
                <w:lang w:val="en-US" w:eastAsia="zh-CN"/>
              </w:rPr>
            </w:pPr>
            <w:r>
              <w:rPr>
                <w:rFonts w:hint="eastAsia"/>
                <w:lang w:val="en-US" w:eastAsia="zh-CN"/>
              </w:rPr>
              <w:t>安徽声云智能科技有限公司</w:t>
            </w:r>
          </w:p>
        </w:tc>
      </w:tr>
      <w:tr w14:paraId="6CAFB146">
        <w:tc>
          <w:tcPr>
            <w:tcW w:w="1380" w:type="dxa"/>
            <w:vMerge w:val="restart"/>
            <w:vAlign w:val="center"/>
          </w:tcPr>
          <w:p w14:paraId="2692D5FF">
            <w:pPr>
              <w:jc w:val="both"/>
              <w:rPr>
                <w:rFonts w:hint="default"/>
                <w:vertAlign w:val="baseline"/>
                <w:lang w:val="en-US" w:eastAsia="zh-CN"/>
              </w:rPr>
            </w:pPr>
            <w:r>
              <w:rPr>
                <w:rFonts w:hint="eastAsia"/>
                <w:vertAlign w:val="baseline"/>
                <w:lang w:val="en-US" w:eastAsia="zh-CN"/>
              </w:rPr>
              <w:t>发明人信息</w:t>
            </w:r>
          </w:p>
        </w:tc>
        <w:tc>
          <w:tcPr>
            <w:tcW w:w="1688" w:type="dxa"/>
          </w:tcPr>
          <w:p w14:paraId="1EF6CFC1">
            <w:pPr>
              <w:jc w:val="left"/>
              <w:rPr>
                <w:rFonts w:hint="default"/>
                <w:vertAlign w:val="baseline"/>
                <w:lang w:val="en-US" w:eastAsia="zh-CN"/>
              </w:rPr>
            </w:pPr>
            <w:r>
              <w:rPr>
                <w:rFonts w:hint="eastAsia"/>
                <w:vertAlign w:val="baseline"/>
                <w:lang w:val="en-US" w:eastAsia="zh-CN"/>
              </w:rPr>
              <w:t>发明人姓名及国籍</w:t>
            </w:r>
          </w:p>
        </w:tc>
        <w:tc>
          <w:tcPr>
            <w:tcW w:w="1787" w:type="dxa"/>
            <w:vAlign w:val="top"/>
          </w:tcPr>
          <w:p w14:paraId="1F69AF27">
            <w:pPr>
              <w:jc w:val="left"/>
              <w:rPr>
                <w:rFonts w:hint="default"/>
                <w:vertAlign w:val="baseline"/>
                <w:lang w:val="en-US" w:eastAsia="zh-CN"/>
              </w:rPr>
            </w:pPr>
            <w:r>
              <w:rPr>
                <w:rFonts w:hint="eastAsia"/>
                <w:vertAlign w:val="baseline"/>
                <w:lang w:val="en-US" w:eastAsia="zh-CN"/>
              </w:rPr>
              <w:t>发明人是否以应届生身份入职</w:t>
            </w:r>
          </w:p>
        </w:tc>
        <w:tc>
          <w:tcPr>
            <w:tcW w:w="1625" w:type="dxa"/>
            <w:vAlign w:val="top"/>
          </w:tcPr>
          <w:p w14:paraId="0190B141">
            <w:pPr>
              <w:jc w:val="left"/>
              <w:rPr>
                <w:rFonts w:hint="default"/>
                <w:vertAlign w:val="baseline"/>
                <w:lang w:val="en-US" w:eastAsia="zh-CN"/>
              </w:rPr>
            </w:pPr>
            <w:r>
              <w:rPr>
                <w:rFonts w:hint="eastAsia"/>
                <w:vertAlign w:val="baseline"/>
                <w:lang w:val="en-US" w:eastAsia="zh-CN"/>
              </w:rPr>
              <w:t>发明人入职是否已满一年</w:t>
            </w:r>
          </w:p>
        </w:tc>
        <w:tc>
          <w:tcPr>
            <w:tcW w:w="1713" w:type="dxa"/>
            <w:vAlign w:val="top"/>
          </w:tcPr>
          <w:p w14:paraId="4F5919DC">
            <w:pPr>
              <w:jc w:val="left"/>
              <w:rPr>
                <w:rFonts w:hint="default"/>
                <w:vertAlign w:val="baseline"/>
                <w:lang w:val="en-US" w:eastAsia="zh-CN"/>
              </w:rPr>
            </w:pPr>
            <w:r>
              <w:rPr>
                <w:rFonts w:hint="eastAsia"/>
                <w:vertAlign w:val="baseline"/>
                <w:lang w:val="en-US" w:eastAsia="zh-CN"/>
              </w:rPr>
              <w:t>奖金分配比例（%）</w:t>
            </w:r>
          </w:p>
        </w:tc>
      </w:tr>
      <w:tr w14:paraId="5007148F">
        <w:tc>
          <w:tcPr>
            <w:tcW w:w="1380" w:type="dxa"/>
            <w:vMerge w:val="continue"/>
          </w:tcPr>
          <w:p w14:paraId="2D0368F0">
            <w:pPr>
              <w:rPr>
                <w:rFonts w:hint="default"/>
                <w:vertAlign w:val="baseline"/>
                <w:lang w:val="en-US" w:eastAsia="zh-CN"/>
              </w:rPr>
            </w:pPr>
          </w:p>
        </w:tc>
        <w:tc>
          <w:tcPr>
            <w:tcW w:w="1688" w:type="dxa"/>
          </w:tcPr>
          <w:p w14:paraId="0DE0299C">
            <w:pPr>
              <w:spacing w:after="60" w:line="259" w:lineRule="auto"/>
            </w:pPr>
            <w:r>
              <w:rPr>
                <w:rFonts w:ascii="宋体" w:hAnsi="宋体" w:eastAsia="宋体"/>
                <w:b w:val="0"/>
                <w:sz w:val="21"/>
              </w:rPr>
              <w:t>待确认（中国）</w:t>
            </w:r>
          </w:p>
        </w:tc>
        <w:tc>
          <w:tcPr>
            <w:tcW w:w="1787" w:type="dxa"/>
          </w:tcPr>
          <w:p w14:paraId="2D945DCD">
            <w:pPr>
              <w:rPr>
                <w:rFonts w:hint="default"/>
                <w:vertAlign w:val="baseline"/>
                <w:lang w:val="en-US" w:eastAsia="zh-CN"/>
              </w:rPr>
            </w:pPr>
          </w:p>
        </w:tc>
        <w:tc>
          <w:tcPr>
            <w:tcW w:w="1625" w:type="dxa"/>
          </w:tcPr>
          <w:p w14:paraId="03550537">
            <w:pPr>
              <w:rPr>
                <w:rFonts w:hint="default"/>
                <w:vertAlign w:val="baseline"/>
                <w:lang w:val="en-US" w:eastAsia="zh-CN"/>
              </w:rPr>
            </w:pPr>
          </w:p>
        </w:tc>
        <w:tc>
          <w:tcPr>
            <w:tcW w:w="1713" w:type="dxa"/>
          </w:tcPr>
          <w:p w14:paraId="5A83E061">
            <w:pPr>
              <w:rPr>
                <w:rFonts w:hint="default"/>
                <w:vertAlign w:val="baseline"/>
                <w:lang w:val="en-US" w:eastAsia="zh-CN"/>
              </w:rPr>
            </w:pPr>
          </w:p>
        </w:tc>
      </w:tr>
      <w:tr w14:paraId="345C1DF2">
        <w:tc>
          <w:tcPr>
            <w:tcW w:w="1380" w:type="dxa"/>
            <w:vMerge w:val="continue"/>
          </w:tcPr>
          <w:p w14:paraId="4EA80872">
            <w:pPr>
              <w:rPr>
                <w:rFonts w:hint="default"/>
                <w:vertAlign w:val="baseline"/>
                <w:lang w:val="en-US" w:eastAsia="zh-CN"/>
              </w:rPr>
            </w:pPr>
          </w:p>
        </w:tc>
        <w:tc>
          <w:tcPr>
            <w:tcW w:w="1688" w:type="dxa"/>
          </w:tcPr>
          <w:p w14:paraId="2A21FBE2">
            <w:pPr>
              <w:spacing w:after="60" w:line="259" w:lineRule="auto"/>
            </w:pPr>
            <w:r>
              <w:rPr>
                <w:rFonts w:ascii="宋体" w:hAnsi="宋体" w:eastAsia="宋体"/>
                <w:b w:val="0"/>
                <w:sz w:val="21"/>
              </w:rPr>
              <w:t>待确认（中国）</w:t>
            </w:r>
          </w:p>
        </w:tc>
        <w:tc>
          <w:tcPr>
            <w:tcW w:w="1787" w:type="dxa"/>
          </w:tcPr>
          <w:p w14:paraId="59E9F70C">
            <w:pPr>
              <w:rPr>
                <w:rFonts w:hint="default"/>
                <w:vertAlign w:val="baseline"/>
                <w:lang w:val="en-US" w:eastAsia="zh-CN"/>
              </w:rPr>
            </w:pPr>
          </w:p>
        </w:tc>
        <w:tc>
          <w:tcPr>
            <w:tcW w:w="1625" w:type="dxa"/>
          </w:tcPr>
          <w:p w14:paraId="3448C501">
            <w:pPr>
              <w:rPr>
                <w:rFonts w:hint="default"/>
                <w:vertAlign w:val="baseline"/>
                <w:lang w:val="en-US" w:eastAsia="zh-CN"/>
              </w:rPr>
            </w:pPr>
          </w:p>
        </w:tc>
        <w:tc>
          <w:tcPr>
            <w:tcW w:w="1713" w:type="dxa"/>
          </w:tcPr>
          <w:p w14:paraId="17152A2D">
            <w:pPr>
              <w:rPr>
                <w:rFonts w:hint="default"/>
                <w:vertAlign w:val="baseline"/>
                <w:lang w:val="en-US" w:eastAsia="zh-CN"/>
              </w:rPr>
            </w:pPr>
          </w:p>
        </w:tc>
      </w:tr>
      <w:tr w14:paraId="1747CF3A">
        <w:tc>
          <w:tcPr>
            <w:tcW w:w="1380" w:type="dxa"/>
            <w:vMerge w:val="continue"/>
          </w:tcPr>
          <w:p w14:paraId="2B611BA6">
            <w:pPr>
              <w:rPr>
                <w:rFonts w:hint="default"/>
                <w:vertAlign w:val="baseline"/>
                <w:lang w:val="en-US" w:eastAsia="zh-CN"/>
              </w:rPr>
            </w:pPr>
          </w:p>
        </w:tc>
        <w:tc>
          <w:tcPr>
            <w:tcW w:w="1688" w:type="dxa"/>
          </w:tcPr>
          <w:p w14:paraId="4B53A9E3">
            <w:pPr>
              <w:spacing w:after="60" w:line="259" w:lineRule="auto"/>
            </w:pPr>
            <w:r>
              <w:rPr>
                <w:rFonts w:ascii="宋体" w:hAnsi="宋体" w:eastAsia="宋体"/>
                <w:b w:val="0"/>
                <w:sz w:val="21"/>
              </w:rPr>
              <w:t>待确认（中国）</w:t>
            </w:r>
          </w:p>
        </w:tc>
        <w:tc>
          <w:tcPr>
            <w:tcW w:w="1787" w:type="dxa"/>
          </w:tcPr>
          <w:p w14:paraId="043CE2D1">
            <w:pPr>
              <w:rPr>
                <w:rFonts w:hint="default"/>
                <w:vertAlign w:val="baseline"/>
                <w:lang w:val="en-US" w:eastAsia="zh-CN"/>
              </w:rPr>
            </w:pPr>
          </w:p>
        </w:tc>
        <w:tc>
          <w:tcPr>
            <w:tcW w:w="1625" w:type="dxa"/>
          </w:tcPr>
          <w:p w14:paraId="77F24410">
            <w:pPr>
              <w:rPr>
                <w:rFonts w:hint="default"/>
                <w:vertAlign w:val="baseline"/>
                <w:lang w:val="en-US" w:eastAsia="zh-CN"/>
              </w:rPr>
            </w:pPr>
          </w:p>
        </w:tc>
        <w:tc>
          <w:tcPr>
            <w:tcW w:w="1713" w:type="dxa"/>
          </w:tcPr>
          <w:p w14:paraId="696B1AFF">
            <w:pPr>
              <w:rPr>
                <w:rFonts w:hint="default"/>
                <w:vertAlign w:val="baseline"/>
                <w:lang w:val="en-US" w:eastAsia="zh-CN"/>
              </w:rPr>
            </w:pPr>
          </w:p>
        </w:tc>
      </w:tr>
      <w:tr w14:paraId="76E55255">
        <w:tc>
          <w:tcPr>
            <w:tcW w:w="1380" w:type="dxa"/>
            <w:vMerge w:val="continue"/>
          </w:tcPr>
          <w:p w14:paraId="6DD576B3">
            <w:pPr>
              <w:rPr>
                <w:rFonts w:hint="default"/>
                <w:vertAlign w:val="baseline"/>
                <w:lang w:val="en-US" w:eastAsia="zh-CN"/>
              </w:rPr>
            </w:pPr>
          </w:p>
        </w:tc>
        <w:tc>
          <w:tcPr>
            <w:tcW w:w="1688" w:type="dxa"/>
          </w:tcPr>
          <w:p w14:paraId="5705404D">
            <w:pPr>
              <w:spacing w:after="60" w:line="259" w:lineRule="auto"/>
            </w:pPr>
            <w:r>
              <w:rPr>
                <w:rFonts w:ascii="宋体" w:hAnsi="宋体" w:eastAsia="宋体"/>
                <w:b w:val="0"/>
                <w:sz w:val="21"/>
              </w:rPr>
              <w:t>待确认（中国）</w:t>
            </w:r>
          </w:p>
        </w:tc>
        <w:tc>
          <w:tcPr>
            <w:tcW w:w="1787" w:type="dxa"/>
          </w:tcPr>
          <w:p w14:paraId="10B39481">
            <w:pPr>
              <w:rPr>
                <w:rFonts w:hint="default"/>
                <w:vertAlign w:val="baseline"/>
                <w:lang w:val="en-US" w:eastAsia="zh-CN"/>
              </w:rPr>
            </w:pPr>
          </w:p>
        </w:tc>
        <w:tc>
          <w:tcPr>
            <w:tcW w:w="1625" w:type="dxa"/>
          </w:tcPr>
          <w:p w14:paraId="137B57E9">
            <w:pPr>
              <w:rPr>
                <w:rFonts w:hint="default"/>
                <w:vertAlign w:val="baseline"/>
                <w:lang w:val="en-US" w:eastAsia="zh-CN"/>
              </w:rPr>
            </w:pPr>
          </w:p>
        </w:tc>
        <w:tc>
          <w:tcPr>
            <w:tcW w:w="1713" w:type="dxa"/>
          </w:tcPr>
          <w:p w14:paraId="417410D0">
            <w:pPr>
              <w:rPr>
                <w:rFonts w:hint="default"/>
                <w:vertAlign w:val="baseline"/>
                <w:lang w:val="en-US" w:eastAsia="zh-CN"/>
              </w:rPr>
            </w:pPr>
          </w:p>
        </w:tc>
      </w:tr>
      <w:tr w14:paraId="272D0B85">
        <w:tc>
          <w:tcPr>
            <w:tcW w:w="1380" w:type="dxa"/>
            <w:vMerge w:val="continue"/>
          </w:tcPr>
          <w:p w14:paraId="270AD2FB">
            <w:pPr>
              <w:rPr>
                <w:rFonts w:hint="default"/>
                <w:vertAlign w:val="baseline"/>
                <w:lang w:val="en-US" w:eastAsia="zh-CN"/>
              </w:rPr>
            </w:pPr>
          </w:p>
        </w:tc>
        <w:tc>
          <w:tcPr>
            <w:tcW w:w="5100" w:type="dxa"/>
            <w:gridSpan w:val="3"/>
          </w:tcPr>
          <w:p w14:paraId="001A74E4">
            <w:pPr>
              <w:jc w:val="center"/>
              <w:rPr>
                <w:rFonts w:hint="default"/>
                <w:vertAlign w:val="baseline"/>
                <w:lang w:val="en-US" w:eastAsia="zh-CN"/>
              </w:rPr>
            </w:pPr>
            <w:r>
              <w:rPr>
                <w:rFonts w:hint="eastAsia"/>
                <w:vertAlign w:val="baseline"/>
                <w:lang w:val="en-US" w:eastAsia="zh-CN"/>
              </w:rPr>
              <w:t>各发明人身份证号/护照编号</w:t>
            </w:r>
          </w:p>
        </w:tc>
        <w:tc>
          <w:tcPr>
            <w:tcW w:w="1713" w:type="dxa"/>
          </w:tcPr>
          <w:p w14:paraId="3DF49E4E">
            <w:pPr>
              <w:rPr>
                <w:rFonts w:hint="default"/>
                <w:vertAlign w:val="baseline"/>
                <w:lang w:val="en-US" w:eastAsia="zh-CN"/>
              </w:rPr>
            </w:pPr>
            <w:r>
              <w:rPr>
                <w:rFonts w:hint="eastAsia"/>
                <w:vertAlign w:val="baseline"/>
                <w:lang w:val="en-US" w:eastAsia="zh-CN"/>
              </w:rPr>
              <w:t>第一发明人电话</w:t>
            </w:r>
          </w:p>
        </w:tc>
      </w:tr>
      <w:tr w14:paraId="3C2C2BFE">
        <w:trPr>
          <w:trHeight w:val="1043" w:hRule="atLeast"/>
        </w:trPr>
        <w:tc>
          <w:tcPr>
            <w:tcW w:w="1380" w:type="dxa"/>
            <w:vMerge w:val="continue"/>
          </w:tcPr>
          <w:p w14:paraId="3E7343FC">
            <w:pPr>
              <w:rPr>
                <w:rFonts w:hint="default"/>
                <w:vertAlign w:val="baseline"/>
                <w:lang w:val="en-US" w:eastAsia="zh-CN"/>
              </w:rPr>
            </w:pPr>
          </w:p>
        </w:tc>
        <w:tc>
          <w:tcPr>
            <w:tcW w:w="5100" w:type="dxa"/>
            <w:gridSpan w:val="3"/>
            <w:vAlign w:val="top"/>
          </w:tcPr>
          <w:p w14:paraId="354F92E8">
            <w:pPr>
              <w:spacing w:after="60" w:line="259" w:lineRule="auto"/>
            </w:pPr>
            <w:r>
              <w:rPr>
                <w:rFonts w:ascii="宋体" w:hAnsi="宋体" w:eastAsia="宋体"/>
                <w:b w:val="0"/>
                <w:sz w:val="21"/>
              </w:rPr>
              <w:t>待补充：各发明人身份证号/护照编号</w:t>
            </w:r>
          </w:p>
        </w:tc>
        <w:tc>
          <w:tcPr>
            <w:tcW w:w="1713" w:type="dxa"/>
            <w:vAlign w:val="top"/>
          </w:tcPr>
          <w:p w14:paraId="3A22A067">
            <w:pPr>
              <w:spacing w:after="60" w:line="259" w:lineRule="auto"/>
            </w:pPr>
            <w:r>
              <w:rPr>
                <w:rFonts w:ascii="宋体" w:hAnsi="宋体" w:eastAsia="宋体"/>
                <w:b w:val="0"/>
                <w:sz w:val="21"/>
              </w:rPr>
              <w:t>待补充：第一发明人电话</w:t>
            </w:r>
          </w:p>
        </w:tc>
      </w:tr>
      <w:tr w14:paraId="120D9BBE">
        <w:tc>
          <w:tcPr>
            <w:tcW w:w="1380" w:type="dxa"/>
            <w:vMerge w:val="restart"/>
            <w:vAlign w:val="center"/>
          </w:tcPr>
          <w:p w14:paraId="416178F1">
            <w:pPr>
              <w:jc w:val="distribute"/>
              <w:rPr>
                <w:rFonts w:hint="default"/>
                <w:vertAlign w:val="baseline"/>
                <w:lang w:val="en-US" w:eastAsia="zh-CN"/>
              </w:rPr>
            </w:pPr>
            <w:r>
              <w:rPr>
                <w:rFonts w:hint="eastAsia"/>
                <w:vertAlign w:val="baseline"/>
                <w:lang w:val="en-US" w:eastAsia="zh-CN"/>
              </w:rPr>
              <w:t>其他信息</w:t>
            </w:r>
          </w:p>
        </w:tc>
        <w:tc>
          <w:tcPr>
            <w:tcW w:w="1688" w:type="dxa"/>
          </w:tcPr>
          <w:p w14:paraId="7299B097">
            <w:pPr>
              <w:rPr>
                <w:rFonts w:hint="default"/>
                <w:vertAlign w:val="baseline"/>
                <w:lang w:val="en-US" w:eastAsia="zh-CN"/>
              </w:rPr>
            </w:pPr>
            <w:r>
              <w:rPr>
                <w:rFonts w:hint="eastAsia"/>
                <w:vertAlign w:val="baseline"/>
                <w:lang w:val="en-US" w:eastAsia="zh-CN"/>
              </w:rPr>
              <w:t>是否提保密审查</w:t>
            </w:r>
          </w:p>
        </w:tc>
        <w:tc>
          <w:tcPr>
            <w:tcW w:w="1787" w:type="dxa"/>
          </w:tcPr>
          <w:p w14:paraId="37AB0D1D">
            <w:pPr>
              <w:jc w:val="center"/>
              <w:rPr>
                <w:rFonts w:hint="default"/>
                <w:vertAlign w:val="baseline"/>
                <w:lang w:val="en-US" w:eastAsia="zh-CN"/>
              </w:rPr>
            </w:pPr>
            <w:r>
              <w:rPr>
                <w:rFonts w:hint="eastAsia"/>
                <w:vertAlign w:val="baseline"/>
                <w:lang w:val="en-US" w:eastAsia="zh-CN"/>
              </w:rPr>
              <w:t>是否一案双申</w:t>
            </w:r>
          </w:p>
        </w:tc>
        <w:tc>
          <w:tcPr>
            <w:tcW w:w="1625" w:type="dxa"/>
          </w:tcPr>
          <w:p w14:paraId="56D8C511">
            <w:pPr>
              <w:jc w:val="center"/>
              <w:rPr>
                <w:rFonts w:hint="default"/>
                <w:vertAlign w:val="baseline"/>
                <w:lang w:val="en-US" w:eastAsia="zh-CN"/>
              </w:rPr>
            </w:pPr>
            <w:r>
              <w:rPr>
                <w:rFonts w:hint="eastAsia"/>
                <w:vertAlign w:val="baseline"/>
                <w:lang w:val="en-US" w:eastAsia="zh-CN"/>
              </w:rPr>
              <w:t>是否提前公开</w:t>
            </w:r>
          </w:p>
        </w:tc>
        <w:tc>
          <w:tcPr>
            <w:tcW w:w="1713" w:type="dxa"/>
          </w:tcPr>
          <w:p w14:paraId="3744B009">
            <w:pPr>
              <w:rPr>
                <w:rFonts w:hint="default"/>
                <w:vertAlign w:val="baseline"/>
                <w:lang w:val="en-US" w:eastAsia="zh-CN"/>
              </w:rPr>
            </w:pPr>
            <w:r>
              <w:rPr>
                <w:rFonts w:hint="eastAsia"/>
                <w:vertAlign w:val="baseline"/>
                <w:lang w:val="en-US" w:eastAsia="zh-CN"/>
              </w:rPr>
              <w:t>是否同时提实审</w:t>
            </w:r>
          </w:p>
        </w:tc>
      </w:tr>
      <w:tr w14:paraId="2C2439EC">
        <w:tc>
          <w:tcPr>
            <w:tcW w:w="1380" w:type="dxa"/>
            <w:vMerge w:val="continue"/>
          </w:tcPr>
          <w:p w14:paraId="381648A9">
            <w:pPr>
              <w:rPr>
                <w:rFonts w:hint="default"/>
                <w:vertAlign w:val="baseline"/>
                <w:lang w:val="en-US" w:eastAsia="zh-CN"/>
              </w:rPr>
            </w:pPr>
          </w:p>
        </w:tc>
        <w:tc>
          <w:tcPr>
            <w:tcW w:w="1688" w:type="dxa"/>
          </w:tcPr>
          <w:p w14:paraId="741E4BEE">
            <w:pPr>
              <w:spacing w:after="60" w:line="259" w:lineRule="auto"/>
            </w:pPr>
            <w:r>
              <w:rPr>
                <w:rFonts w:ascii="宋体" w:hAnsi="宋体" w:eastAsia="宋体"/>
                <w:b w:val="0"/>
                <w:sz w:val="21"/>
              </w:rPr>
              <w:t>待确认</w:t>
            </w:r>
          </w:p>
        </w:tc>
        <w:tc>
          <w:tcPr>
            <w:tcW w:w="1787" w:type="dxa"/>
          </w:tcPr>
          <w:p w14:paraId="3D757BBF">
            <w:pPr>
              <w:spacing w:after="60" w:line="259" w:lineRule="auto"/>
            </w:pPr>
            <w:r>
              <w:rPr>
                <w:rFonts w:ascii="宋体" w:hAnsi="宋体" w:eastAsia="宋体"/>
                <w:b w:val="0"/>
                <w:sz w:val="21"/>
              </w:rPr>
              <w:t>待确认</w:t>
            </w:r>
          </w:p>
        </w:tc>
        <w:tc>
          <w:tcPr>
            <w:tcW w:w="1625" w:type="dxa"/>
          </w:tcPr>
          <w:p w14:paraId="107A1DC1">
            <w:pPr>
              <w:spacing w:after="60" w:line="259" w:lineRule="auto"/>
            </w:pPr>
            <w:r>
              <w:rPr>
                <w:rFonts w:ascii="宋体" w:hAnsi="宋体" w:eastAsia="宋体"/>
                <w:b w:val="0"/>
                <w:sz w:val="21"/>
              </w:rPr>
              <w:t>待确认</w:t>
            </w:r>
          </w:p>
        </w:tc>
        <w:tc>
          <w:tcPr>
            <w:tcW w:w="1713" w:type="dxa"/>
          </w:tcPr>
          <w:p w14:paraId="17388807">
            <w:pPr>
              <w:spacing w:after="60" w:line="259" w:lineRule="auto"/>
            </w:pPr>
            <w:r>
              <w:rPr>
                <w:rFonts w:ascii="宋体" w:hAnsi="宋体" w:eastAsia="宋体"/>
                <w:b w:val="0"/>
                <w:sz w:val="21"/>
              </w:rPr>
              <w:t>待确认</w:t>
            </w:r>
          </w:p>
        </w:tc>
      </w:tr>
    </w:tbl>
    <w:p w14:paraId="151CA759">
      <w:pPr>
        <w:rPr>
          <w:rFonts w:hint="default"/>
          <w:lang w:val="en-US" w:eastAsia="zh-CN"/>
        </w:rPr>
      </w:pPr>
      <w:r>
        <w:rPr>
          <w:rFonts w:hint="eastAsia" w:ascii="宋体" w:hAnsi="宋体" w:eastAsia="宋体"/>
          <w:sz w:val="18"/>
          <w:szCs w:val="18"/>
          <w:lang w:val="en-US" w:eastAsia="zh-CN"/>
        </w:rPr>
        <w:t>注：表格中已填写部分默认数据，均可根据实际情况进行修改，默认放在首位的为第一发明人。“奖金分配比例”用于公司进行专利奖金分配。方案如果涉及国家安全和重大公共利益，需进行保密审查。“一案双申”指同时申请发明专利和实用新型专利。“提前公开”可加快专利审查速度，但也会让竞争对手等公众更早了解申请方案。“同时提实审”有助于加快发明专利的审查速度。</w:t>
      </w:r>
    </w:p>
    <w:p w14:paraId="0F3E1247">
      <w:pPr>
        <w:rPr>
          <w:rFonts w:hint="default"/>
          <w:lang w:val="en-US" w:eastAsia="zh-CN"/>
        </w:rPr>
      </w:pPr>
    </w:p>
    <w:p w14:paraId="3897BA20">
      <w:pPr>
        <w:rPr>
          <w:rFonts w:hint="eastAsia"/>
          <w:b/>
          <w:bCs/>
          <w:lang w:val="en-US" w:eastAsia="zh-CN"/>
        </w:rPr>
      </w:pPr>
      <w:r>
        <w:rPr>
          <w:rFonts w:hint="eastAsia" w:ascii="宋体" w:hAnsi="宋体" w:eastAsia="宋体"/>
          <w:b/>
          <w:bCs/>
          <w:lang w:val="en-US" w:eastAsia="zh-CN"/>
        </w:rPr>
        <w:t>方案内容</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3CEDE0">
        <w:tc>
          <w:tcPr>
            <w:tcW w:w="8522" w:type="dxa"/>
          </w:tcPr>
          <w:p w14:paraId="286F38D0">
            <w:pPr>
              <w:rPr>
                <w:rFonts w:hint="eastAsia"/>
                <w:b/>
                <w:bCs/>
                <w:vertAlign w:val="baseline"/>
                <w:lang w:val="en-US" w:eastAsia="zh-CN"/>
              </w:rPr>
            </w:pPr>
            <w:r>
              <w:rPr>
                <w:rFonts w:hint="eastAsia"/>
                <w:b/>
                <w:bCs/>
              </w:rPr>
              <w:t>一、背景技术</w:t>
            </w:r>
            <w:r>
              <w:rPr>
                <w:rFonts w:hint="eastAsia"/>
                <w:sz w:val="18"/>
                <w:szCs w:val="18"/>
              </w:rPr>
              <w:t>（</w:t>
            </w:r>
            <w:r>
              <w:rPr>
                <w:rFonts w:hint="eastAsia"/>
                <w:sz w:val="18"/>
                <w:szCs w:val="18"/>
                <w:lang w:val="en-US" w:eastAsia="zh-CN"/>
              </w:rPr>
              <w:t>简单介绍技术方案</w:t>
            </w:r>
            <w:r>
              <w:rPr>
                <w:rFonts w:hint="eastAsia"/>
                <w:sz w:val="18"/>
                <w:szCs w:val="18"/>
              </w:rPr>
              <w:t>所属</w:t>
            </w:r>
            <w:r>
              <w:rPr>
                <w:rFonts w:hint="eastAsia"/>
                <w:sz w:val="18"/>
                <w:szCs w:val="18"/>
                <w:lang w:val="en-US" w:eastAsia="zh-CN"/>
              </w:rPr>
              <w:t>领域的现状，说明</w:t>
            </w:r>
            <w:r>
              <w:rPr>
                <w:rFonts w:hint="eastAsia"/>
                <w:sz w:val="18"/>
                <w:szCs w:val="18"/>
              </w:rPr>
              <w:t>现有技术</w:t>
            </w:r>
            <w:r>
              <w:rPr>
                <w:rFonts w:hint="eastAsia"/>
                <w:sz w:val="18"/>
                <w:szCs w:val="18"/>
                <w:lang w:eastAsia="zh-CN"/>
              </w:rPr>
              <w:t>的</w:t>
            </w:r>
            <w:r>
              <w:rPr>
                <w:rFonts w:hint="eastAsia"/>
                <w:sz w:val="18"/>
                <w:szCs w:val="18"/>
              </w:rPr>
              <w:t>缺陷</w:t>
            </w:r>
            <w:r>
              <w:rPr>
                <w:rFonts w:hint="eastAsia"/>
                <w:sz w:val="18"/>
                <w:szCs w:val="18"/>
                <w:lang w:val="en-US" w:eastAsia="zh-CN"/>
              </w:rPr>
              <w:t>和不足，强调本方案能够解决的缺陷或不足，可列举</w:t>
            </w:r>
            <w:r>
              <w:rPr>
                <w:rFonts w:hint="eastAsia"/>
                <w:sz w:val="18"/>
                <w:szCs w:val="18"/>
              </w:rPr>
              <w:t>国内外专利、学术论文或市售产品</w:t>
            </w:r>
            <w:r>
              <w:rPr>
                <w:rFonts w:hint="eastAsia"/>
                <w:sz w:val="18"/>
                <w:szCs w:val="18"/>
                <w:lang w:eastAsia="zh-CN"/>
              </w:rPr>
              <w:t>，</w:t>
            </w:r>
            <w:r>
              <w:rPr>
                <w:rFonts w:hint="eastAsia"/>
                <w:sz w:val="18"/>
                <w:szCs w:val="18"/>
                <w:lang w:val="en-US" w:eastAsia="zh-CN"/>
              </w:rPr>
              <w:t>不少于200字。</w:t>
            </w:r>
            <w:r>
              <w:rPr>
                <w:rFonts w:hint="eastAsia"/>
                <w:sz w:val="18"/>
                <w:szCs w:val="18"/>
              </w:rPr>
              <w:t>）</w:t>
            </w:r>
          </w:p>
        </w:tc>
      </w:tr>
      <w:tr w14:paraId="7572B74F">
        <w:tc>
          <w:tcPr>
            <w:tcW w:w="8522" w:type="dxa"/>
          </w:tcPr>
          <w:p w14:paraId="2DEF1F49">
            <w:pPr>
              <w:spacing w:after="60" w:line="259" w:lineRule="auto"/>
            </w:pPr>
            <w:r>
              <w:rPr>
                <w:rFonts w:ascii="宋体" w:hAnsi="宋体" w:eastAsia="宋体"/>
                <w:b w:val="0"/>
                <w:sz w:val="19"/>
              </w:rPr>
              <w:t>本方案属于物联网、低功耗蓝牙（Bluetooth Low Energy，BLE）通信和跨平台软件开发领域，具体面向录音卡、录音笔及具有录音能力的可穿戴硬件。现有硬件方案通常由杰理、蓝讯、炬芯、BK等芯片或方案商分别定义私有服务、特征值、分包规则和命令编码；同一功能在不同项目中又被重复实现。App开发者需要分别处理扫描、连接、MTU协商、分片重组、校验、超时重试、按键反向事件和文件下载，并在Android、iOS、HarmonyOS上维护多套代码，导致接入周期长、行为不一致、测试成本高。现有SDK多偏向单一品牌或单一型号，难以覆盖实时音频、录音文件、Wi-Fi切换和固件升级的连续业务流程；当BLE链路丢包或手机切换前后台时，容易出现状态丢失、文件重复、升级中断等问题。因而需要一种将底层厂商差异收敛在适配层、对上提供稳定标准BLE指令和统一事件模型，并能在多端复用的技术方案。</w:t>
            </w:r>
          </w:p>
        </w:tc>
      </w:tr>
      <w:tr w14:paraId="652195A3">
        <w:tc>
          <w:tcPr>
            <w:tcW w:w="8522" w:type="dxa"/>
          </w:tcPr>
          <w:p w14:paraId="7A6AD90C">
            <w:pPr>
              <w:rPr>
                <w:rFonts w:hint="eastAsia"/>
                <w:b/>
                <w:bCs/>
                <w:vertAlign w:val="baseline"/>
                <w:lang w:val="en-US" w:eastAsia="zh-CN"/>
              </w:rPr>
            </w:pPr>
            <w:r>
              <w:rPr>
                <w:rFonts w:hint="eastAsia"/>
                <w:b/>
                <w:bCs/>
                <w:lang w:val="en-US" w:eastAsia="zh-CN"/>
              </w:rPr>
              <w:t>二</w:t>
            </w:r>
            <w:r>
              <w:rPr>
                <w:rFonts w:hint="eastAsia"/>
                <w:b/>
                <w:bCs/>
              </w:rPr>
              <w:t>、发明目的</w:t>
            </w:r>
            <w:r>
              <w:rPr>
                <w:rFonts w:hint="eastAsia"/>
                <w:sz w:val="18"/>
                <w:szCs w:val="18"/>
                <w:lang w:eastAsia="zh-CN"/>
              </w:rPr>
              <w:t>（</w:t>
            </w:r>
            <w:r>
              <w:rPr>
                <w:rFonts w:hint="eastAsia"/>
                <w:sz w:val="18"/>
                <w:szCs w:val="18"/>
              </w:rPr>
              <w:t>直接回应背景技术中的痛点，定义</w:t>
            </w:r>
            <w:r>
              <w:rPr>
                <w:rFonts w:hint="eastAsia"/>
                <w:sz w:val="18"/>
                <w:szCs w:val="18"/>
                <w:lang w:val="en-US" w:eastAsia="zh-CN"/>
              </w:rPr>
              <w:t>本方案的</w:t>
            </w:r>
            <w:r>
              <w:rPr>
                <w:rFonts w:hint="eastAsia"/>
                <w:sz w:val="18"/>
                <w:szCs w:val="18"/>
              </w:rPr>
              <w:t>核心目标</w:t>
            </w:r>
            <w:r>
              <w:rPr>
                <w:rFonts w:hint="eastAsia"/>
                <w:sz w:val="18"/>
                <w:szCs w:val="18"/>
                <w:lang w:eastAsia="zh-CN"/>
              </w:rPr>
              <w:t>。）</w:t>
            </w:r>
          </w:p>
        </w:tc>
      </w:tr>
      <w:tr w14:paraId="1F30E2E0">
        <w:tc>
          <w:tcPr>
            <w:tcW w:w="8522" w:type="dxa"/>
          </w:tcPr>
          <w:p w14:paraId="6A604AEF">
            <w:pPr>
              <w:spacing w:after="60" w:line="259" w:lineRule="auto"/>
            </w:pPr>
            <w:r>
              <w:rPr>
                <w:rFonts w:ascii="宋体" w:hAnsi="宋体" w:eastAsia="宋体"/>
                <w:b w:val="0"/>
                <w:sz w:val="19"/>
              </w:rPr>
              <w:t>提供一种标准BLE指令SDK封装、厂商适配和跨平台接入方法，使不同蓝牙芯片方案的录音硬件按照统一的命令、数据和状态语义接入App。通过统一帧解析、序号与校验、请求应答匹配、分片传输、断点续传、状态机和事件回调，降低硬件方案商适配工作量，缩短应用开发者从样机到量产的接入时间，并形成可扩展的录音硬件产品生态。</w:t>
            </w:r>
            <w:bookmarkStart w:id="0" w:name="_GoBack"/>
            <w:bookmarkEnd w:id="0"/>
          </w:p>
        </w:tc>
      </w:tr>
      <w:tr w14:paraId="58634499">
        <w:tc>
          <w:tcPr>
            <w:tcW w:w="8522" w:type="dxa"/>
          </w:tcPr>
          <w:p w14:paraId="36375335">
            <w:pPr>
              <w:rPr>
                <w:rFonts w:hint="eastAsia"/>
                <w:b/>
                <w:bCs/>
                <w:vertAlign w:val="baseline"/>
                <w:lang w:val="en-US" w:eastAsia="zh-CN"/>
              </w:rPr>
            </w:pPr>
            <w:r>
              <w:rPr>
                <w:rFonts w:hint="eastAsia"/>
                <w:b/>
                <w:bCs/>
                <w:lang w:val="en-US" w:eastAsia="zh-CN"/>
              </w:rPr>
              <w:t>三</w:t>
            </w:r>
            <w:r>
              <w:rPr>
                <w:rFonts w:hint="eastAsia"/>
                <w:b/>
                <w:bCs/>
              </w:rPr>
              <w:t>、技术方案</w:t>
            </w:r>
            <w:r>
              <w:rPr>
                <w:rFonts w:hint="eastAsia"/>
                <w:sz w:val="18"/>
                <w:szCs w:val="18"/>
              </w:rPr>
              <w:t>（完整描述</w:t>
            </w:r>
            <w:r>
              <w:rPr>
                <w:rFonts w:hint="eastAsia"/>
                <w:sz w:val="18"/>
                <w:szCs w:val="18"/>
                <w:lang w:val="en-US" w:eastAsia="zh-CN"/>
              </w:rPr>
              <w:t>创新方案</w:t>
            </w:r>
            <w:r>
              <w:rPr>
                <w:rFonts w:hint="eastAsia"/>
                <w:sz w:val="18"/>
                <w:szCs w:val="18"/>
              </w:rPr>
              <w:t>的</w:t>
            </w:r>
            <w:r>
              <w:rPr>
                <w:rFonts w:hint="eastAsia"/>
                <w:sz w:val="18"/>
                <w:szCs w:val="18"/>
                <w:lang w:val="en-US" w:eastAsia="zh-CN"/>
              </w:rPr>
              <w:t>工作原理、部件结构</w:t>
            </w:r>
            <w:r>
              <w:rPr>
                <w:rFonts w:hint="eastAsia"/>
                <w:sz w:val="18"/>
                <w:szCs w:val="18"/>
                <w:lang w:eastAsia="zh-CN"/>
              </w:rPr>
              <w:t>、</w:t>
            </w:r>
            <w:r>
              <w:rPr>
                <w:rFonts w:hint="eastAsia"/>
                <w:sz w:val="18"/>
                <w:szCs w:val="18"/>
                <w:lang w:val="en-US" w:eastAsia="zh-CN"/>
              </w:rPr>
              <w:t>部件协同方式、</w:t>
            </w:r>
            <w:r>
              <w:rPr>
                <w:rFonts w:hint="eastAsia"/>
                <w:sz w:val="18"/>
                <w:szCs w:val="18"/>
              </w:rPr>
              <w:t>工艺参数</w:t>
            </w:r>
            <w:r>
              <w:rPr>
                <w:rFonts w:hint="eastAsia"/>
                <w:sz w:val="18"/>
                <w:szCs w:val="18"/>
                <w:lang w:eastAsia="zh-CN"/>
              </w:rPr>
              <w:t>、</w:t>
            </w:r>
            <w:r>
              <w:rPr>
                <w:rFonts w:hint="eastAsia"/>
                <w:sz w:val="18"/>
                <w:szCs w:val="18"/>
                <w:lang w:val="en-US" w:eastAsia="zh-CN"/>
              </w:rPr>
              <w:t>公式等技术信息</w:t>
            </w:r>
            <w:r>
              <w:rPr>
                <w:rFonts w:hint="eastAsia"/>
                <w:sz w:val="18"/>
                <w:szCs w:val="18"/>
              </w:rPr>
              <w:t>，使本领域技术人员</w:t>
            </w:r>
            <w:r>
              <w:rPr>
                <w:rFonts w:hint="eastAsia"/>
                <w:sz w:val="18"/>
                <w:szCs w:val="18"/>
                <w:lang w:val="en-US" w:eastAsia="zh-CN"/>
              </w:rPr>
              <w:t>能够准确理解技术方案</w:t>
            </w:r>
            <w:r>
              <w:rPr>
                <w:rFonts w:hint="eastAsia"/>
                <w:sz w:val="18"/>
                <w:szCs w:val="18"/>
                <w:lang w:eastAsia="zh-CN"/>
              </w:rPr>
              <w:t>，</w:t>
            </w:r>
            <w:r>
              <w:rPr>
                <w:rFonts w:hint="eastAsia"/>
                <w:sz w:val="18"/>
                <w:szCs w:val="18"/>
                <w:lang w:val="en-US" w:eastAsia="zh-CN"/>
              </w:rPr>
              <w:t>明确指出与现有技术不同的内容</w:t>
            </w:r>
            <w:r>
              <w:rPr>
                <w:rFonts w:hint="eastAsia"/>
                <w:sz w:val="18"/>
                <w:szCs w:val="18"/>
                <w:lang w:eastAsia="zh-CN"/>
              </w:rPr>
              <w:t>。</w:t>
            </w:r>
            <w:r>
              <w:rPr>
                <w:rFonts w:hint="eastAsia"/>
                <w:sz w:val="18"/>
                <w:szCs w:val="18"/>
                <w:lang w:val="en-US" w:eastAsia="zh-CN"/>
              </w:rPr>
              <w:t>图片内容须有对应的文字描述和解释，图片尽可能使用黑白线条图形；图片中除参数单位外，必须使用中文；</w:t>
            </w:r>
            <w:r>
              <w:rPr>
                <w:rFonts w:hint="eastAsia"/>
                <w:sz w:val="18"/>
                <w:szCs w:val="18"/>
              </w:rPr>
              <w:t>图中</w:t>
            </w:r>
            <w:r>
              <w:rPr>
                <w:rFonts w:hint="eastAsia"/>
                <w:sz w:val="18"/>
                <w:szCs w:val="18"/>
                <w:lang w:val="en-US" w:eastAsia="zh-CN"/>
              </w:rPr>
              <w:t>如果有</w:t>
            </w:r>
            <w:r>
              <w:rPr>
                <w:rFonts w:hint="eastAsia"/>
                <w:sz w:val="18"/>
                <w:szCs w:val="18"/>
              </w:rPr>
              <w:t>未示出但实际存在的隐藏结构，需特别注明。</w:t>
            </w:r>
            <w:r>
              <w:rPr>
                <w:rFonts w:hint="eastAsia"/>
                <w:sz w:val="18"/>
                <w:szCs w:val="18"/>
                <w:lang w:val="en-US" w:eastAsia="zh-CN"/>
              </w:rPr>
              <w:t>英文简称须有英文全称和中文解释。工艺参数需要有合适的参数范围，一般不能只是一个数值。专利不保护代码，发明人可利用代码片段辅助解释技术方案，但需要对代码片段的含义和功能进行解释。</w:t>
            </w:r>
            <w:r>
              <w:rPr>
                <w:rFonts w:hint="eastAsia"/>
                <w:sz w:val="18"/>
                <w:szCs w:val="18"/>
              </w:rPr>
              <w:t>）</w:t>
            </w:r>
          </w:p>
        </w:tc>
      </w:tr>
      <w:tr w14:paraId="4B2DC11A">
        <w:tc>
          <w:tcPr>
            <w:tcW w:w="8522" w:type="dxa"/>
          </w:tcPr>
          <w:p w14:paraId="02746FC1">
            <w:pPr>
              <w:spacing w:after="60" w:line="259" w:lineRule="auto"/>
            </w:pPr>
            <w:r>
              <w:rPr>
                <w:rFonts w:ascii="宋体" w:hAnsi="宋体" w:eastAsia="宋体"/>
                <w:b w:val="0"/>
                <w:sz w:val="19"/>
              </w:rPr>
              <w:t>1. 总体架构：系统由App/业务层、跨平台SDK核心层、标准BLE协议层、厂商适配层和硬件固件层组成。SDK核心层向上提供扫描、连接、录音控制、文件管理、实时音频、Wi-Fi和OTA接口；向下通过VendorAdapter接口绑定杰理、蓝讯、炬芯、BK等方案商的服务UUID、特征UUID、写入方式、通知方式和MTU限制。适配层将厂商私有数据转换为统一帧，再由核心层处理，新增厂商只需实现适配器而不改变App业务代码。</w:t>
            </w:r>
            <w:r>
              <w:rPr>
                <w:rFonts w:ascii="宋体" w:hAnsi="宋体" w:eastAsia="宋体"/>
                <w:b w:val="0"/>
                <w:sz w:val="19"/>
              </w:rPr>
              <w:br w:type="textWrapping"/>
            </w:r>
            <w:r>
              <w:rPr>
                <w:rFonts w:ascii="宋体" w:hAnsi="宋体" w:eastAsia="宋体"/>
                <w:b w:val="0"/>
                <w:sz w:val="19"/>
              </w:rPr>
              <w:br w:type="textWrapping"/>
            </w:r>
            <w:r>
              <w:rPr>
                <w:rFonts w:ascii="宋体" w:hAnsi="宋体" w:eastAsia="宋体"/>
                <w:b w:val="0"/>
                <w:sz w:val="19"/>
              </w:rPr>
              <w:t>2. 标准帧：采用[魔数0x5A][序号SEQ][CRC-16/XMODEM校验2字节，小端][长度LEN 2字节，小端][数据DATA]结构；DATA依次为TYPE、CMD和PARAMS。CRC计算范围为LEN原始2字节与DATA，接收端先按魔数定位、按LEN缓存完整帧，再校验CRC，校验失败丢弃并触发重试。SEQ用于请求应答关联、去重和乱序检测，LEN支持变长参数及后续命令扩展。BLE承载层按当前MTU分片，发送队列保证一帧的分片顺序，接收缓存支持跨通知包重组。</w:t>
            </w:r>
            <w:r>
              <w:rPr>
                <w:rFonts w:ascii="宋体" w:hAnsi="宋体" w:eastAsia="宋体"/>
                <w:b w:val="0"/>
                <w:sz w:val="19"/>
              </w:rPr>
              <w:br w:type="textWrapping"/>
            </w:r>
            <w:r>
              <w:rPr>
                <w:rFonts w:ascii="宋体" w:hAnsi="宋体" w:eastAsia="宋体"/>
                <w:b w:val="0"/>
                <w:sz w:val="19"/>
              </w:rPr>
              <w:br w:type="textWrapping"/>
            </w:r>
            <w:r>
              <w:rPr>
                <w:rFonts w:ascii="宋体" w:hAnsi="宋体" w:eastAsia="宋体"/>
                <w:b w:val="0"/>
                <w:sz w:val="19"/>
              </w:rPr>
              <w:t>3. 标准指令语义：CMD=1获取设备信息；2获取电量/容量；3录音状态事件；4录音文件列表；5按文件名和offset/end分段传输；6同步时间；7设备参数查询；8设备按键事件；9查询录音状态；10查询录音时长；11查询当前录音文件名；12 Wi-Fi状态；13/15/16/17为增益、指示灯或扩展参数；14删除文件/删除全部；18进入OTA升级模式；19检查升级环境；20发送升级元数据；21查询升级结果；22查询低功耗录音模式；23设置低功耗录音模式。未使用命令保留扩展空间，未知CMD返回可识别错误而不影响连接。</w:t>
            </w:r>
            <w:r>
              <w:rPr>
                <w:rFonts w:ascii="宋体" w:hAnsi="宋体" w:eastAsia="宋体"/>
                <w:b w:val="0"/>
                <w:sz w:val="19"/>
              </w:rPr>
              <w:br w:type="textWrapping"/>
            </w:r>
            <w:r>
              <w:rPr>
                <w:rFonts w:ascii="宋体" w:hAnsi="宋体" w:eastAsia="宋体"/>
                <w:b w:val="0"/>
                <w:sz w:val="19"/>
              </w:rPr>
              <w:br w:type="textWrapping"/>
            </w:r>
            <w:r>
              <w:rPr>
                <w:rFonts w:ascii="宋体" w:hAnsi="宋体" w:eastAsia="宋体"/>
                <w:b w:val="0"/>
                <w:sz w:val="19"/>
              </w:rPr>
              <w:t>4. 统一事件与数据通道：SDK将设备上行数据分为DEVICE_DATA（设备信息、状态、按键、Wi-Fi和OTA结果）、RECORD_DATA（实时录音Opus帧）和FILE_DATA（录音文件分片）三类事件，并向各平台映射为类型安全的回调。实时录音按16 kHz、单声道、Opus编码、40字节一帧交付；文件通道携带文件名、总长度、offset、分片序号和校验状态，支持暂停、重试和断点续传。</w:t>
            </w:r>
            <w:r>
              <w:rPr>
                <w:rFonts w:ascii="宋体" w:hAnsi="宋体" w:eastAsia="宋体"/>
                <w:b w:val="0"/>
                <w:sz w:val="19"/>
              </w:rPr>
              <w:br w:type="textWrapping"/>
            </w:r>
            <w:r>
              <w:rPr>
                <w:rFonts w:ascii="宋体" w:hAnsi="宋体" w:eastAsia="宋体"/>
                <w:b w:val="0"/>
                <w:sz w:val="19"/>
              </w:rPr>
              <w:br w:type="textWrapping"/>
            </w:r>
            <w:r>
              <w:rPr>
                <w:rFonts w:ascii="宋体" w:hAnsi="宋体" w:eastAsia="宋体"/>
                <w:b w:val="0"/>
                <w:sz w:val="19"/>
              </w:rPr>
              <w:t>5. 业务状态机：连接后先完成服务发现、MTU协商、时间同步和设备能力读取；录音按空闲→录音→暂停→保存状态迁移，设备按键请求必须由App确认后才执行。文件下载按列表→请求区间→分片接收→校验→合并→完成迁移；Wi-Fi按关闭→热点打开→手机连接→TCP/IP就绪迁移；OTA仅在Wi-Fi/TCP可用且电量满足阈值时进入，升级中持续监听BLE/Wi-Fi断链，失败时回退并保留可恢复信息。所有请求配置超时、指数退避重试和取消句柄。</w:t>
            </w:r>
            <w:r>
              <w:rPr>
                <w:rFonts w:ascii="宋体" w:hAnsi="宋体" w:eastAsia="宋体"/>
                <w:b w:val="0"/>
                <w:sz w:val="19"/>
              </w:rPr>
              <w:br w:type="textWrapping"/>
            </w:r>
            <w:r>
              <w:rPr>
                <w:rFonts w:ascii="宋体" w:hAnsi="宋体" w:eastAsia="宋体"/>
                <w:b w:val="0"/>
                <w:sz w:val="19"/>
              </w:rPr>
              <w:br w:type="textWrapping"/>
            </w:r>
            <w:r>
              <w:rPr>
                <w:rFonts w:ascii="宋体" w:hAnsi="宋体" w:eastAsia="宋体"/>
                <w:b w:val="0"/>
                <w:sz w:val="19"/>
              </w:rPr>
              <w:t>6. 跨平台封装：Android以PNote和DeviceDataListener提供初始化、设备数据及Opus回调；iOS以PNode和WindBleDelegate提供同等接口；HarmonyOS以RecorderSdk、RecorderDevice和SdkEvent提供设备及事件抽象。核心协议逻辑可编译为共享模块，Flutter、桌面Windows/macOS通过同一标准命令调用，平台差异仅存在于蓝牙权限、后台策略和文件系统适配。</w:t>
            </w:r>
          </w:p>
        </w:tc>
      </w:tr>
      <w:tr w14:paraId="2846544A">
        <w:tc>
          <w:tcPr>
            <w:tcW w:w="8522" w:type="dxa"/>
          </w:tcPr>
          <w:p w14:paraId="75471957">
            <w:pPr>
              <w:rPr>
                <w:rFonts w:hint="eastAsia"/>
                <w:b/>
                <w:bCs/>
                <w:vertAlign w:val="baseline"/>
                <w:lang w:val="en-US" w:eastAsia="zh-CN"/>
              </w:rPr>
            </w:pPr>
            <w:r>
              <w:rPr>
                <w:rFonts w:hint="eastAsia"/>
                <w:b/>
                <w:bCs/>
                <w:lang w:val="en-US" w:eastAsia="zh-CN"/>
              </w:rPr>
              <w:t>四</w:t>
            </w:r>
            <w:r>
              <w:rPr>
                <w:rFonts w:hint="eastAsia"/>
                <w:b/>
                <w:bCs/>
              </w:rPr>
              <w:t>、</w:t>
            </w:r>
            <w:r>
              <w:rPr>
                <w:rFonts w:hint="eastAsia"/>
                <w:b/>
                <w:bCs/>
                <w:lang w:val="en-US" w:eastAsia="zh-CN"/>
              </w:rPr>
              <w:t>技术</w:t>
            </w:r>
            <w:r>
              <w:rPr>
                <w:rFonts w:hint="eastAsia"/>
                <w:b/>
                <w:bCs/>
              </w:rPr>
              <w:t>效果</w:t>
            </w:r>
            <w:r>
              <w:rPr>
                <w:rFonts w:hint="eastAsia"/>
                <w:sz w:val="18"/>
                <w:szCs w:val="18"/>
                <w:lang w:eastAsia="zh-CN"/>
              </w:rPr>
              <w:t>（</w:t>
            </w:r>
            <w:r>
              <w:rPr>
                <w:rFonts w:hint="eastAsia"/>
                <w:sz w:val="18"/>
                <w:szCs w:val="18"/>
                <w:lang w:val="en-US" w:eastAsia="zh-CN"/>
              </w:rPr>
              <w:t>基于技术方案的特征进行推导或解释技术效果，强调现有技术无法实现的技术效果</w:t>
            </w:r>
            <w:r>
              <w:rPr>
                <w:rFonts w:hint="eastAsia"/>
                <w:sz w:val="18"/>
                <w:szCs w:val="18"/>
              </w:rPr>
              <w:t>。</w:t>
            </w:r>
            <w:r>
              <w:rPr>
                <w:rFonts w:hint="eastAsia"/>
                <w:sz w:val="18"/>
                <w:szCs w:val="18"/>
                <w:lang w:eastAsia="zh-CN"/>
              </w:rPr>
              <w:t>）</w:t>
            </w:r>
          </w:p>
        </w:tc>
      </w:tr>
      <w:tr w14:paraId="284D757A">
        <w:tc>
          <w:tcPr>
            <w:tcW w:w="8522" w:type="dxa"/>
          </w:tcPr>
          <w:p w14:paraId="219101E3">
            <w:pPr>
              <w:spacing w:after="60" w:line="259" w:lineRule="auto"/>
            </w:pPr>
            <w:r>
              <w:rPr>
                <w:rFonts w:ascii="宋体" w:hAnsi="宋体" w:eastAsia="宋体"/>
                <w:b w:val="0"/>
                <w:sz w:val="19"/>
              </w:rPr>
              <w:t>（1）将厂商差异限制在适配器内，杰理、蓝讯、炬芯、BK等方案可复用同一套App接口，减少重复开发和联调；（2）统一帧的序号、长度、CRC、分片重组和重试机制，提高弱信号环境下的指令及音频传输可靠性；（3）统一事件通道和状态机，使录音按键、实时音频、文件下载、Wi-Fi及OTA流程在多平台表现一致；（4）通过offset断点续传、分片校验和升级前置检查，降低大文件下载和固件升级中断后的恢复成本；（5）以能力查询和版本化命令扩展支持不同硬件配置，硬件方案商只需遵循标准适配契约即可进入生态，从而缩短新产品上市周期并降低应用维护成本。</w:t>
            </w:r>
          </w:p>
        </w:tc>
      </w:tr>
      <w:tr w14:paraId="7C7E16CC">
        <w:tc>
          <w:tcPr>
            <w:tcW w:w="8522" w:type="dxa"/>
          </w:tcPr>
          <w:p w14:paraId="4856A6FA">
            <w:pPr>
              <w:rPr>
                <w:rFonts w:hint="eastAsia"/>
                <w:b/>
                <w:bCs/>
                <w:vertAlign w:val="baseline"/>
                <w:lang w:val="en-US" w:eastAsia="zh-CN"/>
              </w:rPr>
            </w:pPr>
            <w:r>
              <w:rPr>
                <w:rFonts w:hint="eastAsia"/>
                <w:b/>
                <w:bCs/>
                <w:lang w:val="en-US" w:eastAsia="zh-CN"/>
              </w:rPr>
              <w:t>五</w:t>
            </w:r>
            <w:r>
              <w:rPr>
                <w:rFonts w:hint="eastAsia"/>
                <w:b/>
                <w:bCs/>
              </w:rPr>
              <w:t>、具体实施方式</w:t>
            </w:r>
            <w:r>
              <w:rPr>
                <w:rFonts w:hint="eastAsia"/>
                <w:sz w:val="18"/>
                <w:szCs w:val="18"/>
                <w:lang w:eastAsia="zh-CN"/>
              </w:rPr>
              <w:t>（</w:t>
            </w:r>
            <w:r>
              <w:rPr>
                <w:rFonts w:hint="eastAsia"/>
                <w:sz w:val="18"/>
                <w:szCs w:val="18"/>
              </w:rPr>
              <w:t>提供可</w:t>
            </w:r>
            <w:r>
              <w:rPr>
                <w:rFonts w:hint="eastAsia"/>
                <w:sz w:val="18"/>
                <w:szCs w:val="18"/>
                <w:lang w:val="en-US" w:eastAsia="zh-CN"/>
              </w:rPr>
              <w:t>重复</w:t>
            </w:r>
            <w:r>
              <w:rPr>
                <w:rFonts w:hint="eastAsia"/>
                <w:sz w:val="18"/>
                <w:szCs w:val="18"/>
              </w:rPr>
              <w:t>的</w:t>
            </w:r>
            <w:r>
              <w:rPr>
                <w:rFonts w:hint="eastAsia"/>
                <w:sz w:val="18"/>
                <w:szCs w:val="18"/>
                <w:lang w:val="en-US" w:eastAsia="zh-CN"/>
              </w:rPr>
              <w:t>设计</w:t>
            </w:r>
            <w:r>
              <w:rPr>
                <w:rFonts w:hint="eastAsia"/>
                <w:sz w:val="18"/>
                <w:szCs w:val="18"/>
              </w:rPr>
              <w:t>/方法</w:t>
            </w:r>
            <w:r>
              <w:rPr>
                <w:rFonts w:hint="eastAsia"/>
                <w:sz w:val="18"/>
                <w:szCs w:val="18"/>
                <w:lang w:val="en-US" w:eastAsia="zh-CN"/>
              </w:rPr>
              <w:t>案例</w:t>
            </w:r>
            <w:r>
              <w:rPr>
                <w:rFonts w:hint="eastAsia"/>
                <w:sz w:val="18"/>
                <w:szCs w:val="18"/>
                <w:lang w:eastAsia="zh-CN"/>
              </w:rPr>
              <w:t>，</w:t>
            </w:r>
            <w:r>
              <w:rPr>
                <w:rFonts w:hint="eastAsia"/>
                <w:sz w:val="18"/>
                <w:szCs w:val="18"/>
                <w:lang w:val="en-US" w:eastAsia="zh-CN"/>
              </w:rPr>
              <w:t>包括具体实施路径和工艺参数，工艺参数需要是具体数值，不能是参数范围。最好有与现有技术的对比，以凸显技术效果。</w:t>
            </w:r>
            <w:r>
              <w:rPr>
                <w:rFonts w:hint="eastAsia"/>
                <w:sz w:val="18"/>
                <w:szCs w:val="18"/>
                <w:lang w:eastAsia="zh-CN"/>
              </w:rPr>
              <w:t>）</w:t>
            </w:r>
          </w:p>
        </w:tc>
      </w:tr>
      <w:tr w14:paraId="3B91A793">
        <w:tc>
          <w:tcPr>
            <w:tcW w:w="8522" w:type="dxa"/>
          </w:tcPr>
          <w:p w14:paraId="2E8CC311">
            <w:pPr>
              <w:spacing w:after="60" w:line="259" w:lineRule="auto"/>
            </w:pPr>
            <w:r>
              <w:rPr>
                <w:rFonts w:ascii="宋体" w:hAnsi="宋体" w:eastAsia="宋体"/>
                <w:b w:val="0"/>
                <w:sz w:val="19"/>
              </w:rPr>
              <w:t>实施例一（BLE录音控制）：手机App扫描到广播名后调用SDK连接，SDK发现服务并协商MTU，发送CMD=6同步手机时间，随后读取CMD=1、2、9获得型号、电量、容量和录音状态。用户点击开始、暂停、继续或保存时，SDK分别发送录音控制参数；设备按键则上报CMD=8，SDK以统一事件回调给App，App确认后发送对应的按键响应。每次请求以SEQ匹配应答，超时1秒重试2次，仍失败则回调链路错误。</w:t>
            </w:r>
            <w:r>
              <w:rPr>
                <w:rFonts w:ascii="宋体" w:hAnsi="宋体" w:eastAsia="宋体"/>
                <w:b w:val="0"/>
                <w:sz w:val="19"/>
              </w:rPr>
              <w:br w:type="textWrapping"/>
            </w:r>
            <w:r>
              <w:rPr>
                <w:rFonts w:ascii="宋体" w:hAnsi="宋体" w:eastAsia="宋体"/>
                <w:b w:val="0"/>
                <w:sz w:val="19"/>
              </w:rPr>
              <w:br w:type="textWrapping"/>
            </w:r>
            <w:r>
              <w:rPr>
                <w:rFonts w:ascii="宋体" w:hAnsi="宋体" w:eastAsia="宋体"/>
                <w:b w:val="0"/>
                <w:sz w:val="19"/>
              </w:rPr>
              <w:t>实施例二（实时音频）：设备进入录音状态后，按16 kHz、单声道、Opus编码生成40字节一帧的音频数据，通过BLE通知分片发送。SDK按帧头、长度和序号重组，校验通过后通过onDeviceRecordData/等价回调交付，上层可直接写入编码器或语音识别管线；发现丢帧时仅请求缺失序号，避免重复传输全部音频。</w:t>
            </w:r>
            <w:r>
              <w:rPr>
                <w:rFonts w:ascii="宋体" w:hAnsi="宋体" w:eastAsia="宋体"/>
                <w:b w:val="0"/>
                <w:sz w:val="19"/>
              </w:rPr>
              <w:br w:type="textWrapping"/>
            </w:r>
            <w:r>
              <w:rPr>
                <w:rFonts w:ascii="宋体" w:hAnsi="宋体" w:eastAsia="宋体"/>
                <w:b w:val="0"/>
                <w:sz w:val="19"/>
              </w:rPr>
              <w:br w:type="textWrapping"/>
            </w:r>
            <w:r>
              <w:rPr>
                <w:rFonts w:ascii="宋体" w:hAnsi="宋体" w:eastAsia="宋体"/>
                <w:b w:val="0"/>
                <w:sz w:val="19"/>
              </w:rPr>
              <w:t>实施例三（录音文件）：App先请求CMD=4获得文件列表，选择文件后以CMD=5携带fileName、offset和end请求区间。SDK逐片接收FILE_DATA，按offset写入临时文件并校验总长度；网络或BLE中断后从最后确认的offset继续，完成后原子改名。删除单个或全部文件使用CMD=14并等待设备确认。</w:t>
            </w:r>
            <w:r>
              <w:rPr>
                <w:rFonts w:ascii="宋体" w:hAnsi="宋体" w:eastAsia="宋体"/>
                <w:b w:val="0"/>
                <w:sz w:val="19"/>
              </w:rPr>
              <w:br w:type="textWrapping"/>
            </w:r>
            <w:r>
              <w:rPr>
                <w:rFonts w:ascii="宋体" w:hAnsi="宋体" w:eastAsia="宋体"/>
                <w:b w:val="0"/>
                <w:sz w:val="19"/>
              </w:rPr>
              <w:br w:type="textWrapping"/>
            </w:r>
            <w:r>
              <w:rPr>
                <w:rFonts w:ascii="宋体" w:hAnsi="宋体" w:eastAsia="宋体"/>
                <w:b w:val="0"/>
                <w:sz w:val="19"/>
              </w:rPr>
              <w:t>实施例四（Wi-Fi与OTA）：SDK依次发送打开热点、查询热点连接和查询TCP/IP状态的命令，收到CMD=12状态后才允许OTA。OTA流程发送CMD=18进入升级模式、CMD=19检查环境、CMD=20发送版本和长度元数据，设备返回可升级后通过Wi-Fi/TCP传输固件，SDK监听CMD=21结果并在断链时停止任务。</w:t>
            </w:r>
            <w:r>
              <w:rPr>
                <w:rFonts w:ascii="宋体" w:hAnsi="宋体" w:eastAsia="宋体"/>
                <w:b w:val="0"/>
                <w:sz w:val="19"/>
              </w:rPr>
              <w:br w:type="textWrapping"/>
            </w:r>
            <w:r>
              <w:rPr>
                <w:rFonts w:ascii="宋体" w:hAnsi="宋体" w:eastAsia="宋体"/>
                <w:b w:val="0"/>
                <w:sz w:val="19"/>
              </w:rPr>
              <w:br w:type="textWrapping"/>
            </w:r>
            <w:r>
              <w:rPr>
                <w:rFonts w:ascii="宋体" w:hAnsi="宋体" w:eastAsia="宋体"/>
                <w:b w:val="0"/>
                <w:sz w:val="19"/>
              </w:rPr>
              <w:t>实施例五（多平台及多厂商）：为四类芯片分别配置VendorAdapter。Android、iOS和HarmonyOS仅实现各自系统的蓝牙扫描、权限和后台保活，均调用同一组标准接口；Windows/macOS桌面Demo使用同一帧构造、流式解析、CRC和文件列表解码逻辑。通过设备能力位、协议版本和命令白名单进行兼容性协商。</w:t>
            </w:r>
          </w:p>
        </w:tc>
      </w:tr>
      <w:tr w14:paraId="341138BD">
        <w:tc>
          <w:tcPr>
            <w:tcW w:w="8522" w:type="dxa"/>
          </w:tcPr>
          <w:p w14:paraId="0C354354">
            <w:pPr>
              <w:rPr>
                <w:rFonts w:hint="eastAsia"/>
                <w:b/>
                <w:bCs/>
                <w:vertAlign w:val="baseline"/>
                <w:lang w:val="en-US" w:eastAsia="zh-CN"/>
              </w:rPr>
            </w:pPr>
            <w:r>
              <w:rPr>
                <w:rFonts w:hint="eastAsia"/>
                <w:b/>
                <w:bCs/>
                <w:lang w:val="en-US" w:eastAsia="zh-CN"/>
              </w:rPr>
              <w:t>六</w:t>
            </w:r>
            <w:r>
              <w:rPr>
                <w:rFonts w:hint="eastAsia"/>
                <w:b/>
                <w:bCs/>
              </w:rPr>
              <w:t>、</w:t>
            </w:r>
            <w:r>
              <w:rPr>
                <w:rFonts w:hint="eastAsia"/>
                <w:b/>
                <w:bCs/>
                <w:lang w:val="en-US" w:eastAsia="zh-CN"/>
              </w:rPr>
              <w:t>预期可规避方案</w:t>
            </w:r>
            <w:r>
              <w:rPr>
                <w:rFonts w:hint="eastAsia"/>
                <w:sz w:val="18"/>
                <w:szCs w:val="18"/>
                <w:lang w:val="en-US" w:eastAsia="zh-CN"/>
              </w:rPr>
              <w:t>（其他技术人员看到本方案后，可能会想到哪些不同的方案，包括对本方案的稍作改动，可能实现相近甚至更好的效果。）</w:t>
            </w:r>
          </w:p>
        </w:tc>
      </w:tr>
      <w:tr w14:paraId="7334CCA6">
        <w:tc>
          <w:tcPr>
            <w:tcW w:w="8522" w:type="dxa"/>
          </w:tcPr>
          <w:p w14:paraId="2378DA65">
            <w:pPr>
              <w:spacing w:after="60" w:line="259" w:lineRule="auto"/>
            </w:pPr>
            <w:r>
              <w:rPr>
                <w:rFonts w:ascii="宋体" w:hAnsi="宋体" w:eastAsia="宋体"/>
                <w:b w:val="0"/>
                <w:sz w:val="19"/>
              </w:rPr>
              <w:t>可能的规避方式包括：将魔数、字段顺序或CRC算法替换为其他帧格式；把BLE换成经典蓝牙、USB、Wi-Fi或蜂窝链路；把厂商适配器放入固件、网关或云端；采用TLV、JSON、Protobuf或自定义二进制表示参数；将实时音频改为PCM、AAC或其他编码；使用滑动窗口、选择性确认或完全重传实现可靠传输；把状态机拆成多个独立服务；仅提供单平台SDK或将SDK逻辑写入App。上述变化只要仍实现跨厂商协议归一、统一请求应答关联、分片校验/重试、设备事件回调和可恢复文件/升级流程，均属于本方案拟覆盖的等同技术路线。</w:t>
            </w:r>
          </w:p>
        </w:tc>
      </w:tr>
      <w:tr w14:paraId="65460323">
        <w:tc>
          <w:tcPr>
            <w:tcW w:w="8522" w:type="dxa"/>
          </w:tcPr>
          <w:p w14:paraId="1BCDF3CC">
            <w:pPr>
              <w:rPr>
                <w:rFonts w:hint="default"/>
                <w:b/>
                <w:bCs/>
                <w:vertAlign w:val="baseline"/>
                <w:lang w:val="en-US" w:eastAsia="zh-CN"/>
              </w:rPr>
            </w:pPr>
            <w:r>
              <w:rPr>
                <w:rFonts w:hint="eastAsia"/>
                <w:b/>
                <w:bCs/>
                <w:vertAlign w:val="baseline"/>
                <w:lang w:val="en-US" w:eastAsia="zh-CN"/>
              </w:rPr>
              <w:t>七、重点保护内容</w:t>
            </w:r>
            <w:r>
              <w:rPr>
                <w:rFonts w:hint="eastAsia"/>
                <w:sz w:val="18"/>
                <w:szCs w:val="18"/>
                <w:lang w:val="en-US" w:eastAsia="zh-CN"/>
              </w:rPr>
              <w:t>（说明方案的哪些特征或细节需要被专利进行重点保护。）</w:t>
            </w:r>
          </w:p>
        </w:tc>
      </w:tr>
      <w:tr w14:paraId="2DFB89C1">
        <w:tc>
          <w:tcPr>
            <w:tcW w:w="8522" w:type="dxa"/>
          </w:tcPr>
          <w:p w14:paraId="29540E95">
            <w:pPr>
              <w:spacing w:after="60" w:line="259" w:lineRule="auto"/>
            </w:pPr>
            <w:r>
              <w:rPr>
                <w:rFonts w:ascii="宋体" w:hAnsi="宋体" w:eastAsia="宋体"/>
                <w:b w:val="0"/>
                <w:sz w:val="19"/>
              </w:rPr>
              <w:t>重点保护内容建议包括：1）将不同芯片方案的BLE服务、特征、MTU和私有命令映射为标准指令的VendorAdapter架构及其注册/版本协商机制；2）包含魔数、SEQ、CRC、LEN、TYPE、CMD、PARAMS的变长标准帧，以及按LEN缓存、CRC校验、分片重组、去重和请求应答匹配的处理方法；3）DEVICE_DATA、RECORD_DATA、FILE_DATA三类数据通道及跨Android/iOS/HarmonyOS的统一事件模型；4）录音控制、实时Opus帧、文件offset断点续传、Wi-Fi状态和OTA前置检查相互协同的状态机；5）设备按键需要App确认的双向控制机制；6）适配器、协议核心和平台封装可独立升级的模块化部署方式；7）实现上述方法的SDK系统、终端设备、计算机可读存储介质及包含相应指令的程序。</w:t>
            </w:r>
          </w:p>
        </w:tc>
      </w:tr>
      <w:tr w14:paraId="7470B2B0">
        <w:tc>
          <w:tcPr>
            <w:tcW w:w="8522" w:type="dxa"/>
          </w:tcPr>
          <w:p w14:paraId="293685FC">
            <w:pPr>
              <w:rPr>
                <w:rFonts w:hint="eastAsia"/>
                <w:b/>
                <w:bCs/>
                <w:lang w:val="en-US" w:eastAsia="zh-CN"/>
              </w:rPr>
            </w:pPr>
            <w:r>
              <w:rPr>
                <w:rFonts w:hint="eastAsia"/>
                <w:b/>
                <w:bCs/>
                <w:lang w:val="en-US" w:eastAsia="zh-CN"/>
              </w:rPr>
              <w:t>八</w:t>
            </w:r>
            <w:r>
              <w:rPr>
                <w:rFonts w:hint="eastAsia"/>
                <w:b/>
                <w:bCs/>
              </w:rPr>
              <w:t>、</w:t>
            </w:r>
            <w:r>
              <w:rPr>
                <w:rFonts w:hint="eastAsia"/>
                <w:b/>
                <w:bCs/>
                <w:lang w:val="en-US" w:eastAsia="zh-CN"/>
              </w:rPr>
              <w:t>其他内容</w:t>
            </w:r>
            <w:r>
              <w:rPr>
                <w:rFonts w:hint="eastAsia"/>
                <w:sz w:val="18"/>
                <w:szCs w:val="18"/>
                <w:lang w:val="en-US" w:eastAsia="zh-CN"/>
              </w:rPr>
              <w:t>（其他需要说明的内容，例如使用本方案的限制，方便读者理解方案的参考资料等等。）</w:t>
            </w:r>
          </w:p>
        </w:tc>
      </w:tr>
      <w:tr w14:paraId="4149E61A">
        <w:tc>
          <w:tcPr>
            <w:tcW w:w="8522" w:type="dxa"/>
          </w:tcPr>
          <w:p w14:paraId="1E187386">
            <w:pPr>
              <w:spacing w:after="60" w:line="259" w:lineRule="auto"/>
            </w:pPr>
            <w:r>
              <w:rPr>
                <w:rFonts w:ascii="宋体" w:hAnsi="宋体" w:eastAsia="宋体"/>
                <w:b w:val="0"/>
                <w:sz w:val="19"/>
              </w:rPr>
              <w:t>本交底书依据仓库中的pnote-android-sdk、pnote-ios-sdk、pnote-harmony-sdk及Windows/macOS桌面Demo整理，命令编号和数据格式应以最终冻结的协议版本及硬件样机测试结果为准。示例中的超时、重试次数、电量阈值和MTU属于可配置参数，不应解释为唯一限定值。BLE权限、后台运行、Wi-Fi热点和固件升级还需遵守各移动操作系统及监管要求。建议提交前补充发明人姓名、国籍、身份证/护照编号、电话、奖金比例，并由专利代理师进行现有技术检索、权利要求布局、同日申请及保密审查策略确认。本技术交底草案不替代专利代理师的法律意见。</w:t>
            </w:r>
          </w:p>
        </w:tc>
      </w:tr>
    </w:tbl>
    <w:p w14:paraId="7784FCAE"/>
    <w:sectPr>
      <w:pgSz w:w="11906" w:h="16838"/>
      <w:pgMar w:top="864" w:right="1080" w:bottom="864"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D166AF"/>
    <w:rsid w:val="097815B4"/>
    <w:rsid w:val="1C420A92"/>
    <w:rsid w:val="2A5F6B93"/>
    <w:rsid w:val="2C234762"/>
    <w:rsid w:val="2C7D6F7C"/>
    <w:rsid w:val="3B705A74"/>
    <w:rsid w:val="41D166AF"/>
    <w:rsid w:val="48B5736F"/>
    <w:rsid w:val="505B25F1"/>
    <w:rsid w:val="51C32DB0"/>
    <w:rsid w:val="51EFB5AC"/>
    <w:rsid w:val="68AB69D7"/>
    <w:rsid w:val="6B981292"/>
    <w:rsid w:val="6D102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950</Words>
  <Characters>969</Characters>
  <Lines>0</Lines>
  <Paragraphs>0</Paragraphs>
  <TotalTime>17</TotalTime>
  <ScaleCrop>false</ScaleCrop>
  <LinksUpToDate>false</LinksUpToDate>
  <CharactersWithSpaces>969</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2025-08-05T18:08:00Z</dcterms:created>
  <dc:creator>patent</dc:creator>
  <cp:lastModifiedBy>蒙尚</cp:lastModifiedBy>
  <dcterms:modified xsi:type="dcterms:W3CDTF">2026-09-09T08:28:48Z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B7E689F07F96400EB6EC446350EBFEA2_11</vt:lpwstr>
  </property>
  <property fmtid="{D5CDD505-2E9C-101B-9397-08002B2CF9AE}" pid="4" name="KSOTemplateDocerSaveRecord">
    <vt:lpwstr>eyJoZGlkIjoiMGRlOWViNjM5YzNmNzRlZDM1OGRlYjdkNzViNmFjNmQiLCJ1c2VySWQiOiI0MzIyMDI4MDkifQ==</vt:lpwstr>
  </property>
</Properties>
</file>