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Estudo de ablação: o aumento de dados na MinhaCNN (MNIST e CIFAR-10)</w:t>
      </w:r>
    </w:p>
    <w:p>
      <w:pPr>
        <w:pStyle w:val="Subtitle"/>
      </w:pPr>
      <w:r>
        <w:t xml:space="preserve">Introdução à Aprendizagem Profunda — Atividade Prática Supervisionada (APS)</w:t>
      </w:r>
    </w:p>
    <w:p>
      <w:pPr>
        <w:pStyle w:val="Subtitle"/>
      </w:pPr>
      <w:r>
        <w:t xml:space="preserve">Estudo de Ablação — continuação da APS de Redes Convolucionais</w:t>
      </w:r>
    </w:p>
    <w:p>
      <w:pPr>
        <w:pStyle w:val="Subtitle"/>
      </w:pPr>
      <w:r>
        <w:rPr>
          <w:b/>
        </w:rPr>
        <w:t xml:space="preserve">Integrante:</w:t>
      </w:r>
      <w:r>
        <w:t xml:space="preserve"> João Henrique dos Santos Silva</w:t>
      </w:r>
    </w:p>
    <w:p>
      <w:pPr>
        <w:pStyle w:val="Subtitle"/>
      </w:pPr>
      <w:r>
        <w:rPr>
          <w:b/>
        </w:rPr>
        <w:t xml:space="preserve">Repositório:</w:t>
      </w:r>
      <w:r>
        <w:t xml:space="preserve"> https://github.com/soninhoxs/APS_CNN_MNIST_CIFAR10</w:t>
      </w:r>
    </w:p>
    <w:p>
      <w:pPr>
        <w:pStyle w:val="Subtitle"/>
      </w:pPr>
      <w:r>
        <w:t xml:space="preserve">Outubro de 2026</w:t>
      </w:r>
    </w:p>
    <w:p>
      <w:r>
        <w:br w:type="page"/>
      </w:r>
    </w:p>
    <w:p>
      <w:pPr>
        <w:pStyle w:val="Heading1"/>
      </w:pPr>
      <w:r>
        <w:t xml:space="preserve">Resumo</w:t>
      </w:r>
    </w:p>
    <w:p>
      <w:pPr/>
      <w:r>
        <w:t xml:space="preserve">Fizemos um estudo de ablação do </w:t>
      </w:r>
      <w:r>
        <w:rPr>
          <w:b/>
        </w:rPr>
        <w:t xml:space="preserve">aumento de dados</w:t>
      </w:r>
      <w:r>
        <w:t xml:space="preserve"> (</w:t>
      </w:r>
      <w:r>
        <w:rPr>
          <w:i/>
        </w:rPr>
        <w:t xml:space="preserve">data augmentation</w:t>
      </w:r>
      <w:r>
        <w:t xml:space="preserve">) na MinhaCNN, a CNN própria da APS anterior. Treinamos a mesma rede com e sem esse componente, mantendo todo o resto igual, com 3 sementes por configuração e as mesmas métricas da APS anterior.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Componente escolhido:</w:t>
      </w:r>
      <w:r>
        <w:t xml:space="preserve"> o aumento de dados — recorte aleatório e espelhamento no CIFAR-10; rotação, translação e escala no MNIST.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CIFAR-10:</w:t>
      </w:r>
      <w:r>
        <w:t xml:space="preserve"> com aumento de dados a MinhaCNN acerta </w:t>
      </w:r>
      <w:r>
        <w:rPr>
          <w:b/>
        </w:rPr>
        <w:t xml:space="preserve">92,22% ± 0,18</w:t>
      </w:r>
      <w:r>
        <w:t xml:space="preserve">; sem ele, </w:t>
      </w:r>
      <w:r>
        <w:rPr>
          <w:b/>
        </w:rPr>
        <w:t xml:space="preserve">89,97% ± 0,20</w:t>
      </w:r>
      <w:r>
        <w:t xml:space="preserve">. São 22% menos erros (778 contra 1.003 em 10.000), e a diferença é significativa em todas as sementes (McNemar, p &lt; 10⁻¹³). Sem o componente a rede decora o treino (100% de acerto) e a diferença entre treino e teste sobe de 6,0 para 10,0 pontos percentuais. Ele explica 38% da queda que a APS anterior atribuía à "regularização" como um todo.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MNIST:</w:t>
      </w:r>
      <w:r>
        <w:t xml:space="preserve"> </w:t>
      </w:r>
      <w:r>
        <w:rPr>
          <w:b/>
        </w:rPr>
        <w:t xml:space="preserve">99,68%</w:t>
      </w:r>
      <w:r>
        <w:t xml:space="preserve"> com e </w:t>
      </w:r>
      <w:r>
        <w:rPr>
          <w:b/>
        </w:rPr>
        <w:t xml:space="preserve">99,70%</w:t>
      </w:r>
      <w:r>
        <w:t xml:space="preserve"> sem — empate (p ≥ 0,58 em todas as sementes). O aumento de dados não melhora o teste do MNIST, que já vem centralizado e normalizado, mas torna a rede robusta a dígitos girados, deslocados e ampliados: +7 a +12 p.p. com rotação de 45° e +2,2 p.p. com 6 px de deslocamento.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Análise (desafio):</w:t>
      </w:r>
      <w:r>
        <w:t xml:space="preserve"> no CIFAR-10, o espelhamento sozinho rende +1,8 p.p. e o recorte sozinho +1,3; os dois juntos, +2,4. A melhor intensidade do recorte fica entre ±2 e ±4 px. O ganho é maior nos animais (gato e cachorro, +3,8 p.p.). E é específico: contra ruído gaussiano, transformação que nenhum modelo viu no treino, os modelos com aumento de dados foram </w:t>
      </w:r>
      <w:r>
        <w:rPr>
          <w:i/>
        </w:rPr>
        <w:t xml:space="preserve">menos</w:t>
      </w:r>
      <w:r>
        <w:t xml:space="preserve"> robustos.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Nossa opinião:</w:t>
      </w:r>
      <w:r>
        <w:t xml:space="preserve"> no CIFAR-10 o componente é essencial e quase não custa nada — não acrescenta parâmetros, não muda a inferência e deixa a época cerca de 5% mais lenta. No MNIST ele não melhora a acurácia, mas vale pela robustez. Em nenhum dos dois casos ele é "regularização genérica": funciona porque descreve as variações que o problema realmente tem, e por isso precisa ser escolhido para cada problema.</w:t>
      </w:r>
    </w:p>
    <w:p>
      <w:pPr>
        <w:pStyle w:val="Heading1"/>
      </w:pPr>
      <w:r>
        <w:t xml:space="preserve">1. Qual o componente escolhido?</w:t>
      </w:r>
    </w:p>
    <w:p>
      <w:pPr/>
      <w:r>
        <w:t xml:space="preserve">Escolhemos o </w:t>
      </w:r>
      <w:r>
        <w:rPr>
          <w:b/>
        </w:rPr>
        <w:t xml:space="preserve">aumento de dados</w:t>
      </w:r>
      <w:r>
        <w:t xml:space="preserve"> (</w:t>
      </w:r>
      <w:r>
        <w:rPr>
          <w:i/>
        </w:rPr>
        <w:t xml:space="preserve">data augmentation</w:t>
      </w:r>
      <w:r>
        <w:t xml:space="preserve">) usado no treino da MinhaCNN, a CNN de 1,18 milhão de parâmetros da APS anterior. A cada época, cada imagem de treino passa por uma transformação aleatória antes de entrar na rede; validação e teste usam sempre a imagem original.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CIFAR-10:</w:t>
      </w:r>
      <w:r>
        <w:t xml:space="preserve"> recorte aleatório de 32×32 depois de acrescentar 4 pixels de borda refletida (o objeto se desloca até 4 px em cada direção) e espelhamento horizontal com probabilidade 0,5.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MNIST:</w:t>
      </w:r>
      <w:r>
        <w:t xml:space="preserve"> rotação de até ±10°, translação de até ±8% da largura (±2,2 px) e escala de 0,9 a 1,1. Não há espelhamento: um dígito espelhado deixa de ser o mesmo dígito.</w:t>
      </w:r>
    </w:p>
    <w:p>
      <w:pPr/>
      <w:r>
        <w:t xml:space="preserve">Recorte e espelhamento são o aumento de dados clássico das CNNs desde a AlexNet (Krizhevsky et al., 2012); pequenas transformações afins em dígitos manuscritos já eram usadas por Simard et al. (2003).</w:t>
      </w:r>
    </w:p>
    <w:p>
      <w:pPr>
        <w:keepNext/>
        <w:jc w:val="center"/>
      </w:pPr>
      <w:r>
        <w:drawing>
          <wp:inline distT="0" distB="0" distL="0" distR="0">
            <wp:extent cx="5759450" cy="3874162"/>
            <wp:docPr id="1" name="Figur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 — </w:t>
      </w:r>
      <w:r>
        <w:t xml:space="preserve">O componente estudado: cada coluna é uma versão sorteada da mesma imagem. A rede nunca vê exatamente a mesma imagem duas vezes.</w:t>
      </w:r>
    </w:p>
    <w:p>
      <w:pPr/>
      <w:r>
        <w:t xml:space="preserve">Por que este componente: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A APS anterior deixou a pergunta em aberto.</w:t>
      </w:r>
      <w:r>
        <w:t xml:space="preserve"> Lá, a MinhaCNN sem regularização perdeu 6,3 pontos percentuais (p.p.) no CIFAR-10 (92,43% → 86,17%). Mas aquela ablação desligou quatro técnicas de uma vez (aumento de dados, dropout, weight decay e label smoothing) e não dizia quanto vinha de cada uma. Isolar uma delas é o passo seguinte natural.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É o único regularizador que mexe nos dados, não no modelo.</w:t>
      </w:r>
      <w:r>
        <w:t xml:space="preserve"> Dropout, weight decay e label smoothing restringem a rede; o aumento de dados acrescenta conhecimento sobre o problema: "um gato deslocado ou espelhado continua sendo um gato". É a técnica que esperávamos ser a mais importante, e uma ablação serve justamente para testar essa expectativa.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A ablação é limpa.</w:t>
      </w:r>
      <w:r>
        <w:t xml:space="preserve"> Ligar e desligar o aumento de dados não muda a arquitetura, o número de parâmetros nem o custo de inferência. A única diferença entre os modelos comparados é o que eles viram no treino — a condição que um estudo de ablação precisa para atribuir o efeito ao componente (Meyes et al., 2019).</w:t>
      </w:r>
    </w:p>
    <w:p>
      <w:pPr/>
      <w:r>
        <w:rPr>
          <w:b/>
        </w:rPr>
        <w:t xml:space="preserve">Hipóteses, escritas antes dos resultados:</w:t>
      </w:r>
      <w:r>
        <w:t xml:space="preserve"> (H1) sem o aumento de dados o erro de teste sobe bastante no CIFAR-10 e pouco no MNIST, que já está perto do limite; (H2) sem ele, a rede decora o treino e a diferença entre treino e teste cresce; (H3) o ganho vem da robustez às transformações usadas no treino (deslocamento, espelhamento, rotação), e não de uma robustez geral — um modelo treinado com aumento de dados não deveria ser mais robusto a ruído, transformação que ele nunca viu.</w:t>
      </w:r>
    </w:p>
    <w:p>
      <w:pPr>
        <w:pStyle w:val="Heading1"/>
      </w:pPr>
      <w:r>
        <w:t xml:space="preserve">2. Protocolo experimental</w:t>
      </w:r>
    </w:p>
    <w:p>
      <w:pPr/>
      <w:r>
        <w:t xml:space="preserve">Usamos o mesmo conjunto de dados, a mesma divisão e as mesmas métricas da APS anterior. </w:t>
      </w:r>
      <w:r>
        <w:rPr>
          <w:b/>
        </w:rPr>
        <w:t xml:space="preserve">Só o aumento de dados muda</w:t>
      </w:r>
      <w:r>
        <w:t xml:space="preserve"> entre as duas configurações: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3473"/>
        <w:gridCol w:w="3666"/>
        <w:gridCol w:w="1931"/>
      </w:tblGrid>
      <w:tr>
        <w:trPr>
          <w:tblHeader/>
          <w:cantSplit/>
        </w:trPr>
        <w:tc>
          <w:tcPr>
            <w:tcW w:w="3473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Item</w:t>
            </w:r>
          </w:p>
        </w:tc>
        <w:tc>
          <w:tcPr>
            <w:tcW w:w="3666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Com aumento de dados</w:t>
            </w:r>
          </w:p>
        </w:tc>
        <w:tc>
          <w:tcPr>
            <w:tcW w:w="1931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Sem aumento de dados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t xml:space="preserve">Arquitetura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t xml:space="preserve">MinhaCNN, 1,18 M parâmetros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t xml:space="preserve">igual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t xml:space="preserve">Batch Normalization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t xml:space="preserve">sim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t xml:space="preserve">sim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t xml:space="preserve">Dropout espacial / dropout na cabeça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t xml:space="preserve">0,1 · 0,1 · 0,2 / 0,3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t xml:space="preserve">igual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t xml:space="preserve">Weight decay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t xml:space="preserve">5×10⁻⁴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t xml:space="preserve">igual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t xml:space="preserve">Label smoothing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t xml:space="preserve">0,1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t xml:space="preserve">igual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t xml:space="preserve">Otimização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t xml:space="preserve">SGD Nesterov, One-Cycle até 0,1, lotes de 128, fp16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t xml:space="preserve">igual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t xml:space="preserve">Épocas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t xml:space="preserve">15 (MNIST) e 40 (CIFAR-10)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t xml:space="preserve">igual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Aumento de dados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recorte + espelhamento (CIFAR-10); rotação, translação e escala (MNIST)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nenhum</w:t>
            </w:r>
          </w:p>
        </w:tc>
      </w:tr>
      <w:tr>
        <w:trPr>
          <w:cantSplit/>
        </w:trPr>
        <w:tc>
          <w:tcPr>
            <w:tcW w:w="3473" w:type="dxa"/>
          </w:tcPr>
          <w:p>
            <w:pPr>
              <w:pStyle w:val="TableText"/>
              <w:jc w:val="left"/>
            </w:pPr>
            <w:r>
              <w:t xml:space="preserve">Sementes</w:t>
            </w:r>
          </w:p>
        </w:tc>
        <w:tc>
          <w:tcPr>
            <w:tcW w:w="3666" w:type="dxa"/>
          </w:tcPr>
          <w:p>
            <w:pPr>
              <w:pStyle w:val="TableText"/>
              <w:jc w:val="left"/>
            </w:pPr>
            <w:r>
              <w:t xml:space="preserve">42, 43, 44</w:t>
            </w:r>
          </w:p>
        </w:tc>
        <w:tc>
          <w:tcPr>
            <w:tcW w:w="1931" w:type="dxa"/>
          </w:tcPr>
          <w:p>
            <w:pPr>
              <w:pStyle w:val="TableText"/>
              <w:jc w:val="left"/>
            </w:pPr>
            <w:r>
              <w:t xml:space="preserve">42, 43, 44</w:t>
            </w:r>
          </w:p>
        </w:tc>
      </w:tr>
    </w:tbl>
    <w:p>
      <w:pPr>
        <w:spacing w:after="60"/>
      </w:pP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Dados:</w:t>
      </w:r>
      <w:r>
        <w:t xml:space="preserve"> treino de 55.000 (MNIST) e 45.000 (CIFAR-10) imagens, validação de 5.000 sorteadas do treino oficial com semente fixa e o teste oficial de 10.000 imagens.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Seleção de modelo:</w:t>
      </w:r>
      <w:r>
        <w:t xml:space="preserve"> o checkpoint de cada execução é a época de maior acurácia na validação; o teste é avaliado uma vez, com esse checkpoint.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Métricas (as da APS anterior):</w:t>
      </w:r>
      <w:r>
        <w:t xml:space="preserve"> acurácia e F1 macro no teste, acurácia no treino medida sem aumento de dados e sem dropout, </w:t>
      </w:r>
      <w:r>
        <w:rPr>
          <w:i/>
        </w:rPr>
        <w:t xml:space="preserve">gap</w:t>
      </w:r>
      <w:r>
        <w:t xml:space="preserve"> (treino − teste), perda de teste (entropia cruzada), acurácia por classe, intervalo de confiança de 95% e teste de McNemar entre os modelos.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Repetições:</w:t>
      </w:r>
      <w:r>
        <w:t xml:space="preserve"> cada configuração principal foi treinada com </w:t>
      </w:r>
      <w:r>
        <w:rPr>
          <w:b/>
        </w:rPr>
        <w:t xml:space="preserve">3 sementes</w:t>
      </w:r>
      <w:r>
        <w:t xml:space="preserve">, para separar o efeito do componente da variação natural entre treinos. A semente 42 com aumento de dados é o próprio modelo da APS anterior (mesmo código e mesmos hiperparâmetros), reaproveitado sem retreinar.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Experimentos complementares (CIFAR-10, semente 42):</w:t>
      </w:r>
      <w:r>
        <w:t xml:space="preserve"> cada parte do aumento sozinha (só espelhamento; só recorte) e a intensidade do recorte (±0, 2, 4, 6 e 8 px, sempre com espelhamento).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Testes de robustez (sem treino novo):</w:t>
      </w:r>
      <w:r>
        <w:t xml:space="preserve"> os 12 modelos principais foram avaliados no teste transformado — deslocado, espelhado, girado, ampliado/reduzido — e, como controle, com ruído gaussiano.</w:t>
      </w:r>
    </w:p>
    <w:p>
      <w:pPr/>
      <w:r>
        <w:t xml:space="preserve">Ao todo foram 15 treinos novos, cerca de 75 minutos de GPU numa RTX 3050 Laptop (6 GB).</w:t>
      </w:r>
    </w:p>
    <w:p>
      <w:pPr>
        <w:pStyle w:val="Heading1"/>
      </w:pPr>
      <w:r>
        <w:t xml:space="preserve">3. Quais os resultados com e sem o componente?</w:t>
      </w:r>
    </w:p>
    <w:p>
      <w:pPr>
        <w:pStyle w:val="Heading2"/>
      </w:pPr>
      <w:r>
        <w:t xml:space="preserve">3.1 Resultado principal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620"/>
        <w:gridCol w:w="2945"/>
        <w:gridCol w:w="1085"/>
        <w:gridCol w:w="1317"/>
        <w:gridCol w:w="620"/>
        <w:gridCol w:w="852"/>
        <w:gridCol w:w="775"/>
        <w:gridCol w:w="856"/>
      </w:tblGrid>
      <w:tr>
        <w:trPr>
          <w:tblHeader/>
          <w:cantSplit/>
        </w:trPr>
        <w:tc>
          <w:tcPr>
            <w:tcW w:w="620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Dataset</w:t>
            </w:r>
          </w:p>
        </w:tc>
        <w:tc>
          <w:tcPr>
            <w:tcW w:w="2945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Configuração</w:t>
            </w:r>
          </w:p>
        </w:tc>
        <w:tc>
          <w:tcPr>
            <w:tcW w:w="1085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Acurácia teste</w:t>
            </w:r>
          </w:p>
        </w:tc>
        <w:tc>
          <w:tcPr>
            <w:tcW w:w="1317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Erros (de 10.000)</w:t>
            </w:r>
          </w:p>
        </w:tc>
        <w:tc>
          <w:tcPr>
            <w:tcW w:w="620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F1 macro</w:t>
            </w:r>
          </w:p>
        </w:tc>
        <w:tc>
          <w:tcPr>
            <w:tcW w:w="852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Acc. treino</w:t>
            </w:r>
          </w:p>
        </w:tc>
        <w:tc>
          <w:tcPr>
            <w:tcW w:w="775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Gap</w:t>
            </w:r>
          </w:p>
        </w:tc>
        <w:tc>
          <w:tcPr>
            <w:tcW w:w="856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Perda teste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TableText"/>
              <w:jc w:val="left"/>
            </w:pPr>
            <w:r>
              <w:t xml:space="preserve">MNIST</w:t>
            </w:r>
          </w:p>
        </w:tc>
        <w:tc>
          <w:tcPr>
            <w:tcW w:w="2945" w:type="dxa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Com aumento de dados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99,68% ± 0,02</w:t>
            </w:r>
          </w:p>
        </w:tc>
        <w:tc>
          <w:tcPr>
            <w:tcW w:w="1317" w:type="dxa"/>
          </w:tcPr>
          <w:p>
            <w:pPr>
              <w:pStyle w:val="TableText"/>
              <w:jc w:val="right"/>
            </w:pPr>
            <w:r>
              <w:t xml:space="preserve">32 ± 2</w:t>
            </w:r>
          </w:p>
        </w:tc>
        <w:tc>
          <w:tcPr>
            <w:tcW w:w="620" w:type="dxa"/>
          </w:tcPr>
          <w:p>
            <w:pPr>
              <w:pStyle w:val="TableText"/>
              <w:jc w:val="right"/>
            </w:pPr>
            <w:r>
              <w:t xml:space="preserve">0,9968</w:t>
            </w:r>
          </w:p>
        </w:tc>
        <w:tc>
          <w:tcPr>
            <w:tcW w:w="852" w:type="dxa"/>
          </w:tcPr>
          <w:p>
            <w:pPr>
              <w:pStyle w:val="TableText"/>
              <w:jc w:val="right"/>
            </w:pPr>
            <w:r>
              <w:t xml:space="preserve">99,84%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0,15 p.p.</w:t>
            </w:r>
          </w:p>
        </w:tc>
        <w:tc>
          <w:tcPr>
            <w:tcW w:w="856" w:type="dxa"/>
          </w:tcPr>
          <w:p>
            <w:pPr>
              <w:pStyle w:val="TableText"/>
              <w:jc w:val="right"/>
            </w:pPr>
            <w:r>
              <w:t xml:space="preserve">0,097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TableText"/>
              <w:jc w:val="left"/>
            </w:pPr>
            <w:r>
              <w:t xml:space="preserve">MNIST</w:t>
            </w:r>
          </w:p>
        </w:tc>
        <w:tc>
          <w:tcPr>
            <w:tcW w:w="2945" w:type="dxa"/>
          </w:tcPr>
          <w:p>
            <w:pPr>
              <w:pStyle w:val="TableText"/>
              <w:jc w:val="left"/>
            </w:pPr>
            <w:r>
              <w:t xml:space="preserve">Sem aumento de dados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99,70% ± 0,02</w:t>
            </w:r>
          </w:p>
        </w:tc>
        <w:tc>
          <w:tcPr>
            <w:tcW w:w="1317" w:type="dxa"/>
          </w:tcPr>
          <w:p>
            <w:pPr>
              <w:pStyle w:val="TableText"/>
              <w:jc w:val="right"/>
            </w:pPr>
            <w:r>
              <w:t xml:space="preserve">30 ± 2</w:t>
            </w:r>
          </w:p>
        </w:tc>
        <w:tc>
          <w:tcPr>
            <w:tcW w:w="620" w:type="dxa"/>
          </w:tcPr>
          <w:p>
            <w:pPr>
              <w:pStyle w:val="TableText"/>
              <w:jc w:val="right"/>
            </w:pPr>
            <w:r>
              <w:t xml:space="preserve">0,9970</w:t>
            </w:r>
          </w:p>
        </w:tc>
        <w:tc>
          <w:tcPr>
            <w:tcW w:w="852" w:type="dxa"/>
          </w:tcPr>
          <w:p>
            <w:pPr>
              <w:pStyle w:val="TableText"/>
              <w:jc w:val="right"/>
            </w:pPr>
            <w:r>
              <w:t xml:space="preserve">99,97%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0,26 p.p.</w:t>
            </w:r>
          </w:p>
        </w:tc>
        <w:tc>
          <w:tcPr>
            <w:tcW w:w="856" w:type="dxa"/>
          </w:tcPr>
          <w:p>
            <w:pPr>
              <w:pStyle w:val="TableText"/>
              <w:jc w:val="right"/>
            </w:pPr>
            <w:r>
              <w:t xml:space="preserve">0,097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2945" w:type="dxa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Com aumento de dados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92,22% ± 0,18</w:t>
            </w:r>
          </w:p>
        </w:tc>
        <w:tc>
          <w:tcPr>
            <w:tcW w:w="1317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778 ± 18</w:t>
            </w:r>
          </w:p>
        </w:tc>
        <w:tc>
          <w:tcPr>
            <w:tcW w:w="620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0,9219</w:t>
            </w:r>
          </w:p>
        </w:tc>
        <w:tc>
          <w:tcPr>
            <w:tcW w:w="852" w:type="dxa"/>
          </w:tcPr>
          <w:p>
            <w:pPr>
              <w:pStyle w:val="TableText"/>
              <w:jc w:val="right"/>
            </w:pPr>
            <w:r>
              <w:t xml:space="preserve">98,19%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5,96 p.p.</w:t>
            </w:r>
          </w:p>
        </w:tc>
        <w:tc>
          <w:tcPr>
            <w:tcW w:w="856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0,303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2945" w:type="dxa"/>
          </w:tcPr>
          <w:p>
            <w:pPr>
              <w:pStyle w:val="TableText"/>
              <w:jc w:val="left"/>
            </w:pPr>
            <w:r>
              <w:t xml:space="preserve">Sem aumento de dados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89,97% ± 0,20</w:t>
            </w:r>
          </w:p>
        </w:tc>
        <w:tc>
          <w:tcPr>
            <w:tcW w:w="1317" w:type="dxa"/>
          </w:tcPr>
          <w:p>
            <w:pPr>
              <w:pStyle w:val="TableText"/>
              <w:jc w:val="right"/>
            </w:pPr>
            <w:r>
              <w:t xml:space="preserve">1.003 ± 20</w:t>
            </w:r>
          </w:p>
        </w:tc>
        <w:tc>
          <w:tcPr>
            <w:tcW w:w="620" w:type="dxa"/>
          </w:tcPr>
          <w:p>
            <w:pPr>
              <w:pStyle w:val="TableText"/>
              <w:jc w:val="right"/>
            </w:pPr>
            <w:r>
              <w:t xml:space="preserve">0,8992</w:t>
            </w:r>
          </w:p>
        </w:tc>
        <w:tc>
          <w:tcPr>
            <w:tcW w:w="852" w:type="dxa"/>
          </w:tcPr>
          <w:p>
            <w:pPr>
              <w:pStyle w:val="TableText"/>
              <w:jc w:val="right"/>
            </w:pPr>
            <w:r>
              <w:t xml:space="preserve">100,00%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10,03 p.p.</w:t>
            </w:r>
          </w:p>
        </w:tc>
        <w:tc>
          <w:tcPr>
            <w:tcW w:w="856" w:type="dxa"/>
          </w:tcPr>
          <w:p>
            <w:pPr>
              <w:pStyle w:val="TableText"/>
              <w:jc w:val="right"/>
            </w:pPr>
            <w:r>
              <w:t xml:space="preserve">0,389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2945" w:type="dxa"/>
          </w:tcPr>
          <w:p>
            <w:pPr>
              <w:pStyle w:val="TableText"/>
              <w:jc w:val="left"/>
            </w:pPr>
            <w:r>
              <w:t xml:space="preserve">Sem nenhuma regularização (APS anterior)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86,17%</w:t>
            </w:r>
          </w:p>
        </w:tc>
        <w:tc>
          <w:tcPr>
            <w:tcW w:w="1317" w:type="dxa"/>
          </w:tcPr>
          <w:p>
            <w:pPr>
              <w:pStyle w:val="TableText"/>
              <w:jc w:val="right"/>
            </w:pPr>
            <w:r>
              <w:t xml:space="preserve">1.383</w:t>
            </w:r>
          </w:p>
        </w:tc>
        <w:tc>
          <w:tcPr>
            <w:tcW w:w="620" w:type="dxa"/>
          </w:tcPr>
          <w:p>
            <w:pPr>
              <w:pStyle w:val="TableText"/>
              <w:jc w:val="right"/>
            </w:pPr>
            <w:r>
              <w:t xml:space="preserve">0,8616</w:t>
            </w:r>
          </w:p>
        </w:tc>
        <w:tc>
          <w:tcPr>
            <w:tcW w:w="852" w:type="dxa"/>
          </w:tcPr>
          <w:p>
            <w:pPr>
              <w:pStyle w:val="TableText"/>
              <w:jc w:val="right"/>
            </w:pPr>
            <w:r>
              <w:t xml:space="preserve">100,00%</w:t>
            </w:r>
          </w:p>
        </w:tc>
        <w:tc>
          <w:tcPr>
            <w:tcW w:w="775" w:type="dxa"/>
          </w:tcPr>
          <w:p>
            <w:pPr>
              <w:pStyle w:val="TableText"/>
              <w:jc w:val="right"/>
            </w:pPr>
            <w:r>
              <w:t xml:space="preserve">13,83 p.p.</w:t>
            </w:r>
          </w:p>
        </w:tc>
        <w:tc>
          <w:tcPr>
            <w:tcW w:w="856" w:type="dxa"/>
          </w:tcPr>
          <w:p>
            <w:pPr>
              <w:pStyle w:val="TableText"/>
              <w:jc w:val="right"/>
            </w:pPr>
            <w:r>
              <w:t xml:space="preserve">0,765</w:t>
            </w:r>
          </w:p>
        </w:tc>
      </w:tr>
    </w:tbl>
    <w:p>
      <w:pPr>
        <w:spacing w:after="60"/>
      </w:pPr>
    </w:p>
    <w:p>
      <w:pPr/>
      <w:r>
        <w:rPr>
          <w:i/>
        </w:rPr>
        <w:t xml:space="preserve">Média ± desvio-padrão de 3 sementes (42, 43 e 44); a última linha tem uma semente. Acc. treino é medida no treino sem aumento de dados e sem dropout; gap = acc. treino − acc. teste. Valores de cada semente em </w:t>
      </w:r>
      <w:r>
        <w:rPr>
          <w:rFonts w:ascii="Consolas" w:hAnsi="Consolas"/>
          <w:i/>
          <w:sz w:val="19"/>
        </w:rPr>
        <w:t xml:space="preserve">results/ablacao/resumo_ablacao.csv</w:t>
      </w:r>
      <w:r>
        <w:rPr>
          <w:i/>
        </w:rPr>
        <w:t xml:space="preserve">.</w:t>
      </w:r>
    </w:p>
    <w:p>
      <w:pPr>
        <w:keepNext/>
        <w:jc w:val="center"/>
      </w:pPr>
      <w:r>
        <w:drawing>
          <wp:inline distT="0" distB="0" distL="0" distR="0">
            <wp:extent cx="5759450" cy="2115146"/>
            <wp:docPr id="2" name="Figur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1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2 — </w:t>
      </w:r>
      <w:r>
        <w:t xml:space="preserve">Erro no teste com e sem aumento de dados (menor é melhor). Os pontos pretos são as sementes: no CIFAR-10 as duas configurações não se sobrepõem; no MNIST elas se misturam.</w:t>
      </w:r>
    </w:p>
    <w:p>
      <w:pPr/>
      <w:r>
        <w:rPr>
          <w:b/>
        </w:rPr>
        <w:t xml:space="preserve">No CIFAR-10 o componente faz muita diferença.</w:t>
      </w:r>
      <w:r>
        <w:t xml:space="preserve"> Sem o aumento de dados a acurácia cai 2,26 p.p. (92,22% → 89,97%) e o número de erros sobe de 778 para 1.003: tirar o componente faz a rede errar 29% a mais. A queda é dez vezes maior que a variação entre sementes (desvio-padrão de 0,2 p.p.) e as três sementes "sem" ficaram abaixo das três "com". O teste de McNemar compara os dois modelos imagem a imagem, nas mesmas 10.000 fotos: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843"/>
        <w:gridCol w:w="738"/>
        <w:gridCol w:w="3163"/>
        <w:gridCol w:w="3163"/>
        <w:gridCol w:w="1163"/>
      </w:tblGrid>
      <w:tr>
        <w:trPr>
          <w:tblHeader/>
          <w:cantSplit/>
        </w:trPr>
        <w:tc>
          <w:tcPr>
            <w:tcW w:w="843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Dataset</w:t>
            </w:r>
          </w:p>
        </w:tc>
        <w:tc>
          <w:tcPr>
            <w:tcW w:w="738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Semente</w:t>
            </w:r>
          </w:p>
        </w:tc>
        <w:tc>
          <w:tcPr>
            <w:tcW w:w="3163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Só o modelo com aumento acerta</w:t>
            </w:r>
          </w:p>
        </w:tc>
        <w:tc>
          <w:tcPr>
            <w:tcW w:w="3163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Só o modelo sem aumento acerta</w:t>
            </w:r>
          </w:p>
        </w:tc>
        <w:tc>
          <w:tcPr>
            <w:tcW w:w="1163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 (McNemar)</w:t>
            </w:r>
          </w:p>
        </w:tc>
      </w:tr>
      <w:tr>
        <w:trPr>
          <w:cantSplit/>
        </w:trPr>
        <w:tc>
          <w:tcPr>
            <w:tcW w:w="843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738" w:type="dxa"/>
          </w:tcPr>
          <w:p>
            <w:pPr>
              <w:pStyle w:val="TableText"/>
              <w:jc w:val="right"/>
            </w:pPr>
            <w:r>
              <w:t xml:space="preserve">42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485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248</w:t>
            </w:r>
          </w:p>
        </w:tc>
        <w:tc>
          <w:tcPr>
            <w:tcW w:w="1163" w:type="dxa"/>
          </w:tcPr>
          <w:p>
            <w:pPr>
              <w:pStyle w:val="TableText"/>
              <w:jc w:val="right"/>
            </w:pPr>
            <w:r>
              <w:t xml:space="preserve">1,4 × 10⁻¹⁸</w:t>
            </w:r>
          </w:p>
        </w:tc>
      </w:tr>
      <w:tr>
        <w:trPr>
          <w:cantSplit/>
        </w:trPr>
        <w:tc>
          <w:tcPr>
            <w:tcW w:w="843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738" w:type="dxa"/>
          </w:tcPr>
          <w:p>
            <w:pPr>
              <w:pStyle w:val="TableText"/>
              <w:jc w:val="right"/>
            </w:pPr>
            <w:r>
              <w:t xml:space="preserve">43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486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247</w:t>
            </w:r>
          </w:p>
        </w:tc>
        <w:tc>
          <w:tcPr>
            <w:tcW w:w="1163" w:type="dxa"/>
          </w:tcPr>
          <w:p>
            <w:pPr>
              <w:pStyle w:val="TableText"/>
              <w:jc w:val="right"/>
            </w:pPr>
            <w:r>
              <w:t xml:space="preserve">7,3 × 10⁻¹⁹</w:t>
            </w:r>
          </w:p>
        </w:tc>
      </w:tr>
      <w:tr>
        <w:trPr>
          <w:cantSplit/>
        </w:trPr>
        <w:tc>
          <w:tcPr>
            <w:tcW w:w="843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738" w:type="dxa"/>
          </w:tcPr>
          <w:p>
            <w:pPr>
              <w:pStyle w:val="TableText"/>
              <w:jc w:val="right"/>
            </w:pPr>
            <w:r>
              <w:t xml:space="preserve">44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451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250</w:t>
            </w:r>
          </w:p>
        </w:tc>
        <w:tc>
          <w:tcPr>
            <w:tcW w:w="1163" w:type="dxa"/>
          </w:tcPr>
          <w:p>
            <w:pPr>
              <w:pStyle w:val="TableText"/>
              <w:jc w:val="right"/>
            </w:pPr>
            <w:r>
              <w:t xml:space="preserve">2,8 × 10⁻¹⁴</w:t>
            </w:r>
          </w:p>
        </w:tc>
      </w:tr>
      <w:tr>
        <w:trPr>
          <w:cantSplit/>
        </w:trPr>
        <w:tc>
          <w:tcPr>
            <w:tcW w:w="843" w:type="dxa"/>
          </w:tcPr>
          <w:p>
            <w:pPr>
              <w:pStyle w:val="TableText"/>
              <w:jc w:val="left"/>
            </w:pPr>
            <w:r>
              <w:t xml:space="preserve">MNIST</w:t>
            </w:r>
          </w:p>
        </w:tc>
        <w:tc>
          <w:tcPr>
            <w:tcW w:w="738" w:type="dxa"/>
          </w:tcPr>
          <w:p>
            <w:pPr>
              <w:pStyle w:val="TableText"/>
              <w:jc w:val="right"/>
            </w:pPr>
            <w:r>
              <w:t xml:space="preserve">42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13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17</w:t>
            </w:r>
          </w:p>
        </w:tc>
        <w:tc>
          <w:tcPr>
            <w:tcW w:w="1163" w:type="dxa"/>
          </w:tcPr>
          <w:p>
            <w:pPr>
              <w:pStyle w:val="TableText"/>
              <w:jc w:val="right"/>
            </w:pPr>
            <w:r>
              <w:t xml:space="preserve">0,58</w:t>
            </w:r>
          </w:p>
        </w:tc>
      </w:tr>
      <w:tr>
        <w:trPr>
          <w:cantSplit/>
        </w:trPr>
        <w:tc>
          <w:tcPr>
            <w:tcW w:w="843" w:type="dxa"/>
          </w:tcPr>
          <w:p>
            <w:pPr>
              <w:pStyle w:val="TableText"/>
              <w:jc w:val="left"/>
            </w:pPr>
            <w:r>
              <w:t xml:space="preserve">MNIST</w:t>
            </w:r>
          </w:p>
        </w:tc>
        <w:tc>
          <w:tcPr>
            <w:tcW w:w="738" w:type="dxa"/>
          </w:tcPr>
          <w:p>
            <w:pPr>
              <w:pStyle w:val="TableText"/>
              <w:jc w:val="right"/>
            </w:pPr>
            <w:r>
              <w:t xml:space="preserve">43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11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13</w:t>
            </w:r>
          </w:p>
        </w:tc>
        <w:tc>
          <w:tcPr>
            <w:tcW w:w="1163" w:type="dxa"/>
          </w:tcPr>
          <w:p>
            <w:pPr>
              <w:pStyle w:val="TableText"/>
              <w:jc w:val="right"/>
            </w:pPr>
            <w:r>
              <w:t xml:space="preserve">0,84</w:t>
            </w:r>
          </w:p>
        </w:tc>
      </w:tr>
      <w:tr>
        <w:trPr>
          <w:cantSplit/>
        </w:trPr>
        <w:tc>
          <w:tcPr>
            <w:tcW w:w="843" w:type="dxa"/>
          </w:tcPr>
          <w:p>
            <w:pPr>
              <w:pStyle w:val="TableText"/>
              <w:jc w:val="left"/>
            </w:pPr>
            <w:r>
              <w:t xml:space="preserve">MNIST</w:t>
            </w:r>
          </w:p>
        </w:tc>
        <w:tc>
          <w:tcPr>
            <w:tcW w:w="738" w:type="dxa"/>
          </w:tcPr>
          <w:p>
            <w:pPr>
              <w:pStyle w:val="TableText"/>
              <w:jc w:val="right"/>
            </w:pPr>
            <w:r>
              <w:t xml:space="preserve">44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3163" w:type="dxa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163" w:type="dxa"/>
          </w:tcPr>
          <w:p>
            <w:pPr>
              <w:pStyle w:val="TableText"/>
              <w:jc w:val="right"/>
            </w:pPr>
            <w:r>
              <w:t xml:space="preserve">1,00</w:t>
            </w:r>
          </w:p>
        </w:tc>
      </w:tr>
    </w:tbl>
    <w:p>
      <w:pPr>
        <w:spacing w:after="60"/>
      </w:pPr>
    </w:p>
    <w:p>
      <w:pPr/>
      <w:r>
        <w:t xml:space="preserve">No CIFAR-10, em cada semente, as imagens que só o modelo com aumento de dados acerta são quase o dobro das que só o modelo sem ele acerta. O teste t de Welch sobre as três sementes dá o mesmo veredito (p = 0,0001).</w:t>
      </w:r>
    </w:p>
    <w:p>
      <w:pPr/>
      <w:r>
        <w:rPr>
          <w:b/>
        </w:rPr>
        <w:t xml:space="preserve">No MNIST não há diferença.</w:t>
      </w:r>
      <w:r>
        <w:t xml:space="preserve"> As médias diferem 0,02 p.p. (2 imagens em 10.000) a favor do modelo </w:t>
      </w:r>
      <w:r>
        <w:rPr>
          <w:i/>
        </w:rPr>
        <w:t xml:space="preserve">sem</w:t>
      </w:r>
      <w:r>
        <w:t xml:space="preserve"> aumento de dados, bem dentro do ruído: o intervalo de confiança de 95% de uma acurácia de 99,7% em 10.000 imagens é de ±0,11 p.p., e nenhum McNemar chega perto de ser significativo (p ≥ 0,58). A hipótese H1 se confirmou, com um MNIST ainda mais saturado do que esperávamos: ali o componente não ajuda nem atrapalha a acurácia de teste. A seção 4.2 mostra o que ele muda no MNIST.</w:t>
      </w:r>
    </w:p>
    <w:p>
      <w:pPr>
        <w:pStyle w:val="Heading2"/>
      </w:pPr>
      <w:r>
        <w:t xml:space="preserve">3.2 Sobreajuste: o que acontece no treino</w:t>
      </w:r>
    </w:p>
    <w:p>
      <w:pPr>
        <w:keepNext/>
        <w:jc w:val="center"/>
      </w:pPr>
      <w:r>
        <w:drawing>
          <wp:inline distT="0" distB="0" distL="0" distR="0">
            <wp:extent cx="5759450" cy="4110699"/>
            <wp:docPr id="3" name="Figura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1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3 — </w:t>
      </w:r>
      <w:r>
        <w:t xml:space="preserve">Acurácia de treino (linha clara) e de validação (linha escura) ao longo das épocas, média de 3 sementes. Sem aumento de dados, no CIFAR-10, o treino chega a ~100% e a validação para em ~90%.</w:t>
      </w:r>
    </w:p>
    <w:p>
      <w:pPr/>
      <w:r>
        <w:t xml:space="preserve">Sem aumento de dados, a MinhaCNN </w:t>
      </w:r>
      <w:r>
        <w:rPr>
          <w:b/>
        </w:rPr>
        <w:t xml:space="preserve">decora o CIFAR-10</w:t>
      </w:r>
      <w:r>
        <w:t xml:space="preserve">: a acurácia de treino chega a 100,00% nas três sementes, enquanto a de teste fica em 90%. Não é surpresa: redes desse porte conseguem decorar até rótulos sorteados ao acaso (Zhang et al., 2017). O gap dobra para 10,0 p.p., contra 6,0 com o componente — hipótese H2 confirmada. Com aumento de dados a rede quase nunca vê a mesma versão de uma imagem duas vezes; depois de 40 épocas ela acerta 98,2% do treino limpo e a melhor época de validação é a última (época 40 em duas das três sementes): ela ainda estava aprendendo quando o treino acabou.</w:t>
      </w:r>
    </w:p>
    <w:p>
      <w:pPr/>
      <w:r>
        <w:t xml:space="preserve">No MNIST o efeito é pequeno: sem aumento de dados a rede chega a 99,97% no treino e o gap passa de 0,15 para 0,26 p.p., mas a validação fica igual. O MNIST tem 55 mil imagens de um problema simples, e o dropout, o weight decay e o label smoothing já seguram o sobreajuste.</w:t>
      </w:r>
    </w:p>
    <w:p>
      <w:pPr>
        <w:keepNext/>
        <w:jc w:val="center"/>
      </w:pPr>
      <w:r>
        <w:drawing>
          <wp:inline distT="0" distB="0" distL="0" distR="0">
            <wp:extent cx="5759450" cy="2246297"/>
            <wp:docPr id="4" name="Figura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4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4 — </w:t>
      </w:r>
      <w:r>
        <w:t xml:space="preserve">Perda de validação por época (média de 3 sementes). No CIFAR-10 as curvas se separam a partir da época ~25 e terminam em 0,291 com aumento de dados e 0,373 sem.</w:t>
      </w:r>
    </w:p>
    <w:p>
      <w:pPr/>
      <w:r>
        <w:t xml:space="preserve">A perda de validação conta a mesma história. No CIFAR-10 as duas curvas andam juntas por cerca de 25 épocas e depois se separam: sem aumento de dados a perda de validação passa a cair bem mais devagar, enquanto a rede continua melhorando no treino até decorá-lo (99% de acerto no treino por volta da época 33). A perda não chega a subir, como subia no modelo sem nenhuma regularização da APS anterior (perda de teste de 0,765): o label smoothing, o dropout e o weight decay, que continuam ligados, impedem que a rede fique confiante demais nos erros.</w:t>
      </w:r>
    </w:p>
    <w:p>
      <w:pPr>
        <w:pStyle w:val="Heading2"/>
      </w:pPr>
      <w:r>
        <w:t xml:space="preserve">3.3 Quanto da "regularização" da APS anterior é aumento de dados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5144"/>
        <w:gridCol w:w="1895"/>
        <w:gridCol w:w="2031"/>
      </w:tblGrid>
      <w:tr>
        <w:trPr>
          <w:tblHeader/>
          <w:cantSplit/>
        </w:trPr>
        <w:tc>
          <w:tcPr>
            <w:tcW w:w="5144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MinhaCNN no CIFAR-10 (semente 42)</w:t>
            </w:r>
          </w:p>
        </w:tc>
        <w:tc>
          <w:tcPr>
            <w:tcW w:w="1895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Acurácia teste</w:t>
            </w:r>
          </w:p>
        </w:tc>
        <w:tc>
          <w:tcPr>
            <w:tcW w:w="2031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Queda acumulada</w:t>
            </w:r>
          </w:p>
        </w:tc>
      </w:tr>
      <w:tr>
        <w:trPr>
          <w:cantSplit/>
        </w:trPr>
        <w:tc>
          <w:tcPr>
            <w:tcW w:w="5144" w:type="dxa"/>
          </w:tcPr>
          <w:p>
            <w:pPr>
              <w:pStyle w:val="TableText"/>
              <w:jc w:val="left"/>
            </w:pPr>
            <w:r>
              <w:t xml:space="preserve">Com todas as técnicas de regularização</w:t>
            </w:r>
          </w:p>
        </w:tc>
        <w:tc>
          <w:tcPr>
            <w:tcW w:w="1895" w:type="dxa"/>
          </w:tcPr>
          <w:p>
            <w:pPr>
              <w:pStyle w:val="TableText"/>
              <w:jc w:val="right"/>
            </w:pPr>
            <w:r>
              <w:t xml:space="preserve">92,43%</w:t>
            </w:r>
          </w:p>
        </w:tc>
        <w:tc>
          <w:tcPr>
            <w:tcW w:w="2031" w:type="dxa"/>
          </w:tcPr>
          <w:p>
            <w:pPr>
              <w:pStyle w:val="TableText"/>
              <w:jc w:val="righ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144" w:type="dxa"/>
          </w:tcPr>
          <w:p>
            <w:pPr>
              <w:pStyle w:val="TableText"/>
              <w:jc w:val="left"/>
            </w:pPr>
            <w:r>
              <w:t xml:space="preserve">Sem aumento de dados (dropout, weight decay e label smoothing ligados)</w:t>
            </w:r>
          </w:p>
        </w:tc>
        <w:tc>
          <w:tcPr>
            <w:tcW w:w="1895" w:type="dxa"/>
          </w:tcPr>
          <w:p>
            <w:pPr>
              <w:pStyle w:val="TableText"/>
              <w:jc w:val="right"/>
            </w:pPr>
            <w:r>
              <w:t xml:space="preserve">90,06%</w:t>
            </w:r>
          </w:p>
        </w:tc>
        <w:tc>
          <w:tcPr>
            <w:tcW w:w="2031" w:type="dxa"/>
          </w:tcPr>
          <w:p>
            <w:pPr>
              <w:pStyle w:val="TableText"/>
              <w:jc w:val="right"/>
            </w:pPr>
            <w:r>
              <w:t xml:space="preserve">−2,37 p.p.</w:t>
            </w:r>
          </w:p>
        </w:tc>
      </w:tr>
      <w:tr>
        <w:trPr>
          <w:cantSplit/>
        </w:trPr>
        <w:tc>
          <w:tcPr>
            <w:tcW w:w="5144" w:type="dxa"/>
          </w:tcPr>
          <w:p>
            <w:pPr>
              <w:pStyle w:val="TableText"/>
              <w:jc w:val="left"/>
            </w:pPr>
            <w:r>
              <w:t xml:space="preserve">Sem nenhuma regularização</w:t>
            </w:r>
          </w:p>
        </w:tc>
        <w:tc>
          <w:tcPr>
            <w:tcW w:w="1895" w:type="dxa"/>
          </w:tcPr>
          <w:p>
            <w:pPr>
              <w:pStyle w:val="TableText"/>
              <w:jc w:val="right"/>
            </w:pPr>
            <w:r>
              <w:t xml:space="preserve">86,17%</w:t>
            </w:r>
          </w:p>
        </w:tc>
        <w:tc>
          <w:tcPr>
            <w:tcW w:w="2031" w:type="dxa"/>
          </w:tcPr>
          <w:p>
            <w:pPr>
              <w:pStyle w:val="TableText"/>
              <w:jc w:val="right"/>
            </w:pPr>
            <w:r>
              <w:t xml:space="preserve">−6,26 p.p.</w:t>
            </w:r>
          </w:p>
        </w:tc>
      </w:tr>
    </w:tbl>
    <w:p>
      <w:pPr>
        <w:spacing w:after="60"/>
      </w:pPr>
    </w:p>
    <w:p>
      <w:pPr/>
      <w:r>
        <w:t xml:space="preserve">A APS anterior mediu que a regularização valia 6,3 p.p. no CIFAR-10. Tirar só o aumento de dados custa 2,4 desses pontos: </w:t>
      </w:r>
      <w:r>
        <w:rPr>
          <w:b/>
        </w:rPr>
        <w:t xml:space="preserve">38% da queda</w:t>
      </w:r>
      <w:r>
        <w:t xml:space="preserve">. Os outros 62% vêm de dropout, weight decay e label smoothing juntos. O aumento de dados é importante, mas não é a única técnica que importa.</w:t>
      </w:r>
    </w:p>
    <w:p>
      <w:pPr>
        <w:pStyle w:val="Heading1"/>
      </w:pPr>
      <w:r>
        <w:t xml:space="preserve">4. Por que o componente faz diferença (desafio)</w:t>
      </w:r>
    </w:p>
    <w:p>
      <w:pPr/>
      <w:r>
        <w:t xml:space="preserve">Os gráficos desta seção mostram de onde vem a influência do componente: qual parte do aumento de dados rende mais, quanto aumentar e o que exatamente a rede aprende com ele.</w:t>
      </w:r>
    </w:p>
    <w:p>
      <w:pPr>
        <w:pStyle w:val="Heading2"/>
      </w:pPr>
      <w:r>
        <w:t xml:space="preserve">4.1 Cada parte do aumento de dados e a intensidade do recorte</w:t>
      </w:r>
    </w:p>
    <w:p>
      <w:pPr>
        <w:keepNext/>
        <w:jc w:val="center"/>
      </w:pPr>
      <w:r>
        <w:drawing>
          <wp:inline distT="0" distB="0" distL="0" distR="0">
            <wp:extent cx="5759450" cy="2176536"/>
            <wp:docPr id="5" name="Figura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5 — </w:t>
      </w:r>
      <w:r>
        <w:t xml:space="preserve">À esquerda, o erro no teste do CIFAR-10 com cada parte do aumento de dados ligada sozinha. À direita, o erro com recortes de intensidades diferentes, sempre com espelhamento.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3687"/>
        <w:gridCol w:w="1395"/>
        <w:gridCol w:w="1993"/>
        <w:gridCol w:w="1096"/>
        <w:gridCol w:w="899"/>
      </w:tblGrid>
      <w:tr>
        <w:trPr>
          <w:tblHeader/>
          <w:cantSplit/>
        </w:trPr>
        <w:tc>
          <w:tcPr>
            <w:tcW w:w="3687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CIFAR-10 (semente 42)</w:t>
            </w:r>
          </w:p>
        </w:tc>
        <w:tc>
          <w:tcPr>
            <w:tcW w:w="1395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Acurácia teste</w:t>
            </w:r>
          </w:p>
        </w:tc>
        <w:tc>
          <w:tcPr>
            <w:tcW w:w="1993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Ganho sobre "nenhum"</w:t>
            </w:r>
          </w:p>
        </w:tc>
        <w:tc>
          <w:tcPr>
            <w:tcW w:w="1096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Acc. treino</w:t>
            </w:r>
          </w:p>
        </w:tc>
        <w:tc>
          <w:tcPr>
            <w:tcW w:w="899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Gap</w:t>
            </w:r>
          </w:p>
        </w:tc>
      </w:tr>
      <w:tr>
        <w:trPr>
          <w:cantSplit/>
        </w:trPr>
        <w:tc>
          <w:tcPr>
            <w:tcW w:w="3687" w:type="dxa"/>
          </w:tcPr>
          <w:p>
            <w:pPr>
              <w:pStyle w:val="TableText"/>
              <w:jc w:val="left"/>
            </w:pPr>
            <w:r>
              <w:t xml:space="preserve">Nenhum aumento</w:t>
            </w:r>
          </w:p>
        </w:tc>
        <w:tc>
          <w:tcPr>
            <w:tcW w:w="1395" w:type="dxa"/>
          </w:tcPr>
          <w:p>
            <w:pPr>
              <w:pStyle w:val="TableText"/>
              <w:jc w:val="right"/>
            </w:pPr>
            <w:r>
              <w:t xml:space="preserve">90,06%</w:t>
            </w:r>
          </w:p>
        </w:tc>
        <w:tc>
          <w:tcPr>
            <w:tcW w:w="1993" w:type="dxa"/>
          </w:tcPr>
          <w:p>
            <w:pPr>
              <w:pStyle w:val="TableText"/>
              <w:jc w:val="right"/>
            </w:pPr>
            <w:r>
              <w:t xml:space="preserve">—</w:t>
            </w:r>
          </w:p>
        </w:tc>
        <w:tc>
          <w:tcPr>
            <w:tcW w:w="1096" w:type="dxa"/>
          </w:tcPr>
          <w:p>
            <w:pPr>
              <w:pStyle w:val="TableText"/>
              <w:jc w:val="right"/>
            </w:pPr>
            <w:r>
              <w:t xml:space="preserve">100,00%</w:t>
            </w:r>
          </w:p>
        </w:tc>
        <w:tc>
          <w:tcPr>
            <w:tcW w:w="899" w:type="dxa"/>
          </w:tcPr>
          <w:p>
            <w:pPr>
              <w:pStyle w:val="TableText"/>
              <w:jc w:val="right"/>
            </w:pPr>
            <w:r>
              <w:t xml:space="preserve">9,94 p.p.</w:t>
            </w:r>
          </w:p>
        </w:tc>
      </w:tr>
      <w:tr>
        <w:trPr>
          <w:cantSplit/>
        </w:trPr>
        <w:tc>
          <w:tcPr>
            <w:tcW w:w="3687" w:type="dxa"/>
          </w:tcPr>
          <w:p>
            <w:pPr>
              <w:pStyle w:val="TableText"/>
              <w:jc w:val="left"/>
            </w:pPr>
            <w:r>
              <w:t xml:space="preserve">Só espelhamento</w:t>
            </w:r>
          </w:p>
        </w:tc>
        <w:tc>
          <w:tcPr>
            <w:tcW w:w="1395" w:type="dxa"/>
          </w:tcPr>
          <w:p>
            <w:pPr>
              <w:pStyle w:val="TableText"/>
              <w:jc w:val="right"/>
            </w:pPr>
            <w:r>
              <w:t xml:space="preserve">91,86%</w:t>
            </w:r>
          </w:p>
        </w:tc>
        <w:tc>
          <w:tcPr>
            <w:tcW w:w="1993" w:type="dxa"/>
          </w:tcPr>
          <w:p>
            <w:pPr>
              <w:pStyle w:val="TableText"/>
              <w:jc w:val="right"/>
            </w:pPr>
            <w:r>
              <w:t xml:space="preserve">+1,80 p.p.</w:t>
            </w:r>
          </w:p>
        </w:tc>
        <w:tc>
          <w:tcPr>
            <w:tcW w:w="1096" w:type="dxa"/>
          </w:tcPr>
          <w:p>
            <w:pPr>
              <w:pStyle w:val="TableText"/>
              <w:jc w:val="right"/>
            </w:pPr>
            <w:r>
              <w:t xml:space="preserve">99,88%</w:t>
            </w:r>
          </w:p>
        </w:tc>
        <w:tc>
          <w:tcPr>
            <w:tcW w:w="899" w:type="dxa"/>
          </w:tcPr>
          <w:p>
            <w:pPr>
              <w:pStyle w:val="TableText"/>
              <w:jc w:val="right"/>
            </w:pPr>
            <w:r>
              <w:t xml:space="preserve">8,02 p.p.</w:t>
            </w:r>
          </w:p>
        </w:tc>
      </w:tr>
      <w:tr>
        <w:trPr>
          <w:cantSplit/>
        </w:trPr>
        <w:tc>
          <w:tcPr>
            <w:tcW w:w="3687" w:type="dxa"/>
          </w:tcPr>
          <w:p>
            <w:pPr>
              <w:pStyle w:val="TableText"/>
              <w:jc w:val="left"/>
            </w:pPr>
            <w:r>
              <w:t xml:space="preserve">Só recorte (±4 px)</w:t>
            </w:r>
          </w:p>
        </w:tc>
        <w:tc>
          <w:tcPr>
            <w:tcW w:w="1395" w:type="dxa"/>
          </w:tcPr>
          <w:p>
            <w:pPr>
              <w:pStyle w:val="TableText"/>
              <w:jc w:val="right"/>
            </w:pPr>
            <w:r>
              <w:t xml:space="preserve">91,33%</w:t>
            </w:r>
          </w:p>
        </w:tc>
        <w:tc>
          <w:tcPr>
            <w:tcW w:w="1993" w:type="dxa"/>
          </w:tcPr>
          <w:p>
            <w:pPr>
              <w:pStyle w:val="TableText"/>
              <w:jc w:val="right"/>
            </w:pPr>
            <w:r>
              <w:t xml:space="preserve">+1,27 p.p.</w:t>
            </w:r>
          </w:p>
        </w:tc>
        <w:tc>
          <w:tcPr>
            <w:tcW w:w="1096" w:type="dxa"/>
          </w:tcPr>
          <w:p>
            <w:pPr>
              <w:pStyle w:val="TableText"/>
              <w:jc w:val="right"/>
            </w:pPr>
            <w:r>
              <w:t xml:space="preserve">99,79%</w:t>
            </w:r>
          </w:p>
        </w:tc>
        <w:tc>
          <w:tcPr>
            <w:tcW w:w="899" w:type="dxa"/>
          </w:tcPr>
          <w:p>
            <w:pPr>
              <w:pStyle w:val="TableText"/>
              <w:jc w:val="right"/>
            </w:pPr>
            <w:r>
              <w:t xml:space="preserve">8,46 p.p.</w:t>
            </w:r>
          </w:p>
        </w:tc>
      </w:tr>
      <w:tr>
        <w:trPr>
          <w:cantSplit/>
        </w:trPr>
        <w:tc>
          <w:tcPr>
            <w:tcW w:w="3687" w:type="dxa"/>
          </w:tcPr>
          <w:p>
            <w:pPr>
              <w:pStyle w:val="TableText"/>
              <w:jc w:val="left"/>
            </w:pPr>
            <w:r>
              <w:t xml:space="preserve">Recorte ±2 px + espelhamento</w:t>
            </w:r>
          </w:p>
        </w:tc>
        <w:tc>
          <w:tcPr>
            <w:tcW w:w="1395" w:type="dxa"/>
          </w:tcPr>
          <w:p>
            <w:pPr>
              <w:pStyle w:val="TableText"/>
              <w:jc w:val="right"/>
            </w:pPr>
            <w:r>
              <w:t xml:space="preserve">92,31%</w:t>
            </w:r>
          </w:p>
        </w:tc>
        <w:tc>
          <w:tcPr>
            <w:tcW w:w="1993" w:type="dxa"/>
          </w:tcPr>
          <w:p>
            <w:pPr>
              <w:pStyle w:val="TableText"/>
              <w:jc w:val="right"/>
            </w:pPr>
            <w:r>
              <w:t xml:space="preserve">+2,25 p.p.</w:t>
            </w:r>
          </w:p>
        </w:tc>
        <w:tc>
          <w:tcPr>
            <w:tcW w:w="1096" w:type="dxa"/>
          </w:tcPr>
          <w:p>
            <w:pPr>
              <w:pStyle w:val="TableText"/>
              <w:jc w:val="right"/>
            </w:pPr>
            <w:r>
              <w:t xml:space="preserve">98,68%</w:t>
            </w:r>
          </w:p>
        </w:tc>
        <w:tc>
          <w:tcPr>
            <w:tcW w:w="899" w:type="dxa"/>
          </w:tcPr>
          <w:p>
            <w:pPr>
              <w:pStyle w:val="TableText"/>
              <w:jc w:val="right"/>
            </w:pPr>
            <w:r>
              <w:t xml:space="preserve">6,37 p.p.</w:t>
            </w:r>
          </w:p>
        </w:tc>
      </w:tr>
      <w:tr>
        <w:trPr>
          <w:cantSplit/>
        </w:trPr>
        <w:tc>
          <w:tcPr>
            <w:tcW w:w="3687" w:type="dxa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Recorte ±4 px + espelhamento (padrão)</w:t>
            </w:r>
          </w:p>
        </w:tc>
        <w:tc>
          <w:tcPr>
            <w:tcW w:w="1395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92,43%</w:t>
            </w:r>
          </w:p>
        </w:tc>
        <w:tc>
          <w:tcPr>
            <w:tcW w:w="1993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+2,37 p.p.</w:t>
            </w:r>
          </w:p>
        </w:tc>
        <w:tc>
          <w:tcPr>
            <w:tcW w:w="1096" w:type="dxa"/>
          </w:tcPr>
          <w:p>
            <w:pPr>
              <w:pStyle w:val="TableText"/>
              <w:jc w:val="right"/>
            </w:pPr>
            <w:r>
              <w:t xml:space="preserve">98,16%</w:t>
            </w:r>
          </w:p>
        </w:tc>
        <w:tc>
          <w:tcPr>
            <w:tcW w:w="899" w:type="dxa"/>
          </w:tcPr>
          <w:p>
            <w:pPr>
              <w:pStyle w:val="TableText"/>
              <w:jc w:val="right"/>
            </w:pPr>
            <w:r>
              <w:t xml:space="preserve">5,73 p.p.</w:t>
            </w:r>
          </w:p>
        </w:tc>
      </w:tr>
      <w:tr>
        <w:trPr>
          <w:cantSplit/>
        </w:trPr>
        <w:tc>
          <w:tcPr>
            <w:tcW w:w="3687" w:type="dxa"/>
          </w:tcPr>
          <w:p>
            <w:pPr>
              <w:pStyle w:val="TableText"/>
              <w:jc w:val="left"/>
            </w:pPr>
            <w:r>
              <w:t xml:space="preserve">Recorte ±6 px + espelhamento</w:t>
            </w:r>
          </w:p>
        </w:tc>
        <w:tc>
          <w:tcPr>
            <w:tcW w:w="1395" w:type="dxa"/>
          </w:tcPr>
          <w:p>
            <w:pPr>
              <w:pStyle w:val="TableText"/>
              <w:jc w:val="right"/>
            </w:pPr>
            <w:r>
              <w:t xml:space="preserve">91,99%</w:t>
            </w:r>
          </w:p>
        </w:tc>
        <w:tc>
          <w:tcPr>
            <w:tcW w:w="1993" w:type="dxa"/>
          </w:tcPr>
          <w:p>
            <w:pPr>
              <w:pStyle w:val="TableText"/>
              <w:jc w:val="right"/>
            </w:pPr>
            <w:r>
              <w:t xml:space="preserve">+1,93 p.p.</w:t>
            </w:r>
          </w:p>
        </w:tc>
        <w:tc>
          <w:tcPr>
            <w:tcW w:w="1096" w:type="dxa"/>
          </w:tcPr>
          <w:p>
            <w:pPr>
              <w:pStyle w:val="TableText"/>
              <w:jc w:val="right"/>
            </w:pPr>
            <w:r>
              <w:t xml:space="preserve">97,40%</w:t>
            </w:r>
          </w:p>
        </w:tc>
        <w:tc>
          <w:tcPr>
            <w:tcW w:w="899" w:type="dxa"/>
          </w:tcPr>
          <w:p>
            <w:pPr>
              <w:pStyle w:val="TableText"/>
              <w:jc w:val="right"/>
            </w:pPr>
            <w:r>
              <w:t xml:space="preserve">5,41 p.p.</w:t>
            </w:r>
          </w:p>
        </w:tc>
      </w:tr>
      <w:tr>
        <w:trPr>
          <w:cantSplit/>
        </w:trPr>
        <w:tc>
          <w:tcPr>
            <w:tcW w:w="3687" w:type="dxa"/>
          </w:tcPr>
          <w:p>
            <w:pPr>
              <w:pStyle w:val="TableText"/>
              <w:jc w:val="left"/>
            </w:pPr>
            <w:r>
              <w:t xml:space="preserve">Recorte ±8 px + espelhamento</w:t>
            </w:r>
          </w:p>
        </w:tc>
        <w:tc>
          <w:tcPr>
            <w:tcW w:w="1395" w:type="dxa"/>
          </w:tcPr>
          <w:p>
            <w:pPr>
              <w:pStyle w:val="TableText"/>
              <w:jc w:val="right"/>
            </w:pPr>
            <w:r>
              <w:t xml:space="preserve">91,58%</w:t>
            </w:r>
          </w:p>
        </w:tc>
        <w:tc>
          <w:tcPr>
            <w:tcW w:w="1993" w:type="dxa"/>
          </w:tcPr>
          <w:p>
            <w:pPr>
              <w:pStyle w:val="TableText"/>
              <w:jc w:val="right"/>
            </w:pPr>
            <w:r>
              <w:t xml:space="preserve">+1,52 p.p.</w:t>
            </w:r>
          </w:p>
        </w:tc>
        <w:tc>
          <w:tcPr>
            <w:tcW w:w="1096" w:type="dxa"/>
          </w:tcPr>
          <w:p>
            <w:pPr>
              <w:pStyle w:val="TableText"/>
              <w:jc w:val="right"/>
            </w:pPr>
            <w:r>
              <w:t xml:space="preserve">96,87%</w:t>
            </w:r>
          </w:p>
        </w:tc>
        <w:tc>
          <w:tcPr>
            <w:tcW w:w="899" w:type="dxa"/>
          </w:tcPr>
          <w:p>
            <w:pPr>
              <w:pStyle w:val="TableText"/>
              <w:jc w:val="right"/>
            </w:pPr>
            <w:r>
              <w:t xml:space="preserve">5,29 p.p.</w:t>
            </w:r>
          </w:p>
        </w:tc>
      </w:tr>
    </w:tbl>
    <w:p>
      <w:pPr>
        <w:spacing w:after="60"/>
      </w:pPr>
    </w:p>
    <w:p>
      <w:pPr/>
      <w:r>
        <w:rPr>
          <w:i/>
        </w:rPr>
        <w:t xml:space="preserve">Uma execução por linha. Como referência, o desvio-padrão entre sementes da configuração padrão é 0,18 p.p.: diferenças menores que ~0,4 p.p. nesta tabela não são confiáveis.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As duas partes ajudam, e o espelhamento ajuda mais.</w:t>
      </w:r>
      <w:r>
        <w:t xml:space="preserve"> Sozinho, o espelhamento rende +1,8 p.p.; o recorte, +1,3 p.p. Isso faz sentido no CIFAR-10: um carro ou um cavalo virado para a esquerda é tão comum quanto um virado para a direita, e espelhar dobra a variedade de poses sem criar nada irreal.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As partes se sobrepõem.</w:t>
      </w:r>
      <w:r>
        <w:t xml:space="preserve"> Juntas elas rendem +2,4 p.p., menos que a soma das duas separadas (+3,1 p.p.). Parte do que cada uma faz é o mesmo: impedir que a rede decore as imagens exatas do treino. Com uma parte só, a rede ainda acerta 99,8–99,9% do treino; com as duas, 98,2%.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Mais intensidade não é sempre melhor.</w:t>
      </w:r>
      <w:r>
        <w:t xml:space="preserve"> O erro é menor entre ±2 e ±4 px e volta a subir com ±6 e ±8 px. O gap cai sempre que o recorte aumenta (de 8,0 para 5,3 p.p.), mas a acurácia de treino também cai (de 99,9% para 96,9%): com deslocamentos de 8 px numa imagem de 32 px, parte do objeto sai do quadro e a borda refletida cria imagens estranhas. Com o mesmo número de épocas, o aumento forte demais passa a atrapalhar o aprendizado, e a rede deixa de aprender o que precisa (</w:t>
      </w:r>
      <w:r>
        <w:rPr>
          <w:i/>
        </w:rPr>
        <w:t xml:space="preserve">underfitting</w:t>
      </w:r>
      <w:r>
        <w:t xml:space="preserve">). O padrão de ±4 px, que é o usual para o CIFAR-10, ficou no ponto certo.</w:t>
      </w:r>
    </w:p>
    <w:p>
      <w:pPr>
        <w:pStyle w:val="Heading2"/>
      </w:pPr>
      <w:r>
        <w:t xml:space="preserve">4.2 O que o aumento de dados ensina: robustez</w:t>
      </w:r>
    </w:p>
    <w:p>
      <w:pPr/>
      <w:r>
        <w:t xml:space="preserve">A acurácia no teste original só mostra parte do efeito. Para ver o que a rede aprendeu, avaliamos os 12 modelos principais no conjunto de teste </w:t>
      </w:r>
      <w:r>
        <w:rPr>
          <w:b/>
        </w:rPr>
        <w:t xml:space="preserve">transformado</w:t>
      </w:r>
      <w:r>
        <w:t xml:space="preserve">: deslocado, espelhado, girado, ampliado ou reduzido. Como </w:t>
      </w:r>
      <w:r>
        <w:rPr>
          <w:b/>
        </w:rPr>
        <w:t xml:space="preserve">controle</w:t>
      </w:r>
      <w:r>
        <w:t xml:space="preserve">, usamos ruído gaussiano, transformação que nenhum dos modelos viu no treino.</w:t>
      </w:r>
    </w:p>
    <w:p>
      <w:pPr>
        <w:keepNext/>
        <w:jc w:val="center"/>
      </w:pPr>
      <w:r>
        <w:drawing>
          <wp:inline distT="0" distB="0" distL="0" distR="0">
            <wp:extent cx="5759450" cy="3562721"/>
            <wp:docPr id="6" name="Figura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6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6 — </w:t>
      </w:r>
      <w:r>
        <w:t xml:space="preserve">Acurácia dos modelos com e sem aumento de dados no teste transformado. A faixa cinza é o intervalo que o aumento de dados cobre no treino. O ruído (controle) é a única transformação em que o modelo com aumento de dados se sai pior.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4923"/>
        <w:gridCol w:w="1425"/>
        <w:gridCol w:w="1425"/>
        <w:gridCol w:w="1297"/>
      </w:tblGrid>
      <w:tr>
        <w:trPr>
          <w:tblHeader/>
          <w:cantSplit/>
        </w:trPr>
        <w:tc>
          <w:tcPr>
            <w:tcW w:w="4923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Teste transformado</w:t>
            </w:r>
          </w:p>
        </w:tc>
        <w:tc>
          <w:tcPr>
            <w:tcW w:w="1425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Com aumento</w:t>
            </w:r>
          </w:p>
        </w:tc>
        <w:tc>
          <w:tcPr>
            <w:tcW w:w="1425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Sem aumento</w:t>
            </w:r>
          </w:p>
        </w:tc>
        <w:tc>
          <w:tcPr>
            <w:tcW w:w="1297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Diferença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CIFAR-10 original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92,22%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89,96%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+2,3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CIFAR-10 espelhado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92,19%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89,27%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+2,9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CIFAR-10 deslocado 4 px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91,41%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87,47%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+3,9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CIFAR-10 deslocado 8 px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86,64%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78,91%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+7,7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CIFAR-10 com ruído σ = 0,06 (controle)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51,63%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58,10%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−6,5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MNIST original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99,68%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99,70%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−0,02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MNIST girado 45°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82,27%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75,22%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+7,1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MNIST girado −45°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69,20%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57,54%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+11,7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MNIST deslocado 6 px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99,11%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96,90%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+2,2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MNIST ampliado 1,4×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98,99%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96,58%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t xml:space="preserve">+2,4 p.p.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pStyle w:val="TableText"/>
              <w:jc w:val="left"/>
            </w:pPr>
            <w:r>
              <w:t xml:space="preserve">MNIST com ruído σ = 0,2 (controle)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62,56%</w:t>
            </w:r>
          </w:p>
        </w:tc>
        <w:tc>
          <w:tcPr>
            <w:tcW w:w="1425" w:type="dxa"/>
          </w:tcPr>
          <w:p>
            <w:pPr>
              <w:pStyle w:val="TableText"/>
              <w:jc w:val="right"/>
            </w:pPr>
            <w:r>
              <w:t xml:space="preserve">76,53%</w:t>
            </w:r>
          </w:p>
        </w:tc>
        <w:tc>
          <w:tcPr>
            <w:tcW w:w="1297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−14,0 p.p.</w:t>
            </w:r>
          </w:p>
        </w:tc>
      </w:tr>
    </w:tbl>
    <w:p>
      <w:pPr>
        <w:spacing w:after="60"/>
      </w:pPr>
    </w:p>
    <w:p>
      <w:pPr/>
      <w:r>
        <w:rPr>
          <w:i/>
        </w:rPr>
        <w:t xml:space="preserve">Média de 3 sementes. Deslocamento = média das 4 direções; no CIFAR-10 com borda refletida (como no recorte do treino) e no MNIST com fundo preto. σ é o desvio-padrão do ruído, com pixels entre 0 e 1.</w:t>
      </w:r>
    </w:p>
    <w:p>
      <w:pPr>
        <w:numPr>
          <w:ilvl w:val="0"/>
          <w:numId w:val="6"/>
        </w:numPr>
        <w:spacing w:after="60"/>
      </w:pPr>
      <w:r>
        <w:rPr>
          <w:b/>
        </w:rPr>
        <w:t xml:space="preserve">Espelhamento.</w:t>
      </w:r>
      <w:r>
        <w:t xml:space="preserve"> O modelo treinado com espelhamento é indiferente à orientação (92,22% → 92,19%). O modelo sem aumento de dados perde 0,7 p.p. quando a imagem é espelhada: parte do que ele acerta depende de o objeto estar virado para um lado específico, um detalhe que não tem nada a ver com a classe.</w:t>
      </w:r>
    </w:p>
    <w:p>
      <w:pPr>
        <w:numPr>
          <w:ilvl w:val="0"/>
          <w:numId w:val="6"/>
        </w:numPr>
        <w:spacing w:after="60"/>
      </w:pPr>
      <w:r>
        <w:rPr>
          <w:b/>
        </w:rPr>
        <w:t xml:space="preserve">Deslocamento.</w:t>
      </w:r>
      <w:r>
        <w:t xml:space="preserve"> As CNNs já têm alguma tolerância a deslocamentos por causa da convolução e do </w:t>
      </w:r>
      <w:r>
        <w:rPr>
          <w:i/>
        </w:rPr>
        <w:t xml:space="preserve">pooling</w:t>
      </w:r>
      <w:r>
        <w:t xml:space="preserve">, mas não é completa (Azulay e Weiss, 2019). Com 8 px de deslocamento, o modelo sem aumento de dados perde 11,1 p.p.; o modelo com aumento, 5,6 p.p. — metade.</w:t>
      </w:r>
    </w:p>
    <w:p>
      <w:pPr>
        <w:numPr>
          <w:ilvl w:val="0"/>
          <w:numId w:val="6"/>
        </w:numPr>
        <w:spacing w:after="60"/>
      </w:pPr>
      <w:r>
        <w:rPr>
          <w:b/>
        </w:rPr>
        <w:t xml:space="preserve">MNIST.</w:t>
      </w:r>
      <w:r>
        <w:t xml:space="preserve"> Aqui está o valor do componente no MNIST. Dentro da faixa vista no treino (±10°, ±2,2 px, escala de 0,9 a 1,1) os dois modelos praticamente empatam (diferenças de até 0,2 p.p.), porque o teste do MNIST já vem centralizado e normalizado em tamanho, igual ao treino. Fora dela, o modelo com aumento de dados é muito mais robusto: +7 a +12 p.p. a 45° de rotação, +2,2 p.p. com 6 px de deslocamento e +2,4 p.p. com o dígito 40% maior. Numa aplicação real, em que o dígito não vem centralizado, essa é a diferença que aparece.</w:t>
      </w:r>
    </w:p>
    <w:p>
      <w:pPr>
        <w:numPr>
          <w:ilvl w:val="0"/>
          <w:numId w:val="6"/>
        </w:numPr>
        <w:spacing w:after="60"/>
      </w:pPr>
      <w:r>
        <w:rPr>
          <w:b/>
        </w:rPr>
        <w:t xml:space="preserve">Ruído (controle).</w:t>
      </w:r>
      <w:r>
        <w:t xml:space="preserve"> Com ruído gaussiano, os modelos </w:t>
      </w:r>
      <w:r>
        <w:rPr>
          <w:b/>
        </w:rPr>
        <w:t xml:space="preserve">com</w:t>
      </w:r>
      <w:r>
        <w:t xml:space="preserve"> aumento de dados foram </w:t>
      </w:r>
      <w:r>
        <w:rPr>
          <w:i/>
        </w:rPr>
        <w:t xml:space="preserve">menos</w:t>
      </w:r>
      <w:r>
        <w:t xml:space="preserve"> robustos nos dois datasets (−6,5 p.p. no CIFAR-10 com σ = 0,06 e −14,0 p.p. no MNIST com σ = 0,2; nas três sementes, sem sobreposição). A hipótese H3 se confirmou de forma mais forte do que esperávamos: o aumento de dados não traz robustez geral, só às transformações que ele mostra no treino, e pode até piorar a robustez a outras. Não investigamos a causa. Outros trabalhos já mostraram que ganhar robustez a um tipo de perturbação pode custar robustez a outro (Yin et al., 2019); para resistir a ruído, a receita seria incluir ruído no próprio aumento de dados (Hendrycks e Dietterich, 2019).</w:t>
      </w:r>
    </w:p>
    <w:p>
      <w:pPr>
        <w:pStyle w:val="Heading2"/>
      </w:pPr>
      <w:r>
        <w:t xml:space="preserve">4.3 Onde o ganho aparece: acurácia por classe</w:t>
      </w:r>
    </w:p>
    <w:p>
      <w:pPr>
        <w:keepNext/>
        <w:jc w:val="center"/>
      </w:pPr>
      <w:r>
        <w:drawing>
          <wp:inline distT="0" distB="0" distL="0" distR="0">
            <wp:extent cx="5759450" cy="4060619"/>
            <wp:docPr id="7" name="Figura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7 — </w:t>
      </w:r>
      <w:r>
        <w:t xml:space="preserve">Acurácia por classe no CIFAR-10 com e sem aumento de dados (média de 3 sementes). O componente ajuda em todas as classes, e mais nas classes de animais.</w:t>
      </w:r>
    </w:p>
    <w:p>
      <w:pPr/>
      <w:r>
        <w:t xml:space="preserve">O aumento de dados melhora </w:t>
      </w:r>
      <w:r>
        <w:rPr>
          <w:b/>
        </w:rPr>
        <w:t xml:space="preserve">todas</w:t>
      </w:r>
      <w:r>
        <w:t xml:space="preserve"> as 10 classes do CIFAR-10. O ganho é maior justamente nas classes mais difíceis, os animais: gato (77,8% → 81,6%) e cachorro (84,9% → 88,7%) ganham 3,8 p.p. cada, pássaro 3,1 e cervo 2,8. Nos veículos o ganho fica entre 0,8 e 1,8 p.p. Animais aparecem em mais poses, posições e enquadramentos do que veículos; o recorte e o espelhamento multiplicam justamente essas variações. Entre os pares mais confundidos, o efeito é desigual: a confusão gato → cachorro, a mais frequente na APS anterior, quase não muda (91 → 90 imagens por semente), mas a contrária, cachorro → gato, cai 23% (76 → 59). As classes que mais ganham com o aumento de dados são as mesmas em que a ResNet18 pré-treinada levava mais vantagem na APS anterior. Nos dois casos, o que falta à MinhaCNN treinada do zero é ver mais variações dos animais.</w:t>
      </w:r>
    </w:p>
    <w:p>
      <w:pPr>
        <w:pStyle w:val="Heading1"/>
      </w:pPr>
      <w:r>
        <w:t xml:space="preserve">5. Qual nossa opinião sobre o impacto do componente?</w:t>
      </w:r>
    </w:p>
    <w:p>
      <w:pPr/>
      <w:r>
        <w:rPr>
          <w:b/>
        </w:rPr>
        <w:t xml:space="preserve">No CIFAR-10, o aumento de dados é um componente essencial da MinhaCNN.</w:t>
      </w:r>
      <w:r>
        <w:t xml:space="preserve"> Ele vale 2,3 p.p. de acurácia (22% menos erros), reduz o sobreajuste pela metade e melhora todas as classes, com resultados consistentes nas três sementes. E quase não custa nada: não acrescenta parâmetros, não muda a velocidade de inferência e deixa cada época de treino cerca de 5% mais lenta (8,4–8,8 s contra 8,2–8,3 s), porque as transformações rodam na GPU.</w:t>
      </w:r>
    </w:p>
    <w:p>
      <w:pPr/>
      <w:r>
        <w:rPr>
          <w:b/>
        </w:rPr>
        <w:t xml:space="preserve">Mas não é "o" componente da regularização.</w:t>
      </w:r>
      <w:r>
        <w:t xml:space="preserve"> Ele explica 38% da queda que a APS anterior via ao desligar toda a regularização. Os outros 62% vêm de dropout, weight decay e label smoothing. Esperávamos uma fatia maior; a ablação mostrou que a MinhaCNN depende do conjunto de técnicas, não de uma só.</w:t>
      </w:r>
    </w:p>
    <w:p>
      <w:pPr/>
      <w:r>
        <w:rPr>
          <w:b/>
        </w:rPr>
        <w:t xml:space="preserve">No MNIST, ele não melhora a acurácia de teste — e nós o manteríamos assim mesmo.</w:t>
      </w:r>
      <w:r>
        <w:t xml:space="preserve"> O teste do MNIST tem as mesmas condições do treino (dígitos centralizados e do mesmo tamanho), então ensinar a rede a lidar com rotações e deslocamentos não muda o placar. Mas o modelo com aumento de dados é bem mais robusto a dígitos girados, deslocados ou de outro tamanho, que é o que acontece fora do conjunto de dados. Se fôssemos julgar só pela tabela de acurácia, concluiríamos errado que o componente é inútil no MNIST.</w:t>
      </w:r>
    </w:p>
    <w:p>
      <w:pPr/>
      <w:r>
        <w:rPr>
          <w:b/>
        </w:rPr>
        <w:t xml:space="preserve">O aumento de dados funciona porque é conhecimento sobre o problema, não porque é regularização genérica.</w:t>
      </w:r>
      <w:r>
        <w:t xml:space="preserve"> Cada transformação diz à rede o que </w:t>
      </w:r>
      <w:r>
        <w:rPr>
          <w:i/>
        </w:rPr>
        <w:t xml:space="preserve">não</w:t>
      </w:r>
      <w:r>
        <w:t xml:space="preserve"> muda a classe (Shorten e Khoshgoftaar, 2019): espelhar um gato continua sendo um gato, mas espelhar um "2" não é mais um "2" — por isso não usamos espelhamento no MNIST. Os experimentos mostram os dois lados: o ganho aparece exatamente nas transformações treinadas, transformações fortes demais (recorte de ±8 px) passam a atrapalhar, e o componente não protege contra o que não foi treinado (ruído). Nossa conclusão é que o aumento de dados deve ficar na MinhaCNN, escolhido de acordo com as variações que o problema realmente tem.</w:t>
      </w:r>
    </w:p>
    <w:p>
      <w:pPr/>
      <w:r>
        <w:rPr>
          <w:b/>
        </w:rPr>
        <w:t xml:space="preserve">O que faríamos a seguir:</w:t>
      </w:r>
    </w:p>
    <w:p>
      <w:pPr>
        <w:numPr>
          <w:ilvl w:val="0"/>
          <w:numId w:val="7"/>
        </w:numPr>
        <w:spacing w:after="60"/>
      </w:pPr>
      <w:r>
        <w:rPr>
          <w:b/>
        </w:rPr>
        <w:t xml:space="preserve">Treinar por mais tempo com o aumento de dados.</w:t>
      </w:r>
      <w:r>
        <w:t xml:space="preserve"> A melhor época foi a última e a rede ainda não tinha chegado a 100% no treino; sem o aumento, ela passou de 99% no treino por volta da época 33 e daí em diante só decorou. Quanto mais longo o treino, mais o componente tende a render.</w:t>
      </w:r>
    </w:p>
    <w:p>
      <w:pPr>
        <w:numPr>
          <w:ilvl w:val="0"/>
          <w:numId w:val="7"/>
        </w:numPr>
        <w:spacing w:after="60"/>
      </w:pPr>
      <w:r>
        <w:rPr>
          <w:b/>
        </w:rPr>
        <w:t xml:space="preserve">Testar aumentos mais fortes de outro tipo, em vez de recortes maiores.</w:t>
      </w:r>
      <w:r>
        <w:t xml:space="preserve"> O recorte já chegou ao ponto ótimo. </w:t>
      </w:r>
      <w:r>
        <w:rPr>
          <w:i/>
        </w:rPr>
        <w:t xml:space="preserve">Cutout</w:t>
      </w:r>
      <w:r>
        <w:t xml:space="preserve">, RandAugment ou </w:t>
      </w:r>
      <w:r>
        <w:rPr>
          <w:i/>
        </w:rPr>
        <w:t xml:space="preserve">mixup</w:t>
      </w:r>
      <w:r>
        <w:t xml:space="preserve"> atacam outras variações (oclusão, cor, contraste) e são o próximo passo natural (DeVries e Taylor, 2017; Cubuk et al., 2020).</w:t>
      </w:r>
    </w:p>
    <w:p>
      <w:pPr>
        <w:numPr>
          <w:ilvl w:val="0"/>
          <w:numId w:val="7"/>
        </w:numPr>
        <w:spacing w:after="60"/>
      </w:pPr>
      <w:r>
        <w:rPr>
          <w:b/>
        </w:rPr>
        <w:t xml:space="preserve">Incluir ruído, se a robustez a ruído importar.</w:t>
      </w:r>
      <w:r>
        <w:t xml:space="preserve"> O controle mostrou que ela não vem de graça.</w:t>
      </w:r>
    </w:p>
    <w:p>
      <w:pPr>
        <w:numPr>
          <w:ilvl w:val="0"/>
          <w:numId w:val="7"/>
        </w:numPr>
        <w:spacing w:after="60"/>
      </w:pPr>
      <w:r>
        <w:rPr>
          <w:b/>
        </w:rPr>
        <w:t xml:space="preserve">Usar o espelhamento também no teste</w:t>
      </w:r>
      <w:r>
        <w:t xml:space="preserve"> (</w:t>
      </w:r>
      <w:r>
        <w:rPr>
          <w:i/>
        </w:rPr>
        <w:t xml:space="preserve">test-time augmentation</w:t>
      </w:r>
      <w:r>
        <w:t xml:space="preserve">): como o modelo é indiferente à orientação, a média das previsões da imagem original e da espelhada sai quase de graça.</w:t>
      </w:r>
    </w:p>
    <w:p>
      <w:pPr>
        <w:pStyle w:val="Heading1"/>
      </w:pPr>
      <w:r>
        <w:t xml:space="preserve">6. Limitações</w:t>
      </w:r>
    </w:p>
    <w:p>
      <w:pPr>
        <w:numPr>
          <w:ilvl w:val="0"/>
          <w:numId w:val="8"/>
        </w:numPr>
        <w:spacing w:after="60"/>
      </w:pPr>
      <w:r>
        <w:rPr>
          <w:b/>
        </w:rPr>
        <w:t xml:space="preserve">Sementes.</w:t>
      </w:r>
      <w:r>
        <w:t xml:space="preserve"> As configurações principais têm 3 sementes cada; as variantes da seção 4.1 têm uma só. Diferenças abaixo de ~0,4 p.p. entre variantes estão dentro do ruído (desvio-padrão de 0,18–0,20 p.p. entre sementes).</w:t>
      </w:r>
    </w:p>
    <w:p>
      <w:pPr>
        <w:numPr>
          <w:ilvl w:val="0"/>
          <w:numId w:val="8"/>
        </w:numPr>
        <w:spacing w:after="60"/>
      </w:pPr>
      <w:r>
        <w:rPr>
          <w:b/>
        </w:rPr>
        <w:t xml:space="preserve">Mesmo número de épocas.</w:t>
      </w:r>
      <w:r>
        <w:t xml:space="preserve"> Todas as configurações usaram 40 épocas no CIFAR-10 e 15 no MNIST. Com o aumento de dados a rede converge mais devagar; com treinos mais longos o ganho do componente provavelmente seria maior e a intensidade ideal do recorte poderia mudar.</w:t>
      </w:r>
    </w:p>
    <w:p>
      <w:pPr>
        <w:numPr>
          <w:ilvl w:val="0"/>
          <w:numId w:val="8"/>
        </w:numPr>
        <w:spacing w:after="60"/>
      </w:pPr>
      <w:r>
        <w:rPr>
          <w:b/>
        </w:rPr>
        <w:t xml:space="preserve">Um componente por vez.</w:t>
      </w:r>
      <w:r>
        <w:t xml:space="preserve"> Não medimos as interações entre o aumento de dados e as outras técnicas de regularização. A conta de 38% da seção 3.3 depende da ordem: desligamos primeiro o aumento de dados e depois as outras três.</w:t>
      </w:r>
    </w:p>
    <w:p>
      <w:pPr>
        <w:numPr>
          <w:ilvl w:val="0"/>
          <w:numId w:val="8"/>
        </w:numPr>
        <w:spacing w:after="60"/>
      </w:pPr>
      <w:r>
        <w:rPr>
          <w:b/>
        </w:rPr>
        <w:t xml:space="preserve">Tempo de treino.</w:t>
      </w:r>
      <w:r>
        <w:t xml:space="preserve"> O treino "CIFAR-10 sem aumento, semente 42" dividiu a GPU com outra tarefa por alguns minutos, por isso o tempo dele (12,5 min) não é comparável; a acurácia não é afetada. Os tempos por época citados vêm das outras sementes.</w:t>
      </w:r>
    </w:p>
    <w:p>
      <w:pPr>
        <w:pStyle w:val="Heading1"/>
      </w:pPr>
      <w:r>
        <w:t xml:space="preserve">7. Reprodutibilidade</w:t>
      </w:r>
    </w:p>
    <w:p>
      <w:pPr/>
      <w:r>
        <w:t xml:space="preserve">O estudo de ablação está no mesmo repositório da APS anterior, na branch </w:t>
      </w:r>
      <w:r>
        <w:rPr>
          <w:rFonts w:ascii="Consolas" w:hAnsi="Consolas"/>
          <w:sz w:val="19"/>
        </w:rPr>
        <w:t xml:space="preserve">ablacao-aumento-dados</w:t>
      </w:r>
      <w:r>
        <w:t xml:space="preserve">: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4001"/>
        <w:gridCol w:w="5069"/>
      </w:tblGrid>
      <w:tr>
        <w:trPr>
          <w:tblHeader/>
          <w:cantSplit/>
        </w:trPr>
        <w:tc>
          <w:tcPr>
            <w:tcW w:w="4001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Arquivo</w:t>
            </w:r>
          </w:p>
        </w:tc>
        <w:tc>
          <w:tcPr>
            <w:tcW w:w="5069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Função</w:t>
            </w:r>
          </w:p>
        </w:tc>
      </w:tr>
      <w:tr>
        <w:trPr>
          <w:cantSplit/>
        </w:trPr>
        <w:tc>
          <w:tcPr>
            <w:tcW w:w="4001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ablacao_aumento_de_dados.ipynb</w:t>
            </w:r>
          </w:p>
        </w:tc>
        <w:tc>
          <w:tcPr>
            <w:tcW w:w="5069" w:type="dxa"/>
          </w:tcPr>
          <w:p>
            <w:pPr>
              <w:pStyle w:val="TableText"/>
              <w:jc w:val="left"/>
            </w:pPr>
            <w:r>
              <w:t xml:space="preserve">notebook executado com o estudo completo: comandos de treino, tabelas, testes estatísticos e gráficos</w:t>
            </w:r>
          </w:p>
        </w:tc>
      </w:tr>
      <w:tr>
        <w:trPr>
          <w:cantSplit/>
        </w:trPr>
        <w:tc>
          <w:tcPr>
            <w:tcW w:w="4001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run_ablation.py</w:t>
            </w:r>
          </w:p>
        </w:tc>
        <w:tc>
          <w:tcPr>
            <w:tcW w:w="5069" w:type="dxa"/>
          </w:tcPr>
          <w:p>
            <w:pPr>
              <w:pStyle w:val="TableText"/>
              <w:jc w:val="left"/>
            </w:pPr>
            <w:r>
              <w:t xml:space="preserve">lista os 15 treinos da ablação, executa os que faltam e roda a análise</w:t>
            </w:r>
          </w:p>
        </w:tc>
      </w:tr>
      <w:tr>
        <w:trPr>
          <w:cantSplit/>
        </w:trPr>
        <w:tc>
          <w:tcPr>
            <w:tcW w:w="4001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src/train.py</w:t>
            </w:r>
          </w:p>
        </w:tc>
        <w:tc>
          <w:tcPr>
            <w:tcW w:w="5069" w:type="dxa"/>
          </w:tcPr>
          <w:p>
            <w:pPr>
              <w:pStyle w:val="TableText"/>
              <w:jc w:val="left"/>
            </w:pPr>
            <w:r>
              <w:t xml:space="preserve">treino de um experimento; ganhou as opções </w:t>
            </w:r>
            <w:r>
              <w:rPr>
                <w:rFonts w:ascii="Consolas" w:hAnsi="Consolas"/>
                <w:sz w:val="19"/>
              </w:rPr>
              <w:t xml:space="preserve">--no-aug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--crop-pad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--no-flip</w:t>
            </w:r>
            <w:r>
              <w:t xml:space="preserve"> e </w:t>
            </w:r>
            <w:r>
              <w:rPr>
                <w:rFonts w:ascii="Consolas" w:hAnsi="Consolas"/>
                <w:sz w:val="19"/>
              </w:rPr>
              <w:t xml:space="preserve">--subdir</w:t>
            </w:r>
          </w:p>
        </w:tc>
      </w:tr>
      <w:tr>
        <w:trPr>
          <w:cantSplit/>
        </w:trPr>
        <w:tc>
          <w:tcPr>
            <w:tcW w:w="4001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src/data.py</w:t>
            </w:r>
          </w:p>
        </w:tc>
        <w:tc>
          <w:tcPr>
            <w:tcW w:w="5069" w:type="dxa"/>
          </w:tcPr>
          <w:p>
            <w:pPr>
              <w:pStyle w:val="TableText"/>
              <w:jc w:val="left"/>
            </w:pPr>
            <w:r>
              <w:t xml:space="preserve">aumento de dados na GPU; </w:t>
            </w:r>
            <w:r>
              <w:rPr>
                <w:rFonts w:ascii="Consolas" w:hAnsi="Consolas"/>
                <w:sz w:val="19"/>
              </w:rPr>
              <w:t xml:space="preserve">make_augment</w:t>
            </w:r>
            <w:r>
              <w:t xml:space="preserve"> aceita a intensidade do recorte e liga/desliga o espelhamento</w:t>
            </w:r>
          </w:p>
        </w:tc>
      </w:tr>
      <w:tr>
        <w:trPr>
          <w:cantSplit/>
        </w:trPr>
        <w:tc>
          <w:tcPr>
            <w:tcW w:w="4001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src/ablation.py</w:t>
            </w:r>
          </w:p>
        </w:tc>
        <w:tc>
          <w:tcPr>
            <w:tcW w:w="5069" w:type="dxa"/>
          </w:tcPr>
          <w:p>
            <w:pPr>
              <w:pStyle w:val="TableText"/>
              <w:jc w:val="left"/>
            </w:pPr>
            <w:r>
              <w:t xml:space="preserve">tabelas, estatística, testes de robustez e figuras do estudo</w:t>
            </w:r>
          </w:p>
        </w:tc>
      </w:tr>
      <w:tr>
        <w:trPr>
          <w:cantSplit/>
        </w:trPr>
        <w:tc>
          <w:tcPr>
            <w:tcW w:w="4001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results/ablacao/</w:t>
            </w:r>
          </w:p>
        </w:tc>
        <w:tc>
          <w:tcPr>
            <w:tcW w:w="5069" w:type="dxa"/>
          </w:tcPr>
          <w:p>
            <w:pPr>
              <w:pStyle w:val="TableText"/>
              <w:jc w:val="left"/>
            </w:pPr>
            <w:r>
              <w:t xml:space="preserve">métricas, histórico e predições de cada treino; </w:t>
            </w:r>
            <w:r>
              <w:rPr>
                <w:rFonts w:ascii="Consolas" w:hAnsi="Consolas"/>
                <w:sz w:val="19"/>
              </w:rPr>
              <w:t xml:space="preserve">resumo_ablacao.csv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estatistica_ablacao.json</w:t>
            </w:r>
            <w:r>
              <w:t xml:space="preserve"> e </w:t>
            </w:r>
            <w:r>
              <w:rPr>
                <w:rFonts w:ascii="Consolas" w:hAnsi="Consolas"/>
                <w:sz w:val="19"/>
              </w:rPr>
              <w:t xml:space="preserve">robustez.json</w:t>
            </w:r>
          </w:p>
        </w:tc>
      </w:tr>
      <w:tr>
        <w:trPr>
          <w:cantSplit/>
        </w:trPr>
        <w:tc>
          <w:tcPr>
            <w:tcW w:w="4001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figures/ablacao_*.png</w:t>
            </w:r>
          </w:p>
        </w:tc>
        <w:tc>
          <w:tcPr>
            <w:tcW w:w="5069" w:type="dxa"/>
          </w:tcPr>
          <w:p>
            <w:pPr>
              <w:pStyle w:val="TableText"/>
              <w:jc w:val="left"/>
            </w:pPr>
            <w:r>
              <w:t xml:space="preserve">as figuras deste documento</w:t>
            </w:r>
          </w:p>
        </w:tc>
      </w:tr>
      <w:tr>
        <w:trPr>
          <w:cantSplit/>
        </w:trPr>
        <w:tc>
          <w:tcPr>
            <w:tcW w:w="4001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logs/ablacao/</w:t>
            </w:r>
          </w:p>
        </w:tc>
        <w:tc>
          <w:tcPr>
            <w:tcW w:w="5069" w:type="dxa"/>
          </w:tcPr>
          <w:p>
            <w:pPr>
              <w:pStyle w:val="TableText"/>
              <w:jc w:val="left"/>
            </w:pPr>
            <w:r>
              <w:t xml:space="preserve">saída de cada treino</w:t>
            </w:r>
          </w:p>
        </w:tc>
      </w:tr>
    </w:tbl>
    <w:p>
      <w:pPr>
        <w:spacing w:after="60"/>
      </w:pPr>
    </w:p>
    <w:p>
      <w:pPr/>
      <w:r>
        <w:t xml:space="preserve">Para reproduzir: </w:t>
      </w:r>
      <w:r>
        <w:rPr>
          <w:rFonts w:ascii="Consolas" w:hAnsi="Consolas"/>
          <w:sz w:val="19"/>
        </w:rPr>
        <w:t xml:space="preserve">python download_data.py</w:t>
      </w:r>
      <w:r>
        <w:t xml:space="preserve">, </w:t>
      </w:r>
      <w:r>
        <w:rPr>
          <w:rFonts w:ascii="Consolas" w:hAnsi="Consolas"/>
          <w:sz w:val="19"/>
        </w:rPr>
        <w:t xml:space="preserve">python run_all.py</w:t>
      </w:r>
      <w:r>
        <w:t xml:space="preserve"> (APS anterior, que gera a semente 42 com aumento) e </w:t>
      </w:r>
      <w:r>
        <w:rPr>
          <w:rFonts w:ascii="Consolas" w:hAnsi="Consolas"/>
          <w:sz w:val="19"/>
        </w:rPr>
        <w:t xml:space="preserve">python run_ablation.py</w:t>
      </w:r>
      <w:r>
        <w:t xml:space="preserve">. Para refazer só a análise: </w:t>
      </w:r>
      <w:r>
        <w:rPr>
          <w:rFonts w:ascii="Consolas" w:hAnsi="Consolas"/>
          <w:sz w:val="19"/>
        </w:rPr>
        <w:t xml:space="preserve">python -m src.ablation</w:t>
      </w:r>
      <w:r>
        <w:t xml:space="preserve">. Este documento é gerado com </w:t>
      </w:r>
      <w:r>
        <w:rPr>
          <w:rFonts w:ascii="Consolas" w:hAnsi="Consolas"/>
          <w:sz w:val="19"/>
        </w:rPr>
        <w:t xml:space="preserve">python -m src.make_report --src relatorio/ablacao.md --out Relatorio_Ablacao_CNN</w:t>
      </w:r>
      <w:r>
        <w:t xml:space="preserve">.</w:t>
      </w:r>
    </w:p>
    <w:p>
      <w:pPr>
        <w:pStyle w:val="Heading1"/>
      </w:pPr>
      <w:r>
        <w:t xml:space="preserve">Referências</w:t>
      </w:r>
    </w:p>
    <w:p>
      <w:pPr>
        <w:numPr>
          <w:ilvl w:val="0"/>
          <w:numId w:val="9"/>
        </w:numPr>
        <w:spacing w:after="60"/>
      </w:pPr>
      <w:r>
        <w:t xml:space="preserve">AZULAY, A.; WEISS, Y. Why Do Deep Convolutional Networks Generalize So Poorly to Small Image Transformations? JMLR, 20, 2019.</w:t>
      </w:r>
    </w:p>
    <w:p>
      <w:pPr>
        <w:numPr>
          <w:ilvl w:val="0"/>
          <w:numId w:val="9"/>
        </w:numPr>
        <w:spacing w:after="60"/>
      </w:pPr>
      <w:r>
        <w:t xml:space="preserve">CUBUK, E. D. et al. RandAugment: Practical Automated Data Augmentation with a Reduced Search Space. NeurIPS, 2020.</w:t>
      </w:r>
    </w:p>
    <w:p>
      <w:pPr>
        <w:numPr>
          <w:ilvl w:val="0"/>
          <w:numId w:val="9"/>
        </w:numPr>
        <w:spacing w:after="60"/>
      </w:pPr>
      <w:r>
        <w:t xml:space="preserve">DEVRIES, T.; TAYLOR, G. W. Improved Regularization of Convolutional Neural Networks with Cutout. arXiv:1708.04552, 2017.</w:t>
      </w:r>
    </w:p>
    <w:p>
      <w:pPr>
        <w:numPr>
          <w:ilvl w:val="0"/>
          <w:numId w:val="9"/>
        </w:numPr>
        <w:spacing w:after="60"/>
      </w:pPr>
      <w:r>
        <w:t xml:space="preserve">HENDRYCKS, D.; DIETTERICH, T. Benchmarking Neural Network Robustness to Common Corruptions and Perturbations. ICLR, 2019.</w:t>
      </w:r>
    </w:p>
    <w:p>
      <w:pPr>
        <w:numPr>
          <w:ilvl w:val="0"/>
          <w:numId w:val="9"/>
        </w:numPr>
        <w:spacing w:after="60"/>
      </w:pPr>
      <w:r>
        <w:t xml:space="preserve">KRIZHEVSKY, A.; SUTSKEVER, I.; HINTON, G. E. ImageNet Classification with Deep Convolutional Neural Networks. NeurIPS, 2012.</w:t>
      </w:r>
    </w:p>
    <w:p>
      <w:pPr>
        <w:numPr>
          <w:ilvl w:val="0"/>
          <w:numId w:val="9"/>
        </w:numPr>
        <w:spacing w:after="60"/>
      </w:pPr>
      <w:r>
        <w:t xml:space="preserve">MEYES, R. et al. Ablation Studies in Artificial Neural Networks. arXiv:1901.08644, 2019.</w:t>
      </w:r>
    </w:p>
    <w:p>
      <w:pPr>
        <w:numPr>
          <w:ilvl w:val="0"/>
          <w:numId w:val="9"/>
        </w:numPr>
        <w:spacing w:after="60"/>
      </w:pPr>
      <w:r>
        <w:t xml:space="preserve">SHORTEN, C.; KHOSHGOFTAAR, T. M. A Survey on Image Data Augmentation for Deep Learning. Journal of Big Data, 6, 60, 2019.</w:t>
      </w:r>
    </w:p>
    <w:p>
      <w:pPr>
        <w:numPr>
          <w:ilvl w:val="0"/>
          <w:numId w:val="9"/>
        </w:numPr>
        <w:spacing w:after="60"/>
      </w:pPr>
      <w:r>
        <w:t xml:space="preserve">SIMARD, P. Y.; STEINKRAUS, D.; PLATT, J. C. Best Practices for Convolutional Neural Networks Applied to Visual Document Analysis. ICDAR, 2003.</w:t>
      </w:r>
    </w:p>
    <w:p>
      <w:pPr>
        <w:numPr>
          <w:ilvl w:val="0"/>
          <w:numId w:val="9"/>
        </w:numPr>
        <w:spacing w:after="60"/>
      </w:pPr>
      <w:r>
        <w:t xml:space="preserve">YIN, D. et al. A Fourier Perspective on Model Robustness in Computer Vision. NeurIPS, 2019.</w:t>
      </w:r>
    </w:p>
    <w:p>
      <w:pPr>
        <w:numPr>
          <w:ilvl w:val="0"/>
          <w:numId w:val="9"/>
        </w:numPr>
        <w:spacing w:after="60"/>
      </w:pPr>
      <w:r>
        <w:t xml:space="preserve">ZHANG, C. et al. Understanding Deep Learning Requires Rethinking Generalization. ICLR, 2017.</w:t>
      </w:r>
    </w:p>
    <w:sectPr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</w:pPr>
    <w:r>
      <w:rPr>
        <w:color w:val="898781"/>
        <w:sz w:val="18"/>
      </w:rPr>
      <w:fldChar w:fldCharType="begin"/>
    </w:r>
    <w:r>
      <w:rPr>
        <w:color w:val="898781"/>
        <w:sz w:val="18"/>
      </w:rPr>
      <w:instrText xml:space="preserve"> PAGE </w:instrText>
    </w:r>
    <w:r>
      <w:rPr>
        <w:color w:val="898781"/>
        <w:sz w:val="18"/>
      </w:rPr>
      <w:fldChar w:fldCharType="separate"/>
    </w:r>
    <w:r>
      <w:rPr>
        <w:color w:val="898781"/>
        <w:sz w:val="18"/>
      </w:rPr>
      <w:t>1</w:t>
    </w:r>
    <w:r>
      <w:rPr>
        <w:color w:val="898781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Segoe UI" w:hAnsi="Segoe UI"/>
      </w:rPr>
    </w:lvl>
    <w:lvl w:ilvl="1">
      <w:start w:val="1"/>
      <w:numFmt w:val="bullet"/>
      <w:lvlText w:val="–"/>
      <w:lvlJc w:val="left"/>
      <w:pPr>
        <w:ind w:left="920" w:hanging="300"/>
      </w:pPr>
      <w:rPr>
        <w:rFonts w:ascii="Segoe UI" w:hAnsi="Segoe UI"/>
      </w:rPr>
    </w:lvl>
    <w:lvl w:ilvl="2">
      <w:start w:val="1"/>
      <w:numFmt w:val="bullet"/>
      <w:lvlText w:val="◦"/>
      <w:lvlJc w:val="left"/>
      <w:pPr>
        <w:ind w:left="1280" w:hanging="300"/>
      </w:pPr>
      <w:rPr>
        <w:rFonts w:ascii="Segoe UI" w:hAnsi="Segoe U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0" w:hanging="300"/>
      </w:pPr>
    </w:lvl>
    <w:lvl w:ilvl="1">
      <w:start w:val="1"/>
      <w:numFmt w:val="decimal"/>
      <w:lvlText w:val="%2."/>
      <w:lvlJc w:val="left"/>
      <w:pPr>
        <w:ind w:left="920" w:hanging="300"/>
      </w:pPr>
    </w:lvl>
    <w:lvl w:ilvl="2">
      <w:start w:val="1"/>
      <w:numFmt w:val="decimal"/>
      <w:lvlText w:val="%3."/>
      <w:lvlJc w:val="left"/>
      <w:pPr>
        <w:ind w:left="1280" w:hanging="30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pt-BR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spacing w:before="1800" w:after="240"/>
      <w:jc w:val="center"/>
    </w:pPr>
    <w:rPr>
      <w:b/>
      <w:color w:val="0D366B"/>
      <w:sz w:val="44"/>
    </w:rPr>
  </w:style>
  <w:style w:type="paragraph" w:styleId="Subtitle">
    <w:name w:val="Subtitle"/>
    <w:basedOn w:val="Normal"/>
    <w:pPr>
      <w:spacing w:after="120"/>
      <w:jc w:val="center"/>
    </w:pPr>
    <w:rPr>
      <w:color w:val="52514E"/>
      <w:sz w:val="26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color w:val="0D366B"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jc w:val="left"/>
      <w:outlineLvl w:val="1"/>
    </w:pPr>
    <w:rPr>
      <w:b/>
      <w:color w:val="184F95"/>
      <w:sz w:val="26"/>
    </w:rPr>
  </w:style>
  <w:style w:type="paragraph" w:styleId="Heading3">
    <w:name w:val="heading 3"/>
    <w:basedOn w:val="Normal"/>
    <w:next w:val="Normal"/>
    <w:pPr>
      <w:keepNext/>
      <w:spacing w:before="200" w:after="60"/>
      <w:jc w:val="left"/>
      <w:outlineLvl w:val="2"/>
    </w:pPr>
    <w:rPr>
      <w:b/>
      <w:color w:val="256ABF"/>
      <w:sz w:val="23"/>
    </w:rPr>
  </w:style>
  <w:style w:type="paragraph" w:styleId="Caption">
    <w:name w:val="caption"/>
    <w:basedOn w:val="Normal"/>
    <w:pPr>
      <w:spacing w:after="240"/>
      <w:jc w:val="center"/>
    </w:pPr>
    <w:rPr>
      <w:color w:val="52514E"/>
      <w:sz w:val="18"/>
    </w:rPr>
  </w:style>
  <w:style w:type="paragraph" w:styleId="TableText">
    <w:name w:val="Table Text"/>
    <w:basedOn w:val="Normal"/>
    <w:pPr>
      <w:spacing w:before="30" w:after="30" w:line="240" w:lineRule="auto"/>
    </w:pPr>
    <w:rPr>
      <w:sz w:val="17"/>
    </w:rPr>
  </w:style>
  <w:style w:type="paragraph" w:styleId="Code">
    <w:name w:val="Code"/>
    <w:basedOn w:val="Normal"/>
    <w:pPr>
      <w:shd w:val="clear" w:color="auto" w:fill="F0EFEC"/>
      <w:spacing w:after="0" w:line="240" w:lineRule="auto"/>
      <w:jc w:val="left"/>
    </w:pPr>
    <w:rPr>
      <w:rFonts w:ascii="Consolas" w:hAnsi="Consolas"/>
      <w:sz w:val="17"/>
    </w:rPr>
  </w:style>
  <w:style w:type="paragraph" w:styleId="Quote">
    <w:name w:val="Quote"/>
    <w:basedOn w:val="Normal"/>
    <w:pPr>
      <w:pBdr>
        <w:left w:val="single" w:sz="18" w:space="8" w:color="9EC5F4"/>
      </w:pBdr>
      <w:ind w:left="400"/>
    </w:pPr>
    <w:rPr>
      <w:color w:val="52514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Estudo de ablação: o aumento de dados na MinhaCNN (MNIST e CIFAR-10)</dc:title>
  <dc:language>pt-BR</dc:language>
</cp:coreProperties>
</file>