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10.wmf" ContentType="image/x-wmf"/>
  <Override PartName="/word/media/image6.wmf" ContentType="image/x-wmf"/>
  <Override PartName="/word/media/image11.wmf" ContentType="image/x-wmf"/>
  <Override PartName="/word/media/image7.wmf" ContentType="image/x-wmf"/>
  <Override PartName="/word/media/image8.wmf" ContentType="image/x-wmf"/>
  <Override PartName="/word/media/image9.wmf" ContentType="image/x-wmf"/>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jc w:val="right"/>
        <w:rPr/>
      </w:pPr>
      <w:r>
        <w:rPr/>
        <w:t>Article Type – Investigation</w:t>
      </w:r>
    </w:p>
    <w:p>
      <w:pPr>
        <w:pStyle w:val="Normal"/>
        <w:spacing w:lineRule="auto" w:line="480"/>
        <w:jc w:val="center"/>
        <w:rPr/>
      </w:pPr>
      <w:r>
        <w:rPr/>
      </w:r>
    </w:p>
    <w:p>
      <w:pPr>
        <w:pStyle w:val="Heading1"/>
        <w:spacing w:lineRule="auto" w:line="480"/>
        <w:rPr/>
      </w:pPr>
      <w:r>
        <w:rPr/>
        <w:t xml:space="preserve">Dissecting Cold Tolerance in </w:t>
      </w:r>
      <w:r>
        <w:rPr>
          <w:i/>
          <w:iCs/>
        </w:rPr>
        <w:t>Drosophila ananassae</w:t>
      </w:r>
      <w:r>
        <w:rPr/>
        <w:t>: A Multi-Phenotypic and Bulk Segregant Analysis</w:t>
      </w:r>
    </w:p>
    <w:p>
      <w:pPr>
        <w:pStyle w:val="Normal"/>
        <w:spacing w:lineRule="auto" w:line="480"/>
        <w:jc w:val="center"/>
        <w:rPr/>
      </w:pPr>
      <w:r>
        <w:rPr/>
      </w:r>
    </w:p>
    <w:p>
      <w:pPr>
        <w:pStyle w:val="Heading2"/>
        <w:spacing w:lineRule="auto" w:line="480"/>
        <w:jc w:val="center"/>
        <w:rPr/>
      </w:pPr>
      <w:r>
        <w:rPr/>
        <w:t xml:space="preserve">Vera Miyase </w:t>
      </w:r>
      <w:r>
        <w:rPr>
          <w:u w:val="single"/>
        </w:rPr>
        <w:t>Yılmaz</w:t>
      </w:r>
      <w:r>
        <w:rPr>
          <w:u w:val="single"/>
          <w:vertAlign w:val="superscript"/>
        </w:rPr>
        <w:t>1</w:t>
      </w:r>
      <w:r>
        <w:rPr/>
        <w:t xml:space="preserve">, Fikri Tuğberk </w:t>
      </w:r>
      <w:r>
        <w:rPr>
          <w:u w:val="single"/>
        </w:rPr>
        <w:t>Kara</w:t>
      </w:r>
      <w:r>
        <w:rPr>
          <w:u w:val="single"/>
          <w:vertAlign w:val="superscript"/>
        </w:rPr>
        <w:t>1</w:t>
      </w:r>
      <w:r>
        <w:rPr>
          <w:lang w:val="tr-TR"/>
        </w:rPr>
        <w:t xml:space="preserve"> </w:t>
      </w:r>
      <w:r>
        <w:rPr/>
        <w:t xml:space="preserve"> Sonja </w:t>
      </w:r>
      <w:r>
        <w:rPr>
          <w:u w:val="single"/>
        </w:rPr>
        <w:t>Grath</w:t>
      </w:r>
      <w:r>
        <w:rPr>
          <w:u w:val="single"/>
          <w:vertAlign w:val="superscript"/>
        </w:rPr>
        <w:t>1</w:t>
      </w:r>
      <w:r>
        <w:rPr>
          <w:vertAlign w:val="superscript"/>
        </w:rPr>
        <w:t>*</w:t>
      </w:r>
    </w:p>
    <w:p>
      <w:pPr>
        <w:pStyle w:val="Normal"/>
        <w:spacing w:lineRule="auto" w:line="480"/>
        <w:jc w:val="center"/>
        <w:rPr/>
      </w:pPr>
      <w:r>
        <w:rPr/>
      </w:r>
    </w:p>
    <w:p>
      <w:pPr>
        <w:pStyle w:val="Normal"/>
        <w:spacing w:lineRule="auto" w:line="480"/>
        <w:jc w:val="center"/>
        <w:rPr/>
      </w:pPr>
      <w:r>
        <w:rPr>
          <w:vertAlign w:val="superscript"/>
        </w:rPr>
        <w:t>1</w:t>
      </w:r>
      <w:r>
        <w:rPr/>
        <w:t>Division of Evolutionary Biology, Ludwig-Maximilians-Universität München, Großhaderner Str. 2, 82152 Planegg-Martinsried, Germany</w:t>
      </w:r>
    </w:p>
    <w:p>
      <w:pPr>
        <w:pStyle w:val="Normal"/>
        <w:spacing w:lineRule="auto" w:line="480"/>
        <w:jc w:val="center"/>
        <w:rPr/>
      </w:pPr>
      <w:r>
        <w:rPr/>
      </w:r>
    </w:p>
    <w:p>
      <w:pPr>
        <w:pStyle w:val="Normal"/>
        <w:spacing w:lineRule="auto" w:line="480"/>
        <w:jc w:val="center"/>
        <w:rPr/>
      </w:pPr>
      <w:r>
        <w:rPr>
          <w:vertAlign w:val="superscript"/>
        </w:rPr>
        <w:t>*</w:t>
      </w:r>
      <w:r>
        <w:rPr/>
        <w:t>Corresponding author: grath@bio.lmu.de</w:t>
      </w:r>
    </w:p>
    <w:p>
      <w:pPr>
        <w:pStyle w:val="Normal"/>
        <w:spacing w:lineRule="auto" w:line="480"/>
        <w:jc w:val="center"/>
        <w:rPr/>
      </w:pPr>
      <w:r>
        <w:rPr/>
      </w:r>
    </w:p>
    <w:p>
      <w:pPr>
        <w:pStyle w:val="Normal"/>
        <w:spacing w:lineRule="auto" w:line="480"/>
        <w:jc w:val="center"/>
        <w:rPr/>
      </w:pPr>
      <w:r>
        <w:rPr>
          <w:b/>
          <w:bCs/>
        </w:rPr>
        <w:t>Running title:</w:t>
      </w:r>
      <w:r>
        <w:rPr/>
        <w:t xml:space="preserve"> Phenotypic variation in </w:t>
      </w:r>
      <w:r>
        <w:rPr>
          <w:i/>
          <w:iCs/>
        </w:rPr>
        <w:t>Drosophila</w:t>
      </w:r>
    </w:p>
    <w:p>
      <w:pPr>
        <w:pStyle w:val="Normal"/>
        <w:spacing w:lineRule="auto" w:line="480"/>
        <w:jc w:val="center"/>
        <w:rPr/>
      </w:pPr>
      <w:r>
        <w:rPr>
          <w:b/>
          <w:bCs/>
        </w:rPr>
        <w:t>Keywords:</w:t>
      </w:r>
      <w:r>
        <w:rPr/>
        <w:t xml:space="preserve"> environmental stress, bulk segregant analysis, genetic architecture, chill coma recovery time, cold shock mortality, lethal time, thermal adaptation, QTL mapping</w:t>
      </w:r>
      <w:r>
        <w:br w:type="page"/>
      </w:r>
    </w:p>
    <w:p>
      <w:pPr>
        <w:pStyle w:val="Heading1"/>
        <w:spacing w:lineRule="auto" w:line="276" w:before="0" w:after="113"/>
        <w:jc w:val="left"/>
        <w:rPr>
          <w:rFonts w:eastAsia="Times New Roman" w:cs="Times New Roman"/>
          <w:b w:val="false"/>
          <w:b w:val="false"/>
          <w:bCs w:val="false"/>
          <w:color w:val="000000"/>
          <w:kern w:val="0"/>
          <w:lang w:val="en-DE" w:eastAsia="en-US" w:bidi="ar-SA"/>
        </w:rPr>
      </w:pPr>
      <w:r>
        <w:rPr>
          <w:rFonts w:eastAsia="Times New Roman" w:cs="Times New Roman"/>
          <w:b w:val="false"/>
          <w:bCs w:val="false"/>
          <w:color w:val="000000"/>
          <w:kern w:val="0"/>
          <w:lang w:val="en-DE" w:eastAsia="en-US" w:bidi="ar-SA"/>
        </w:rPr>
        <w:t>Abstract</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As a major element of the environment, temperature impacts the geographical ranges of insects. Therefore, the worldwide distribution of insects follows adaptation to wide ranges of temperature. A population of </w:t>
      </w:r>
      <w:r>
        <w:rPr>
          <w:rFonts w:ascii="Times New Roman" w:hAnsi="Times New Roman"/>
          <w:i/>
          <w:iCs/>
          <w:sz w:val="24"/>
          <w:szCs w:val="24"/>
        </w:rPr>
        <w:t>Drosophila ananassae</w:t>
      </w:r>
      <w:r>
        <w:rPr>
          <w:rFonts w:ascii="Times New Roman" w:hAnsi="Times New Roman"/>
          <w:sz w:val="24"/>
          <w:szCs w:val="24"/>
        </w:rPr>
        <w:t xml:space="preserve"> from the ancestral region showed variation in cold tolerance levels. The ancestral Bangkok population also differed from the derived Kathmandu population regarding cold tolerance. However, the phenotypic variation was only measured by chill coma assays, and no further characterization of the cold tolerance phenotype was performed. Here, we aimed to characterize further the iso-female lines of Bangkok and Kathmandu populations and the recombinant inbred lines generated from the ancestral population using lethal time and cold shock mortality in addition to chill coma recovery time. We showed that cold tolerance phenotypes differ between sexes, the additional phenotypes do not correlate significantly to chill coma recovery time, and some recombinant inbred lines have extreme phenotypes with higher tolerance than the tolerant founder or lower tolerance than the sensitive founder. We performed bulk segregant analysis using the recombinant inbred lines that exhibited extreme chill coma recovery time to identify genomic regions responsible for the phenotype. We identified 16 regions with significant association with the phenotype and showed that the genes in the putative regions were enriched in muscle development, metabolic processes, and cytoskeletal protein binding. Our results provide further evidence for the need for multiple cold tolerance phenotypes and shed light on the genetic architecture of adaptive phenotypic changes in natural populations of </w:t>
      </w:r>
      <w:r>
        <w:rPr>
          <w:rFonts w:ascii="Times New Roman" w:hAnsi="Times New Roman"/>
          <w:i/>
          <w:iCs/>
          <w:sz w:val="24"/>
          <w:szCs w:val="24"/>
        </w:rPr>
        <w:t>Drosophila</w:t>
      </w:r>
      <w:r>
        <w:rPr>
          <w:rFonts w:ascii="Times New Roman" w:hAnsi="Times New Roman"/>
          <w:sz w:val="24"/>
          <w:szCs w:val="24"/>
        </w:rPr>
        <w:t>.</w:t>
      </w:r>
      <w:r>
        <w:br w:type="page"/>
      </w:r>
    </w:p>
    <w:p>
      <w:pPr>
        <w:pStyle w:val="Heading2"/>
        <w:spacing w:lineRule="auto" w:line="276" w:before="0" w:after="113"/>
        <w:rPr>
          <w:rFonts w:ascii="Arial" w:hAnsi="Arial"/>
          <w:b w:val="false"/>
          <w:b w:val="false"/>
          <w:bCs w:val="false"/>
          <w:sz w:val="28"/>
          <w:szCs w:val="28"/>
        </w:rPr>
      </w:pPr>
      <w:r>
        <w:rPr>
          <w:rFonts w:eastAsia="Times New Roman" w:cs="Times New Roman"/>
          <w:b w:val="false"/>
          <w:bCs w:val="false"/>
          <w:color w:val="000000"/>
          <w:kern w:val="0"/>
          <w:sz w:val="28"/>
          <w:szCs w:val="28"/>
          <w:lang w:val="en-DE" w:eastAsia="en-US" w:bidi="ar-SA"/>
        </w:rPr>
        <w:t>Introduction</w:t>
      </w:r>
    </w:p>
    <w:p>
      <w:pPr>
        <w:pStyle w:val="Heading2"/>
        <w:spacing w:lineRule="auto" w:line="276" w:before="0" w:after="113"/>
        <w:jc w:val="both"/>
        <w:rPr>
          <w:rFonts w:ascii="Arial" w:hAnsi="Arial"/>
          <w:sz w:val="28"/>
          <w:szCs w:val="28"/>
        </w:rPr>
      </w:pPr>
      <w:r>
        <w:rPr>
          <w:rFonts w:ascii="Times New Roman" w:hAnsi="Times New Roman"/>
          <w:sz w:val="24"/>
          <w:szCs w:val="24"/>
        </w:rPr>
        <w:t xml:space="preserve">Insects can be found in all ecosystems around the globe. Surviving in diverse environmental conditions requires adaptation to various biotic and abiotic elements. As temperature is a significant and changing element of an ecosystem, the need for thermal adaptation becomes inevitable for survival in different habitats. In addition, variation in thermal tolerance also enables range expansion. Insects have various strategies to survive at temperatures outside their optimal range, which allows healthy reproduction, allowing them to tolerate or avoid freezing or, at least, tolerate chilling (Baust &amp; Lee, 1987; Ring, 1982; Teets </w:t>
      </w:r>
      <w:r>
        <w:rPr>
          <w:rFonts w:ascii="Times New Roman" w:hAnsi="Times New Roman"/>
          <w:i/>
          <w:iCs/>
          <w:sz w:val="24"/>
          <w:szCs w:val="24"/>
        </w:rPr>
        <w:t>et al.</w:t>
      </w:r>
      <w:r>
        <w:rPr>
          <w:rFonts w:ascii="Times New Roman" w:hAnsi="Times New Roman"/>
          <w:sz w:val="24"/>
          <w:szCs w:val="24"/>
        </w:rPr>
        <w:t xml:space="preserve">, 2008, 2012; Teets &amp; Denlinger, 2013; Wang </w:t>
      </w:r>
      <w:r>
        <w:rPr>
          <w:rFonts w:ascii="Times New Roman" w:hAnsi="Times New Roman"/>
          <w:i/>
          <w:iCs/>
          <w:sz w:val="24"/>
          <w:szCs w:val="24"/>
        </w:rPr>
        <w:t>et al.</w:t>
      </w:r>
      <w:r>
        <w:rPr>
          <w:rFonts w:ascii="Times New Roman" w:hAnsi="Times New Roman"/>
          <w:sz w:val="24"/>
          <w:szCs w:val="24"/>
        </w:rPr>
        <w:t>, 2017). However, chill-susceptible insects cannot survive extended exposure to cold (Sinclair, 1999). Investigating the genetic basis of phenotypic differences for cold tolerance is critical to understanding thermal adaptation.</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Chill-susceptible insects, when exposed to cold, cannot maintain ion-water homeostasis and suffer from chilling injuries (Sinclair, 1999; Strachan</w:t>
      </w:r>
      <w:r>
        <w:rPr>
          <w:rFonts w:ascii="Times New Roman" w:hAnsi="Times New Roman"/>
          <w:i/>
          <w:iCs/>
          <w:sz w:val="24"/>
          <w:szCs w:val="24"/>
        </w:rPr>
        <w:t xml:space="preserve"> et al.</w:t>
      </w:r>
      <w:r>
        <w:rPr>
          <w:rFonts w:ascii="Times New Roman" w:hAnsi="Times New Roman"/>
          <w:sz w:val="24"/>
          <w:szCs w:val="24"/>
        </w:rPr>
        <w:t xml:space="preserve">, 2011; MacMillan </w:t>
      </w:r>
      <w:r>
        <w:rPr>
          <w:rFonts w:ascii="Times New Roman" w:hAnsi="Times New Roman"/>
          <w:i/>
          <w:iCs/>
          <w:sz w:val="24"/>
          <w:szCs w:val="24"/>
        </w:rPr>
        <w:t>et al</w:t>
      </w:r>
      <w:r>
        <w:rPr>
          <w:rFonts w:ascii="Times New Roman" w:hAnsi="Times New Roman"/>
          <w:sz w:val="24"/>
          <w:szCs w:val="24"/>
        </w:rPr>
        <w:t xml:space="preserve">., 2015). When the temperature is as low as their critical thermal minimum (CTmin), they lose neuromuscular coordination and fall into a reversible chill coma. Chill coma recovery time (CCRT) can be measured once the insects are brought into warmer temperatures and used as a proxy for cold tolerance (David </w:t>
      </w:r>
      <w:r>
        <w:rPr>
          <w:rFonts w:ascii="Times New Roman" w:hAnsi="Times New Roman"/>
          <w:i/>
          <w:iCs/>
          <w:sz w:val="24"/>
          <w:szCs w:val="24"/>
        </w:rPr>
        <w:t>et al</w:t>
      </w:r>
      <w:r>
        <w:rPr>
          <w:rFonts w:ascii="Times New Roman" w:hAnsi="Times New Roman"/>
          <w:sz w:val="24"/>
          <w:szCs w:val="24"/>
        </w:rPr>
        <w:t xml:space="preserve">., 1998; Gibert </w:t>
      </w:r>
      <w:r>
        <w:rPr>
          <w:rFonts w:ascii="Times New Roman" w:hAnsi="Times New Roman"/>
          <w:i/>
          <w:iCs/>
          <w:sz w:val="24"/>
          <w:szCs w:val="24"/>
        </w:rPr>
        <w:t>et al.</w:t>
      </w:r>
      <w:r>
        <w:rPr>
          <w:rFonts w:ascii="Times New Roman" w:hAnsi="Times New Roman"/>
          <w:sz w:val="24"/>
          <w:szCs w:val="24"/>
        </w:rPr>
        <w:t>, 2001). Extended exposure to severe cold results in mortality. The mortality rate after a specific cold exposure (cold shock mortality) or the duration of exposure resulting in a 50% mortality rate (L</w:t>
      </w:r>
      <w:r>
        <w:rPr>
          <w:rFonts w:ascii="Times New Roman" w:hAnsi="Times New Roman"/>
          <w:position w:val="0"/>
          <w:sz w:val="24"/>
          <w:sz w:val="24"/>
          <w:szCs w:val="24"/>
          <w:vertAlign w:val="baseline"/>
        </w:rPr>
        <w:t>Ti50</w:t>
      </w:r>
      <w:r>
        <w:rPr>
          <w:rFonts w:ascii="Times New Roman" w:hAnsi="Times New Roman"/>
          <w:sz w:val="24"/>
          <w:szCs w:val="24"/>
        </w:rPr>
        <w:t>) can also be used to measure tolerance to cold (Andersen</w:t>
      </w:r>
      <w:r>
        <w:rPr>
          <w:rFonts w:ascii="Times New Roman" w:hAnsi="Times New Roman"/>
          <w:i/>
          <w:iCs/>
          <w:sz w:val="24"/>
          <w:szCs w:val="24"/>
        </w:rPr>
        <w:t xml:space="preserve"> et al.</w:t>
      </w:r>
      <w:r>
        <w:rPr>
          <w:rFonts w:ascii="Times New Roman" w:hAnsi="Times New Roman"/>
          <w:sz w:val="24"/>
          <w:szCs w:val="24"/>
        </w:rPr>
        <w:t>, 2015). Even though they appear linked, the physiological mechanisms underlying these phenotypes differ (reviewed in Overgaard &amp; MacMillan, 2017). This explains why there are multiple measures of cold tolerance and why they do not always correlate significantly.</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Previous studies on insect cold tolerance have primarily focused on </w:t>
      </w:r>
      <w:r>
        <w:rPr>
          <w:rFonts w:ascii="Times New Roman" w:hAnsi="Times New Roman"/>
          <w:i/>
          <w:iCs/>
          <w:sz w:val="24"/>
          <w:szCs w:val="24"/>
        </w:rPr>
        <w:t>Drosophila</w:t>
      </w:r>
      <w:r>
        <w:rPr>
          <w:rFonts w:ascii="Times New Roman" w:hAnsi="Times New Roman"/>
          <w:sz w:val="24"/>
          <w:szCs w:val="24"/>
        </w:rPr>
        <w:t xml:space="preserve"> species, which have established a worldwide distribution and undergone necessary environmental adaptations (Andersen </w:t>
      </w:r>
      <w:r>
        <w:rPr>
          <w:rFonts w:ascii="Times New Roman" w:hAnsi="Times New Roman"/>
          <w:i/>
          <w:iCs/>
          <w:sz w:val="24"/>
          <w:szCs w:val="24"/>
        </w:rPr>
        <w:t>et al.</w:t>
      </w:r>
      <w:r>
        <w:rPr>
          <w:rFonts w:ascii="Times New Roman" w:hAnsi="Times New Roman"/>
          <w:sz w:val="24"/>
          <w:szCs w:val="24"/>
        </w:rPr>
        <w:t xml:space="preserve">, 2015; Bubliy </w:t>
      </w:r>
      <w:r>
        <w:rPr>
          <w:rFonts w:ascii="Times New Roman" w:hAnsi="Times New Roman"/>
          <w:i/>
          <w:iCs/>
          <w:sz w:val="24"/>
          <w:szCs w:val="24"/>
        </w:rPr>
        <w:t>et al.</w:t>
      </w:r>
      <w:r>
        <w:rPr>
          <w:rFonts w:ascii="Times New Roman" w:hAnsi="Times New Roman"/>
          <w:sz w:val="24"/>
          <w:szCs w:val="24"/>
        </w:rPr>
        <w:t xml:space="preserve">, 2002; Colinet </w:t>
      </w:r>
      <w:r>
        <w:rPr>
          <w:rFonts w:ascii="Times New Roman" w:hAnsi="Times New Roman"/>
          <w:i/>
          <w:iCs/>
          <w:sz w:val="24"/>
          <w:szCs w:val="24"/>
        </w:rPr>
        <w:t>et al.</w:t>
      </w:r>
      <w:r>
        <w:rPr>
          <w:rFonts w:ascii="Times New Roman" w:hAnsi="Times New Roman"/>
          <w:sz w:val="24"/>
          <w:szCs w:val="24"/>
        </w:rPr>
        <w:t>, 2017;</w:t>
      </w:r>
      <w:r>
        <w:rPr>
          <w:rFonts w:ascii="Times New Roman" w:hAnsi="Times New Roman"/>
          <w:i/>
          <w:iCs/>
          <w:sz w:val="24"/>
          <w:szCs w:val="24"/>
        </w:rPr>
        <w:t xml:space="preserve"> </w:t>
      </w:r>
      <w:r>
        <w:rPr>
          <w:rFonts w:ascii="Times New Roman" w:hAnsi="Times New Roman"/>
          <w:sz w:val="24"/>
          <w:szCs w:val="24"/>
        </w:rPr>
        <w:t xml:space="preserve">Hoffmann </w:t>
      </w:r>
      <w:r>
        <w:rPr>
          <w:rFonts w:ascii="Times New Roman" w:hAnsi="Times New Roman"/>
          <w:i/>
          <w:iCs/>
          <w:sz w:val="24"/>
          <w:szCs w:val="24"/>
        </w:rPr>
        <w:t>et al.,</w:t>
      </w:r>
      <w:r>
        <w:rPr>
          <w:rFonts w:ascii="Times New Roman" w:hAnsi="Times New Roman"/>
          <w:sz w:val="24"/>
          <w:szCs w:val="24"/>
        </w:rPr>
        <w:t xml:space="preserve"> 2002; Hoffmann &amp; Watson, 1993; MacMillan </w:t>
      </w:r>
      <w:r>
        <w:rPr>
          <w:rFonts w:ascii="Times New Roman" w:hAnsi="Times New Roman"/>
          <w:i/>
          <w:iCs/>
          <w:sz w:val="24"/>
          <w:szCs w:val="24"/>
        </w:rPr>
        <w:t xml:space="preserve"> et al.</w:t>
      </w:r>
      <w:r>
        <w:rPr>
          <w:rFonts w:ascii="Times New Roman" w:hAnsi="Times New Roman"/>
          <w:sz w:val="24"/>
          <w:szCs w:val="24"/>
        </w:rPr>
        <w:t xml:space="preserve">, 2015, 2016, 2017; Parker </w:t>
      </w:r>
      <w:r>
        <w:rPr>
          <w:rFonts w:ascii="Times New Roman" w:hAnsi="Times New Roman"/>
          <w:i/>
          <w:iCs/>
          <w:sz w:val="24"/>
          <w:szCs w:val="24"/>
        </w:rPr>
        <w:t>et al.</w:t>
      </w:r>
      <w:r>
        <w:rPr>
          <w:rFonts w:ascii="Times New Roman" w:hAnsi="Times New Roman"/>
          <w:sz w:val="24"/>
          <w:szCs w:val="24"/>
        </w:rPr>
        <w:t xml:space="preserve">, 2015, 2021). Among these species, </w:t>
      </w:r>
      <w:r>
        <w:rPr>
          <w:rFonts w:ascii="Times New Roman" w:hAnsi="Times New Roman"/>
          <w:i/>
          <w:iCs/>
          <w:sz w:val="24"/>
          <w:szCs w:val="24"/>
        </w:rPr>
        <w:t>Drosophila ananassae</w:t>
      </w:r>
      <w:r>
        <w:rPr>
          <w:rFonts w:ascii="Times New Roman" w:hAnsi="Times New Roman"/>
          <w:sz w:val="24"/>
          <w:szCs w:val="24"/>
        </w:rPr>
        <w:t xml:space="preserve">, a tropical-originated species, has recently emerged as a promising model for studying the genetic architecture of cold tolerance (Königer &amp; Grath, 2018; Königer </w:t>
      </w:r>
      <w:r>
        <w:rPr>
          <w:rFonts w:ascii="Times New Roman" w:hAnsi="Times New Roman"/>
          <w:i/>
          <w:iCs/>
          <w:sz w:val="24"/>
          <w:szCs w:val="24"/>
        </w:rPr>
        <w:t>et al.</w:t>
      </w:r>
      <w:r>
        <w:rPr>
          <w:rFonts w:ascii="Times New Roman" w:hAnsi="Times New Roman"/>
          <w:sz w:val="24"/>
          <w:szCs w:val="24"/>
        </w:rPr>
        <w:t>, 2019; Y</w:t>
      </w:r>
      <w:r>
        <w:rPr>
          <w:rFonts w:ascii="Times New Roman" w:hAnsi="Times New Roman"/>
          <w:sz w:val="24"/>
          <w:szCs w:val="24"/>
          <w:lang w:val="tr-TR"/>
        </w:rPr>
        <w:t>ılmaz</w:t>
      </w:r>
      <w:r>
        <w:rPr>
          <w:rFonts w:ascii="Times New Roman" w:hAnsi="Times New Roman"/>
          <w:sz w:val="24"/>
          <w:szCs w:val="24"/>
          <w:lang w:val="en-US"/>
        </w:rPr>
        <w:t xml:space="preserve"> </w:t>
      </w:r>
      <w:r>
        <w:rPr>
          <w:rFonts w:ascii="Times New Roman" w:hAnsi="Times New Roman"/>
          <w:i/>
          <w:iCs/>
          <w:sz w:val="24"/>
          <w:szCs w:val="24"/>
          <w:lang w:val="en-US"/>
        </w:rPr>
        <w:t>et al.</w:t>
      </w:r>
      <w:r>
        <w:rPr>
          <w:rFonts w:ascii="Times New Roman" w:hAnsi="Times New Roman"/>
          <w:sz w:val="24"/>
          <w:szCs w:val="24"/>
          <w:lang w:val="en-US"/>
        </w:rPr>
        <w:t>, 2023</w:t>
      </w:r>
      <w:r>
        <w:rPr>
          <w:rFonts w:ascii="Times New Roman" w:hAnsi="Times New Roman"/>
          <w:sz w:val="24"/>
          <w:szCs w:val="24"/>
        </w:rPr>
        <w:t xml:space="preserve">). This species not only expanded its geographical range but also exhibited differences in cold tolerance within and between populations (Tobari, 1993; Das </w:t>
      </w:r>
      <w:r>
        <w:rPr>
          <w:rFonts w:ascii="Times New Roman" w:hAnsi="Times New Roman"/>
          <w:i/>
          <w:iCs/>
          <w:sz w:val="24"/>
          <w:szCs w:val="24"/>
        </w:rPr>
        <w:t>et al.</w:t>
      </w:r>
      <w:r>
        <w:rPr>
          <w:rFonts w:ascii="Times New Roman" w:hAnsi="Times New Roman"/>
          <w:sz w:val="24"/>
          <w:szCs w:val="24"/>
        </w:rPr>
        <w:t xml:space="preserve">, 2004; Königer &amp; Grath, 2018; Königer </w:t>
      </w:r>
      <w:r>
        <w:rPr>
          <w:rFonts w:ascii="Times New Roman" w:hAnsi="Times New Roman"/>
          <w:i/>
          <w:iCs/>
          <w:sz w:val="24"/>
          <w:szCs w:val="24"/>
        </w:rPr>
        <w:t>et al.</w:t>
      </w:r>
      <w:r>
        <w:rPr>
          <w:rFonts w:ascii="Times New Roman" w:hAnsi="Times New Roman"/>
          <w:sz w:val="24"/>
          <w:szCs w:val="24"/>
        </w:rPr>
        <w:t>, 2019; Y</w:t>
      </w:r>
      <w:r>
        <w:rPr>
          <w:rFonts w:ascii="Times New Roman" w:hAnsi="Times New Roman"/>
          <w:sz w:val="24"/>
          <w:szCs w:val="24"/>
          <w:lang w:val="tr-TR"/>
        </w:rPr>
        <w:t>ılmaz</w:t>
      </w:r>
      <w:r>
        <w:rPr>
          <w:rFonts w:ascii="Times New Roman" w:hAnsi="Times New Roman"/>
          <w:sz w:val="24"/>
          <w:szCs w:val="24"/>
          <w:lang w:val="en-US"/>
        </w:rPr>
        <w:t xml:space="preserve"> </w:t>
      </w:r>
      <w:r>
        <w:rPr>
          <w:rFonts w:ascii="Times New Roman" w:hAnsi="Times New Roman"/>
          <w:i/>
          <w:iCs/>
          <w:sz w:val="24"/>
          <w:szCs w:val="24"/>
          <w:lang w:val="en-US"/>
        </w:rPr>
        <w:t>et al.</w:t>
      </w:r>
      <w:r>
        <w:rPr>
          <w:rFonts w:ascii="Times New Roman" w:hAnsi="Times New Roman"/>
          <w:sz w:val="24"/>
          <w:szCs w:val="24"/>
          <w:lang w:val="en-US"/>
        </w:rPr>
        <w:t>, 202</w:t>
      </w:r>
      <w:r>
        <w:rPr>
          <w:rFonts w:ascii="Times New Roman" w:hAnsi="Times New Roman"/>
          <w:sz w:val="24"/>
          <w:szCs w:val="24"/>
          <w:lang w:val="en-US"/>
        </w:rPr>
        <w:t>5</w:t>
      </w:r>
      <w:r>
        <w:rPr>
          <w:rFonts w:ascii="Times New Roman" w:hAnsi="Times New Roman"/>
          <w:sz w:val="24"/>
          <w:szCs w:val="24"/>
        </w:rPr>
        <w:t xml:space="preserve">). A population of ancestral origin from Bangkok, Thailand, showed variation among the iso-female lines, with some lines characterized as tolerant and others as sensitive based on their chill coma recovery time (CCRT). In contrast, a derived population from Kathmandu, Nepal, had less variation in CCRT, with all iso-female lines categorized as tolerant. This underscores the potential of </w:t>
      </w:r>
      <w:r>
        <w:rPr>
          <w:rFonts w:ascii="Times New Roman" w:hAnsi="Times New Roman"/>
          <w:i/>
          <w:iCs/>
          <w:sz w:val="24"/>
          <w:szCs w:val="24"/>
        </w:rPr>
        <w:t>D. ananassae</w:t>
      </w:r>
      <w:r>
        <w:rPr>
          <w:rFonts w:ascii="Times New Roman" w:hAnsi="Times New Roman"/>
          <w:sz w:val="24"/>
          <w:szCs w:val="24"/>
        </w:rPr>
        <w:t xml:space="preserve"> in advancing our understanding of the genetic basis of cold tolerance.</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The studies focusing on the cold tolerance of </w:t>
      </w:r>
      <w:r>
        <w:rPr>
          <w:rFonts w:ascii="Times New Roman" w:hAnsi="Times New Roman"/>
          <w:i/>
          <w:iCs/>
          <w:sz w:val="24"/>
          <w:szCs w:val="24"/>
        </w:rPr>
        <w:t>D. ananassae</w:t>
      </w:r>
      <w:r>
        <w:rPr>
          <w:rFonts w:ascii="Times New Roman" w:hAnsi="Times New Roman"/>
          <w:sz w:val="24"/>
          <w:szCs w:val="24"/>
        </w:rPr>
        <w:t xml:space="preserve"> used only CCRT to characterize the cold tolerance on the ancestral Bangkok and the derived Kathmandu populations. One of these studies performed comparative transcriptomic analysis during the recovery from chill coma, identifying genes responsible for the difference between fast and slow recovering iso-female lines from the ancestral population (Königer &amp; Grath, 2018). Another study generated a panel of recombinant inbred lines (RILs) using the fastest and slowest recovering iso-female lines from the Bangkok population and performed a quantitative trait loci (QTL) mapping that explained 64% of the phenotypic variance (Königer </w:t>
      </w:r>
      <w:r>
        <w:rPr>
          <w:rFonts w:ascii="Times New Roman" w:hAnsi="Times New Roman"/>
          <w:i/>
          <w:iCs/>
          <w:sz w:val="24"/>
          <w:szCs w:val="24"/>
        </w:rPr>
        <w:t>et al.</w:t>
      </w:r>
      <w:r>
        <w:rPr>
          <w:rFonts w:ascii="Times New Roman" w:hAnsi="Times New Roman"/>
          <w:sz w:val="24"/>
          <w:szCs w:val="24"/>
        </w:rPr>
        <w:t>, 2019). A recent study focused on the transcriptomic response to cold acclimation that improved CCRT phenotype and identified the biochemical pathways responsible for the acclimation response in the whole body and the ionoregulatory tissues of both Bangkok and Kathmandu populations (Y</w:t>
      </w:r>
      <w:r>
        <w:rPr>
          <w:rFonts w:ascii="Times New Roman" w:hAnsi="Times New Roman"/>
          <w:sz w:val="24"/>
          <w:szCs w:val="24"/>
          <w:lang w:val="tr-TR"/>
        </w:rPr>
        <w:t>ılmaz</w:t>
      </w:r>
      <w:r>
        <w:rPr>
          <w:rFonts w:ascii="Times New Roman" w:hAnsi="Times New Roman"/>
          <w:sz w:val="24"/>
          <w:szCs w:val="24"/>
          <w:lang w:val="en-US"/>
        </w:rPr>
        <w:t xml:space="preserve"> </w:t>
      </w:r>
      <w:r>
        <w:rPr>
          <w:rFonts w:ascii="Times New Roman" w:hAnsi="Times New Roman"/>
          <w:i/>
          <w:iCs/>
          <w:sz w:val="24"/>
          <w:szCs w:val="24"/>
          <w:lang w:val="en-US"/>
        </w:rPr>
        <w:t>et al.</w:t>
      </w:r>
      <w:r>
        <w:rPr>
          <w:rFonts w:ascii="Times New Roman" w:hAnsi="Times New Roman"/>
          <w:sz w:val="24"/>
          <w:szCs w:val="24"/>
          <w:lang w:val="en-US"/>
        </w:rPr>
        <w:t>, 202</w:t>
      </w:r>
      <w:r>
        <w:rPr>
          <w:rFonts w:ascii="Times New Roman" w:hAnsi="Times New Roman"/>
          <w:sz w:val="24"/>
          <w:szCs w:val="24"/>
          <w:lang w:val="en-US"/>
        </w:rPr>
        <w:t>5</w:t>
      </w:r>
      <w:r>
        <w:rPr>
          <w:rFonts w:ascii="Times New Roman" w:hAnsi="Times New Roman"/>
          <w:sz w:val="24"/>
          <w:szCs w:val="24"/>
        </w:rPr>
        <w:t>).</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Bulk segregant analysis (BSA) is a cost-effective method to identify putative loci that are responsible for variation in a phenotype (Pool, 2016). By crossing two founder strains with opposite phenotypes, a recombinant population is generated exhibiting a wide range of the phenotype of interest. Instead of genotyping in large numbers, only the individuals with extreme phenotypes are sequenced and mapped as a pool (Pool, 2016; Kurlovs </w:t>
      </w:r>
      <w:r>
        <w:rPr>
          <w:rFonts w:ascii="Times New Roman" w:hAnsi="Times New Roman"/>
          <w:i/>
          <w:iCs/>
          <w:sz w:val="24"/>
          <w:szCs w:val="24"/>
        </w:rPr>
        <w:t>et al.</w:t>
      </w:r>
      <w:r>
        <w:rPr>
          <w:rFonts w:ascii="Times New Roman" w:hAnsi="Times New Roman"/>
          <w:sz w:val="24"/>
          <w:szCs w:val="24"/>
        </w:rPr>
        <w:t xml:space="preserve">, 2019). The differences in allele frequencies between the two extreme offspring pools can be used to detect putative loci (Bastide </w:t>
      </w:r>
      <w:r>
        <w:rPr>
          <w:rFonts w:ascii="Times New Roman" w:hAnsi="Times New Roman"/>
          <w:i/>
          <w:iCs/>
          <w:sz w:val="24"/>
          <w:szCs w:val="24"/>
        </w:rPr>
        <w:t>et al.</w:t>
      </w:r>
      <w:r>
        <w:rPr>
          <w:rFonts w:ascii="Times New Roman" w:hAnsi="Times New Roman"/>
          <w:sz w:val="24"/>
          <w:szCs w:val="24"/>
        </w:rPr>
        <w:t xml:space="preserve">, 2016; Bryon </w:t>
      </w:r>
      <w:r>
        <w:rPr>
          <w:rFonts w:ascii="Times New Roman" w:hAnsi="Times New Roman"/>
          <w:i/>
          <w:iCs/>
          <w:sz w:val="24"/>
          <w:szCs w:val="24"/>
        </w:rPr>
        <w:t>et al.</w:t>
      </w:r>
      <w:r>
        <w:rPr>
          <w:rFonts w:ascii="Times New Roman" w:hAnsi="Times New Roman"/>
          <w:sz w:val="24"/>
          <w:szCs w:val="24"/>
        </w:rPr>
        <w:t xml:space="preserve">, 2017; Snoeck </w:t>
      </w:r>
      <w:r>
        <w:rPr>
          <w:rFonts w:ascii="Times New Roman" w:hAnsi="Times New Roman"/>
          <w:i/>
          <w:iCs/>
          <w:sz w:val="24"/>
          <w:szCs w:val="24"/>
        </w:rPr>
        <w:t>et al.</w:t>
      </w:r>
      <w:r>
        <w:rPr>
          <w:rFonts w:ascii="Times New Roman" w:hAnsi="Times New Roman"/>
          <w:sz w:val="24"/>
          <w:szCs w:val="24"/>
        </w:rPr>
        <w:t xml:space="preserve">, 2019; Wybouw </w:t>
      </w:r>
      <w:r>
        <w:rPr>
          <w:rFonts w:ascii="Times New Roman" w:hAnsi="Times New Roman"/>
          <w:i/>
          <w:iCs/>
          <w:sz w:val="24"/>
          <w:szCs w:val="24"/>
        </w:rPr>
        <w:t>et al.</w:t>
      </w:r>
      <w:r>
        <w:rPr>
          <w:rFonts w:ascii="Times New Roman" w:hAnsi="Times New Roman"/>
          <w:sz w:val="24"/>
          <w:szCs w:val="24"/>
        </w:rPr>
        <w:t xml:space="preserve">, 2019). Benowitz </w:t>
      </w:r>
      <w:r>
        <w:rPr>
          <w:rFonts w:ascii="Times New Roman" w:hAnsi="Times New Roman"/>
          <w:i/>
          <w:iCs/>
          <w:sz w:val="24"/>
          <w:szCs w:val="24"/>
        </w:rPr>
        <w:t>et al.</w:t>
      </w:r>
      <w:r>
        <w:rPr>
          <w:rFonts w:ascii="Times New Roman" w:hAnsi="Times New Roman"/>
          <w:sz w:val="24"/>
          <w:szCs w:val="24"/>
        </w:rPr>
        <w:t xml:space="preserve"> (2019) used BSA to determine the genetic architecture of </w:t>
      </w:r>
      <w:r>
        <w:rPr>
          <w:rFonts w:ascii="Times New Roman" w:hAnsi="Times New Roman"/>
          <w:i/>
          <w:iCs/>
          <w:sz w:val="24"/>
          <w:szCs w:val="24"/>
        </w:rPr>
        <w:t>Drosophila mojavensis</w:t>
      </w:r>
      <w:r>
        <w:rPr>
          <w:rFonts w:ascii="Times New Roman" w:hAnsi="Times New Roman"/>
          <w:sz w:val="24"/>
          <w:szCs w:val="24"/>
        </w:rPr>
        <w:t xml:space="preserve"> locomotor activity. In another study, BSA was used to investigate the genetic basis of melanic evolution in </w:t>
      </w:r>
      <w:r>
        <w:rPr>
          <w:rFonts w:ascii="Times New Roman" w:hAnsi="Times New Roman"/>
          <w:i/>
          <w:iCs/>
          <w:sz w:val="24"/>
          <w:szCs w:val="24"/>
        </w:rPr>
        <w:t>Drosophila melanogaster</w:t>
      </w:r>
      <w:r>
        <w:rPr>
          <w:rFonts w:ascii="Times New Roman" w:hAnsi="Times New Roman"/>
          <w:sz w:val="24"/>
          <w:szCs w:val="24"/>
        </w:rPr>
        <w:t xml:space="preserve"> (Bastide </w:t>
      </w:r>
      <w:r>
        <w:rPr>
          <w:rFonts w:ascii="Times New Roman" w:hAnsi="Times New Roman"/>
          <w:i/>
          <w:iCs/>
          <w:sz w:val="24"/>
          <w:szCs w:val="24"/>
        </w:rPr>
        <w:t>et al.</w:t>
      </w:r>
      <w:r>
        <w:rPr>
          <w:rFonts w:ascii="Times New Roman" w:hAnsi="Times New Roman"/>
          <w:sz w:val="24"/>
          <w:szCs w:val="24"/>
        </w:rPr>
        <w:t xml:space="preserve">, 2016). In addition to </w:t>
      </w:r>
      <w:r>
        <w:rPr>
          <w:rFonts w:ascii="Times New Roman" w:hAnsi="Times New Roman"/>
          <w:i/>
          <w:iCs/>
          <w:sz w:val="24"/>
          <w:szCs w:val="24"/>
        </w:rPr>
        <w:t>Drosophila</w:t>
      </w:r>
      <w:r>
        <w:rPr>
          <w:rFonts w:ascii="Times New Roman" w:hAnsi="Times New Roman"/>
          <w:sz w:val="24"/>
          <w:szCs w:val="24"/>
        </w:rPr>
        <w:t xml:space="preserve"> species, BSA has been widely used in a variety of organisms, including other insects, yeast, and plants (Edwards &amp; Gifford, 2012; Kurlovs </w:t>
      </w:r>
      <w:r>
        <w:rPr>
          <w:rFonts w:ascii="Times New Roman" w:hAnsi="Times New Roman"/>
          <w:i/>
          <w:iCs/>
          <w:sz w:val="24"/>
          <w:szCs w:val="24"/>
        </w:rPr>
        <w:t>et al.</w:t>
      </w:r>
      <w:r>
        <w:rPr>
          <w:rFonts w:ascii="Times New Roman" w:hAnsi="Times New Roman"/>
          <w:sz w:val="24"/>
          <w:szCs w:val="24"/>
        </w:rPr>
        <w:t xml:space="preserve">, 2019; Ma </w:t>
      </w:r>
      <w:r>
        <w:rPr>
          <w:rFonts w:ascii="Times New Roman" w:hAnsi="Times New Roman"/>
          <w:i/>
          <w:iCs/>
          <w:sz w:val="24"/>
          <w:szCs w:val="24"/>
        </w:rPr>
        <w:t xml:space="preserve"> et al.</w:t>
      </w:r>
      <w:r>
        <w:rPr>
          <w:rFonts w:ascii="Times New Roman" w:hAnsi="Times New Roman"/>
          <w:sz w:val="24"/>
          <w:szCs w:val="24"/>
        </w:rPr>
        <w:t xml:space="preserve">, 2023; Magwene </w:t>
      </w:r>
      <w:r>
        <w:rPr>
          <w:rFonts w:ascii="Times New Roman" w:hAnsi="Times New Roman"/>
          <w:i/>
          <w:iCs/>
          <w:sz w:val="24"/>
          <w:szCs w:val="24"/>
        </w:rPr>
        <w:t>et al</w:t>
      </w:r>
      <w:r>
        <w:rPr>
          <w:rFonts w:ascii="Times New Roman" w:hAnsi="Times New Roman"/>
          <w:sz w:val="24"/>
          <w:szCs w:val="24"/>
        </w:rPr>
        <w:t xml:space="preserve">., 2011; Michelmore </w:t>
      </w:r>
      <w:r>
        <w:rPr>
          <w:rFonts w:ascii="Times New Roman" w:hAnsi="Times New Roman"/>
          <w:i/>
          <w:iCs/>
          <w:sz w:val="24"/>
          <w:szCs w:val="24"/>
        </w:rPr>
        <w:t>et al.</w:t>
      </w:r>
      <w:r>
        <w:rPr>
          <w:rFonts w:ascii="Times New Roman" w:hAnsi="Times New Roman"/>
          <w:sz w:val="24"/>
          <w:szCs w:val="24"/>
        </w:rPr>
        <w:t>, 1991; V</w:t>
      </w:r>
      <w:r>
        <w:rPr>
          <w:rFonts w:ascii="Times New Roman" w:hAnsi="Times New Roman"/>
          <w:sz w:val="24"/>
          <w:szCs w:val="24"/>
        </w:rPr>
        <w:t>o</w:t>
      </w:r>
      <w:r>
        <w:rPr>
          <w:rFonts w:ascii="Times New Roman" w:hAnsi="Times New Roman"/>
          <w:sz w:val="24"/>
          <w:szCs w:val="24"/>
        </w:rPr>
        <w:t xml:space="preserve">s </w:t>
      </w:r>
      <w:r>
        <w:rPr>
          <w:rFonts w:ascii="Times New Roman" w:hAnsi="Times New Roman"/>
          <w:i/>
          <w:iCs/>
          <w:sz w:val="24"/>
          <w:szCs w:val="24"/>
        </w:rPr>
        <w:t xml:space="preserve"> et al.</w:t>
      </w:r>
      <w:r>
        <w:rPr>
          <w:rFonts w:ascii="Times New Roman" w:hAnsi="Times New Roman"/>
          <w:sz w:val="24"/>
          <w:szCs w:val="24"/>
        </w:rPr>
        <w:t>, 2022).</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In our current study, we have further characterized the iso-female lines from Bangkok and Kathmandu, as well as 16 RILs, using not only CCRT but also cold shock (CS) mortality and L</w:t>
      </w:r>
      <w:r>
        <w:rPr>
          <w:rFonts w:ascii="Times New Roman" w:hAnsi="Times New Roman"/>
          <w:position w:val="0"/>
          <w:sz w:val="24"/>
          <w:sz w:val="24"/>
          <w:szCs w:val="24"/>
          <w:vertAlign w:val="baseline"/>
        </w:rPr>
        <w:t>Ti50</w:t>
      </w:r>
      <w:r>
        <w:rPr>
          <w:rFonts w:ascii="Times New Roman" w:hAnsi="Times New Roman"/>
          <w:sz w:val="24"/>
          <w:szCs w:val="24"/>
        </w:rPr>
        <w:t>. Our findings reveal that while CCRT did not significantly correlate with CS mortality or L</w:t>
      </w:r>
      <w:r>
        <w:rPr>
          <w:rFonts w:ascii="Times New Roman" w:hAnsi="Times New Roman"/>
          <w:position w:val="0"/>
          <w:sz w:val="24"/>
          <w:sz w:val="24"/>
          <w:szCs w:val="24"/>
          <w:vertAlign w:val="baseline"/>
        </w:rPr>
        <w:t>Ti50</w:t>
      </w:r>
      <w:r>
        <w:rPr>
          <w:rFonts w:ascii="Times New Roman" w:hAnsi="Times New Roman"/>
          <w:sz w:val="24"/>
          <w:szCs w:val="24"/>
        </w:rPr>
        <w:t xml:space="preserve">, the latter two showed a significant correlation. Additionally, we performed a BSA mapping using the RILs with extreme CCRT, identified 16 QTL regions significantly associated with the phenotypic difference, and performed a gene ontology (GO) enrichment analysis of the putative QTLs. Finally, we suggested candidate genes responsible for the CCRT difference within the Bangkok population. Our work not only underscores the importance of using multiple measures for characterizing populations but also identifies the genetic components of cold tolerance in </w:t>
      </w:r>
      <w:r>
        <w:rPr>
          <w:rFonts w:ascii="Times New Roman" w:hAnsi="Times New Roman"/>
          <w:i/>
          <w:iCs/>
          <w:sz w:val="24"/>
          <w:szCs w:val="24"/>
        </w:rPr>
        <w:t>Drosophila ananassae</w:t>
      </w:r>
      <w:r>
        <w:rPr>
          <w:rFonts w:ascii="Times New Roman" w:hAnsi="Times New Roman"/>
          <w:sz w:val="24"/>
          <w:szCs w:val="24"/>
        </w:rPr>
        <w:t>, providing valuable insights for future research in this field.</w:t>
      </w:r>
    </w:p>
    <w:p>
      <w:pPr>
        <w:pStyle w:val="Heading2"/>
        <w:spacing w:lineRule="auto" w:line="276" w:before="0" w:after="113"/>
        <w:rPr>
          <w:rFonts w:ascii="Arial" w:hAnsi="Arial" w:eastAsia="Times New Roman" w:cs="Times New Roman"/>
          <w:b w:val="false"/>
          <w:b w:val="false"/>
          <w:bCs w:val="false"/>
          <w:color w:val="000000"/>
          <w:kern w:val="0"/>
          <w:sz w:val="28"/>
          <w:szCs w:val="28"/>
          <w:lang w:val="en-DE" w:eastAsia="en-US" w:bidi="ar-SA"/>
        </w:rPr>
      </w:pPr>
      <w:r>
        <w:rPr>
          <w:rFonts w:eastAsia="Times New Roman" w:cs="Times New Roman"/>
          <w:b w:val="false"/>
          <w:bCs w:val="false"/>
          <w:color w:val="000000"/>
          <w:kern w:val="0"/>
          <w:sz w:val="28"/>
          <w:szCs w:val="28"/>
          <w:lang w:val="en-DE" w:eastAsia="en-US" w:bidi="ar-SA"/>
        </w:rPr>
        <w:t>Results</w:t>
      </w:r>
    </w:p>
    <w:p>
      <w:pPr>
        <w:pStyle w:val="Heading3"/>
        <w:spacing w:lineRule="auto" w:line="276" w:before="0" w:after="113"/>
        <w:rPr>
          <w:rFonts w:ascii="Times New Roman" w:hAnsi="Times New Roman"/>
          <w:sz w:val="24"/>
          <w:szCs w:val="24"/>
        </w:rPr>
      </w:pPr>
      <w:r>
        <w:rPr>
          <w:rFonts w:ascii="Times New Roman" w:hAnsi="Times New Roman"/>
          <w:sz w:val="24"/>
          <w:szCs w:val="24"/>
        </w:rPr>
        <w:t>Chill Coma Recovery Time</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We first measured the CCRT of flies from the Bangkok and Kathmandu populations and the recombinant inbred lines (RILs) upon 3-hour cold shock (Figure 1, Table S1). The average CCRT was 42.46 minutes for fast-recovering Bangkok lines, 61.03 minutes for slow-recovering Bangkok lines, and 55.3 minutes for Kathmandu lines. For RILs, the average CCRT was 54.62 minutes, ranging from 28 to 84.26 minutes. Two-way ANOVA suggested that sex and strain have an effect on the phenotype as well as their interaction (Table 1). However, a paired t-test showed that the mean CCRT of the sexes was not significantly different (p-value = 0.07737) (Figure S1). The RILs with lower CCRT than the fast-founder (BKK12) or higher CCRT than the slow-founder (BKK13) lines were designated as lines with extreme phenotypes. Among the RILs, six strains showed extreme CCRT phenotypes, which were chosen for bulk segregant analysis.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r>
    </w:p>
    <w:p>
      <w:pPr>
        <w:pStyle w:val="Caption1"/>
        <w:spacing w:lineRule="auto" w:line="276" w:before="0" w:after="113"/>
        <w:rPr>
          <w:rFonts w:ascii="Times New Roman" w:hAnsi="Times New Roman"/>
          <w:sz w:val="24"/>
          <w:szCs w:val="24"/>
        </w:rPr>
      </w:pPr>
      <w:r>
        <w:rPr>
          <w:rFonts w:ascii="Times New Roman" w:hAnsi="Times New Roman"/>
          <w:b/>
          <w:bCs/>
          <w:sz w:val="24"/>
          <w:szCs w:val="24"/>
        </w:rPr>
        <w:t>Table 1</w:t>
      </w:r>
      <w:r>
        <w:rPr>
          <w:rFonts w:ascii="Times New Roman" w:hAnsi="Times New Roman"/>
          <w:sz w:val="24"/>
          <w:szCs w:val="24"/>
        </w:rPr>
        <w:t xml:space="preserve">: Two-way ANOVA results  for CCRT phenotype using the formula that include the interaction term, </w:t>
      </w:r>
      <w:r>
        <w:rPr>
          <w:rFonts w:ascii="Times New Roman" w:hAnsi="Times New Roman"/>
          <w:i/>
          <w:iCs/>
          <w:sz w:val="24"/>
          <w:szCs w:val="24"/>
        </w:rPr>
        <w:t>Time~Sex*Strain</w:t>
      </w:r>
      <w:r>
        <w:rPr>
          <w:rFonts w:ascii="Times New Roman" w:hAnsi="Times New Roman"/>
          <w:sz w:val="24"/>
          <w:szCs w:val="24"/>
        </w:rPr>
        <w:t>. (***) indicate p-value &lt; 0.001. The columns indicate degrees of freedom (df), sums of squares (Sum Sq), mean of squares (Mean Sq), F value, and p-value (Pr(&gt;F)).</w:t>
      </w:r>
    </w:p>
    <w:tbl>
      <w:tblPr>
        <w:tblStyle w:val="TableGrid"/>
        <w:tblW w:w="9361" w:type="dxa"/>
        <w:jc w:val="left"/>
        <w:tblInd w:w="0" w:type="dxa"/>
        <w:tblCellMar>
          <w:top w:w="0" w:type="dxa"/>
          <w:left w:w="108" w:type="dxa"/>
          <w:bottom w:w="0" w:type="dxa"/>
          <w:right w:w="108" w:type="dxa"/>
        </w:tblCellMar>
        <w:tblLook w:val="04a0" w:noHBand="0" w:noVBand="1" w:firstColumn="1" w:lastRow="0" w:lastColumn="0" w:firstRow="1"/>
      </w:tblPr>
      <w:tblGrid>
        <w:gridCol w:w="1509"/>
        <w:gridCol w:w="1235"/>
        <w:gridCol w:w="1361"/>
        <w:gridCol w:w="1294"/>
        <w:gridCol w:w="1331"/>
        <w:gridCol w:w="1459"/>
        <w:gridCol w:w="1171"/>
      </w:tblGrid>
      <w:tr>
        <w:trPr/>
        <w:tc>
          <w:tcPr>
            <w:tcW w:w="1509" w:type="dxa"/>
            <w:tcBorders>
              <w:top w:val="nil"/>
              <w:left w:val="nil"/>
              <w:right w:val="nil"/>
            </w:tcBorders>
          </w:tcPr>
          <w:p>
            <w:pPr>
              <w:pStyle w:val="Normal"/>
              <w:spacing w:lineRule="auto" w:line="276" w:before="0" w:after="113"/>
              <w:rPr>
                <w:rFonts w:ascii="Times New Roman" w:hAnsi="Times New Roman"/>
                <w:b/>
                <w:b/>
                <w:bCs/>
                <w:sz w:val="24"/>
                <w:szCs w:val="24"/>
              </w:rPr>
            </w:pPr>
            <w:r>
              <w:rPr>
                <w:rFonts w:ascii="Times New Roman" w:hAnsi="Times New Roman"/>
                <w:b/>
                <w:bCs/>
                <w:sz w:val="24"/>
                <w:szCs w:val="24"/>
              </w:rPr>
            </w:r>
          </w:p>
        </w:tc>
        <w:tc>
          <w:tcPr>
            <w:tcW w:w="1235"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df</w:t>
            </w:r>
          </w:p>
        </w:tc>
        <w:tc>
          <w:tcPr>
            <w:tcW w:w="1361"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Sum Sq</w:t>
            </w:r>
          </w:p>
        </w:tc>
        <w:tc>
          <w:tcPr>
            <w:tcW w:w="1294"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Mean Sq</w:t>
            </w:r>
          </w:p>
        </w:tc>
        <w:tc>
          <w:tcPr>
            <w:tcW w:w="1331"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F value</w:t>
            </w:r>
          </w:p>
        </w:tc>
        <w:tc>
          <w:tcPr>
            <w:tcW w:w="1459"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Pr(&gt;F)</w:t>
            </w:r>
          </w:p>
        </w:tc>
        <w:tc>
          <w:tcPr>
            <w:tcW w:w="1171" w:type="dxa"/>
            <w:tcBorders>
              <w:top w:val="nil"/>
              <w:left w:val="nil"/>
              <w:right w:val="nil"/>
            </w:tcBorders>
            <w:vAlign w:val="center"/>
          </w:tcPr>
          <w:p>
            <w:pPr>
              <w:pStyle w:val="Normal"/>
              <w:spacing w:lineRule="auto" w:line="276" w:before="0" w:after="113"/>
              <w:jc w:val="center"/>
              <w:rPr>
                <w:rFonts w:ascii="Times New Roman" w:hAnsi="Times New Roman"/>
                <w:b/>
                <w:b/>
                <w:bCs/>
                <w:sz w:val="24"/>
                <w:szCs w:val="24"/>
              </w:rPr>
            </w:pPr>
            <w:r>
              <w:rPr>
                <w:rFonts w:ascii="Times New Roman" w:hAnsi="Times New Roman"/>
                <w:b/>
                <w:bCs/>
                <w:sz w:val="24"/>
                <w:szCs w:val="24"/>
              </w:rPr>
            </w:r>
          </w:p>
        </w:tc>
      </w:tr>
      <w:tr>
        <w:trPr/>
        <w:tc>
          <w:tcPr>
            <w:tcW w:w="1509" w:type="dxa"/>
            <w:tcBorders>
              <w:left w:val="nil"/>
              <w:bottom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Sex</w:t>
            </w:r>
          </w:p>
        </w:tc>
        <w:tc>
          <w:tcPr>
            <w:tcW w:w="1235"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1</w:t>
            </w:r>
          </w:p>
        </w:tc>
        <w:tc>
          <w:tcPr>
            <w:tcW w:w="1361"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3946</w:t>
            </w:r>
          </w:p>
        </w:tc>
        <w:tc>
          <w:tcPr>
            <w:tcW w:w="1294"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3946</w:t>
            </w:r>
          </w:p>
        </w:tc>
        <w:tc>
          <w:tcPr>
            <w:tcW w:w="1331"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13.043</w:t>
            </w:r>
          </w:p>
        </w:tc>
        <w:tc>
          <w:tcPr>
            <w:tcW w:w="1459"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0.000314</w:t>
            </w:r>
          </w:p>
        </w:tc>
        <w:tc>
          <w:tcPr>
            <w:tcW w:w="1171"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w:t>
            </w:r>
          </w:p>
        </w:tc>
      </w:tr>
      <w:tr>
        <w:trPr/>
        <w:tc>
          <w:tcPr>
            <w:tcW w:w="1509" w:type="dxa"/>
            <w:tcBorders>
              <w:top w:val="nil"/>
              <w:left w:val="nil"/>
              <w:bottom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Strain</w:t>
            </w:r>
          </w:p>
        </w:tc>
        <w:tc>
          <w:tcPr>
            <w:tcW w:w="1235"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26</w:t>
            </w:r>
          </w:p>
        </w:tc>
        <w:tc>
          <w:tcPr>
            <w:tcW w:w="1361"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223470</w:t>
            </w:r>
          </w:p>
        </w:tc>
        <w:tc>
          <w:tcPr>
            <w:tcW w:w="1294"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8595</w:t>
            </w:r>
          </w:p>
        </w:tc>
        <w:tc>
          <w:tcPr>
            <w:tcW w:w="1331"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28.411</w:t>
            </w:r>
          </w:p>
        </w:tc>
        <w:tc>
          <w:tcPr>
            <w:tcW w:w="1459"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&lt; 2e-16</w:t>
            </w:r>
          </w:p>
        </w:tc>
        <w:tc>
          <w:tcPr>
            <w:tcW w:w="1171"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w:t>
            </w:r>
          </w:p>
        </w:tc>
      </w:tr>
      <w:tr>
        <w:trPr/>
        <w:tc>
          <w:tcPr>
            <w:tcW w:w="1509" w:type="dxa"/>
            <w:tcBorders>
              <w:top w:val="nil"/>
              <w:left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Sex:Strain</w:t>
            </w:r>
          </w:p>
        </w:tc>
        <w:tc>
          <w:tcPr>
            <w:tcW w:w="1235"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26</w:t>
            </w:r>
          </w:p>
        </w:tc>
        <w:tc>
          <w:tcPr>
            <w:tcW w:w="1361"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28167</w:t>
            </w:r>
          </w:p>
        </w:tc>
        <w:tc>
          <w:tcPr>
            <w:tcW w:w="1294"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1083</w:t>
            </w:r>
          </w:p>
        </w:tc>
        <w:tc>
          <w:tcPr>
            <w:tcW w:w="1331"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3.581</w:t>
            </w:r>
          </w:p>
        </w:tc>
        <w:tc>
          <w:tcPr>
            <w:tcW w:w="1459"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3.68e-09</w:t>
            </w:r>
          </w:p>
        </w:tc>
        <w:tc>
          <w:tcPr>
            <w:tcW w:w="1171"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w:t>
            </w:r>
          </w:p>
        </w:tc>
      </w:tr>
      <w:tr>
        <w:trPr/>
        <w:tc>
          <w:tcPr>
            <w:tcW w:w="1509" w:type="dxa"/>
            <w:tcBorders>
              <w:left w:val="nil"/>
              <w:bottom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Residuals</w:t>
            </w:r>
          </w:p>
        </w:tc>
        <w:tc>
          <w:tcPr>
            <w:tcW w:w="1235"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1548</w:t>
            </w:r>
          </w:p>
        </w:tc>
        <w:tc>
          <w:tcPr>
            <w:tcW w:w="1361"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468307</w:t>
            </w:r>
          </w:p>
        </w:tc>
        <w:tc>
          <w:tcPr>
            <w:tcW w:w="1294"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303</w:t>
            </w:r>
          </w:p>
        </w:tc>
        <w:tc>
          <w:tcPr>
            <w:tcW w:w="1331"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c>
          <w:tcPr>
            <w:tcW w:w="1459"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c>
          <w:tcPr>
            <w:tcW w:w="1171"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r>
    </w:tbl>
    <w:p>
      <w:pPr>
        <w:pStyle w:val="Heading3"/>
        <w:spacing w:lineRule="auto" w:line="276" w:before="0" w:after="113"/>
        <w:rPr>
          <w:rFonts w:ascii="Times New Roman" w:hAnsi="Times New Roman"/>
          <w:sz w:val="24"/>
          <w:szCs w:val="24"/>
        </w:rPr>
      </w:pPr>
      <w:r>
        <w:rPr>
          <w:rFonts w:ascii="Times New Roman" w:hAnsi="Times New Roman"/>
          <w:sz w:val="24"/>
          <w:szCs w:val="24"/>
        </w:rPr>
      </w:r>
    </w:p>
    <w:p>
      <w:pPr>
        <w:pStyle w:val="Heading3"/>
        <w:spacing w:lineRule="auto" w:line="276" w:before="0" w:after="113"/>
        <w:rPr>
          <w:rFonts w:ascii="Times New Roman" w:hAnsi="Times New Roman"/>
          <w:sz w:val="24"/>
          <w:szCs w:val="24"/>
        </w:rPr>
      </w:pPr>
      <w:r>
        <w:rPr>
          <w:rFonts w:ascii="Times New Roman" w:hAnsi="Times New Roman"/>
          <w:sz w:val="24"/>
          <w:szCs w:val="24"/>
        </w:rPr>
        <w:t xml:space="preserve">Mortality upon Cold Shock </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Next, we focused on mortality upon cold shock. We counted the number of dead flies from the Bangkok and Kathmandu populations and the recombinant inbred lines (RILs) upon 8-hour cold shock followed by 2-hour recovery (Figure 2, Table S2). The average mortality was 28.7% for fast-recovering BKK lines, 51.3% for slow-recovering BKK lines, and 56.7% for KATH lines. For RILs, the average mortality was 39%, ranging from 10% to 86.7%. Two-way ANOVA suggested that sex and strain significantly affect the phenotype but not their interaction (Table 2). The paired t-test also showed that the mortality difference between sexes was significant (p-value = 0.02697) (Figure S2). Additionally, average mortality upon 8-hour cold shock and average CCRT showed a significant positive correlation (correlation coefficient = 0.4074743, p-value = 0.002227).</w:t>
      </w:r>
      <w:r>
        <w:br w:type="page"/>
      </w:r>
    </w:p>
    <w:p>
      <w:pPr>
        <w:pStyle w:val="Caption1"/>
        <w:spacing w:lineRule="auto" w:line="276" w:before="0" w:after="113"/>
        <w:jc w:val="both"/>
        <w:rPr>
          <w:rFonts w:ascii="Times New Roman" w:hAnsi="Times New Roman"/>
          <w:sz w:val="24"/>
          <w:szCs w:val="24"/>
        </w:rPr>
      </w:pPr>
      <w:r>
        <w:rPr>
          <w:rFonts w:ascii="Times New Roman" w:hAnsi="Times New Roman"/>
          <w:b/>
          <w:bCs/>
          <w:sz w:val="24"/>
          <w:szCs w:val="24"/>
        </w:rPr>
        <w:t>Table 2</w:t>
      </w:r>
      <w:r>
        <w:rPr>
          <w:rFonts w:ascii="Times New Roman" w:hAnsi="Times New Roman"/>
          <w:sz w:val="24"/>
          <w:szCs w:val="24"/>
        </w:rPr>
        <w:t xml:space="preserve">: Two-way ANOVA results for cold shock mortality phenotype using the formula that include the interaction term, </w:t>
      </w:r>
      <w:r>
        <w:rPr>
          <w:rFonts w:ascii="Times New Roman" w:hAnsi="Times New Roman"/>
          <w:i/>
          <w:iCs/>
          <w:sz w:val="24"/>
          <w:szCs w:val="24"/>
        </w:rPr>
        <w:t>Time~Sex*Strain</w:t>
      </w:r>
      <w:r>
        <w:rPr>
          <w:rFonts w:ascii="Times New Roman" w:hAnsi="Times New Roman"/>
          <w:sz w:val="24"/>
          <w:szCs w:val="24"/>
        </w:rPr>
        <w:t>. (**) indicate p-value &lt; 0.01 and (***) indicate p-value &lt; 0.001. The columns indicate degrees of freedom (df), sums of squares (Sum Sq), mean of squares (Mean Sq), F value, and p-value (Pr(&gt;F)).</w:t>
      </w:r>
    </w:p>
    <w:tbl>
      <w:tblPr>
        <w:tblStyle w:val="TableGrid"/>
        <w:tblW w:w="9359" w:type="dxa"/>
        <w:jc w:val="left"/>
        <w:tblInd w:w="0" w:type="dxa"/>
        <w:tblCellMar>
          <w:top w:w="0" w:type="dxa"/>
          <w:left w:w="108" w:type="dxa"/>
          <w:bottom w:w="0" w:type="dxa"/>
          <w:right w:w="108" w:type="dxa"/>
        </w:tblCellMar>
        <w:tblLook w:val="04a0" w:noHBand="0" w:noVBand="1" w:firstColumn="1" w:lastRow="0" w:lastColumn="0" w:firstRow="1"/>
      </w:tblPr>
      <w:tblGrid>
        <w:gridCol w:w="1533"/>
        <w:gridCol w:w="1212"/>
        <w:gridCol w:w="1306"/>
        <w:gridCol w:w="1364"/>
        <w:gridCol w:w="1306"/>
        <w:gridCol w:w="1426"/>
        <w:gridCol w:w="1211"/>
      </w:tblGrid>
      <w:tr>
        <w:trPr/>
        <w:tc>
          <w:tcPr>
            <w:tcW w:w="1533" w:type="dxa"/>
            <w:tcBorders>
              <w:top w:val="nil"/>
              <w:left w:val="nil"/>
              <w:right w:val="nil"/>
            </w:tcBorders>
          </w:tcPr>
          <w:p>
            <w:pPr>
              <w:pStyle w:val="Normal"/>
              <w:spacing w:lineRule="auto" w:line="276" w:before="0" w:after="113"/>
              <w:rPr>
                <w:rFonts w:ascii="Times New Roman" w:hAnsi="Times New Roman"/>
                <w:b/>
                <w:b/>
                <w:bCs/>
                <w:sz w:val="24"/>
                <w:szCs w:val="24"/>
              </w:rPr>
            </w:pPr>
            <w:r>
              <w:rPr>
                <w:rFonts w:ascii="Times New Roman" w:hAnsi="Times New Roman"/>
                <w:b/>
                <w:bCs/>
                <w:sz w:val="24"/>
                <w:szCs w:val="24"/>
              </w:rPr>
            </w:r>
          </w:p>
        </w:tc>
        <w:tc>
          <w:tcPr>
            <w:tcW w:w="1212"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df</w:t>
            </w:r>
          </w:p>
        </w:tc>
        <w:tc>
          <w:tcPr>
            <w:tcW w:w="1306"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Sum Sq</w:t>
            </w:r>
          </w:p>
        </w:tc>
        <w:tc>
          <w:tcPr>
            <w:tcW w:w="1364"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Mean Sq</w:t>
            </w:r>
          </w:p>
        </w:tc>
        <w:tc>
          <w:tcPr>
            <w:tcW w:w="1306"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F value</w:t>
            </w:r>
          </w:p>
        </w:tc>
        <w:tc>
          <w:tcPr>
            <w:tcW w:w="1426"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Pr(&gt;F)</w:t>
            </w:r>
          </w:p>
        </w:tc>
        <w:tc>
          <w:tcPr>
            <w:tcW w:w="1211" w:type="dxa"/>
            <w:tcBorders>
              <w:top w:val="nil"/>
              <w:left w:val="nil"/>
              <w:right w:val="nil"/>
            </w:tcBorders>
            <w:vAlign w:val="center"/>
          </w:tcPr>
          <w:p>
            <w:pPr>
              <w:pStyle w:val="Normal"/>
              <w:spacing w:lineRule="auto" w:line="276" w:before="0" w:after="113"/>
              <w:jc w:val="center"/>
              <w:rPr>
                <w:rFonts w:ascii="Times New Roman" w:hAnsi="Times New Roman"/>
                <w:b/>
                <w:b/>
                <w:bCs/>
                <w:sz w:val="24"/>
                <w:szCs w:val="24"/>
              </w:rPr>
            </w:pPr>
            <w:r>
              <w:rPr>
                <w:rFonts w:ascii="Times New Roman" w:hAnsi="Times New Roman"/>
                <w:b/>
                <w:bCs/>
                <w:sz w:val="24"/>
                <w:szCs w:val="24"/>
              </w:rPr>
            </w:r>
          </w:p>
        </w:tc>
      </w:tr>
      <w:tr>
        <w:trPr/>
        <w:tc>
          <w:tcPr>
            <w:tcW w:w="1533" w:type="dxa"/>
            <w:tcBorders>
              <w:left w:val="nil"/>
              <w:bottom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Sex</w:t>
            </w:r>
          </w:p>
        </w:tc>
        <w:tc>
          <w:tcPr>
            <w:tcW w:w="1212"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1</w:t>
            </w:r>
          </w:p>
        </w:tc>
        <w:tc>
          <w:tcPr>
            <w:tcW w:w="1306"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20.8</w:t>
            </w:r>
          </w:p>
        </w:tc>
        <w:tc>
          <w:tcPr>
            <w:tcW w:w="1364"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20.765</w:t>
            </w:r>
          </w:p>
        </w:tc>
        <w:tc>
          <w:tcPr>
            <w:tcW w:w="1306"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6.908</w:t>
            </w:r>
          </w:p>
        </w:tc>
        <w:tc>
          <w:tcPr>
            <w:tcW w:w="1426"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0.00983</w:t>
            </w:r>
          </w:p>
        </w:tc>
        <w:tc>
          <w:tcPr>
            <w:tcW w:w="1211"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w:t>
            </w:r>
          </w:p>
        </w:tc>
      </w:tr>
      <w:tr>
        <w:trPr/>
        <w:tc>
          <w:tcPr>
            <w:tcW w:w="1533" w:type="dxa"/>
            <w:tcBorders>
              <w:top w:val="nil"/>
              <w:left w:val="nil"/>
              <w:bottom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Strain</w:t>
            </w:r>
          </w:p>
        </w:tc>
        <w:tc>
          <w:tcPr>
            <w:tcW w:w="1212"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26</w:t>
            </w:r>
          </w:p>
        </w:tc>
        <w:tc>
          <w:tcPr>
            <w:tcW w:w="1306"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693.9</w:t>
            </w:r>
          </w:p>
        </w:tc>
        <w:tc>
          <w:tcPr>
            <w:tcW w:w="1364"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26.687</w:t>
            </w:r>
          </w:p>
        </w:tc>
        <w:tc>
          <w:tcPr>
            <w:tcW w:w="1306"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8.877</w:t>
            </w:r>
          </w:p>
        </w:tc>
        <w:tc>
          <w:tcPr>
            <w:tcW w:w="1426"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&lt; 2e-16</w:t>
            </w:r>
          </w:p>
        </w:tc>
        <w:tc>
          <w:tcPr>
            <w:tcW w:w="1211" w:type="dxa"/>
            <w:tcBorders>
              <w:top w:val="nil"/>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w:t>
            </w:r>
          </w:p>
        </w:tc>
      </w:tr>
      <w:tr>
        <w:trPr/>
        <w:tc>
          <w:tcPr>
            <w:tcW w:w="1533" w:type="dxa"/>
            <w:tcBorders>
              <w:top w:val="nil"/>
              <w:left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Sex:Strain</w:t>
            </w:r>
          </w:p>
        </w:tc>
        <w:tc>
          <w:tcPr>
            <w:tcW w:w="1212"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26</w:t>
            </w:r>
          </w:p>
        </w:tc>
        <w:tc>
          <w:tcPr>
            <w:tcW w:w="1306"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98.2</w:t>
            </w:r>
          </w:p>
        </w:tc>
        <w:tc>
          <w:tcPr>
            <w:tcW w:w="1364"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3.778</w:t>
            </w:r>
          </w:p>
        </w:tc>
        <w:tc>
          <w:tcPr>
            <w:tcW w:w="1306"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1.257</w:t>
            </w:r>
          </w:p>
        </w:tc>
        <w:tc>
          <w:tcPr>
            <w:tcW w:w="1426"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0.20706</w:t>
            </w:r>
          </w:p>
        </w:tc>
        <w:tc>
          <w:tcPr>
            <w:tcW w:w="1211" w:type="dxa"/>
            <w:tcBorders>
              <w:top w:val="nil"/>
              <w:left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r>
      <w:tr>
        <w:trPr/>
        <w:tc>
          <w:tcPr>
            <w:tcW w:w="1533" w:type="dxa"/>
            <w:tcBorders>
              <w:left w:val="nil"/>
              <w:bottom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Residuals</w:t>
            </w:r>
          </w:p>
        </w:tc>
        <w:tc>
          <w:tcPr>
            <w:tcW w:w="1212"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108</w:t>
            </w:r>
          </w:p>
        </w:tc>
        <w:tc>
          <w:tcPr>
            <w:tcW w:w="1306"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324.7</w:t>
            </w:r>
          </w:p>
        </w:tc>
        <w:tc>
          <w:tcPr>
            <w:tcW w:w="1364"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3.006</w:t>
            </w:r>
          </w:p>
        </w:tc>
        <w:tc>
          <w:tcPr>
            <w:tcW w:w="1306"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c>
          <w:tcPr>
            <w:tcW w:w="1426"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c>
          <w:tcPr>
            <w:tcW w:w="1211" w:type="dxa"/>
            <w:tcBorders>
              <w:left w:val="nil"/>
              <w:bottom w:val="nil"/>
              <w:right w:val="nil"/>
            </w:tcBorders>
            <w:vAlign w:val="center"/>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r>
    </w:tbl>
    <w:p>
      <w:pPr>
        <w:pStyle w:val="Normal"/>
        <w:spacing w:lineRule="auto" w:line="276" w:before="0" w:after="113"/>
        <w:rPr>
          <w:rFonts w:ascii="Times New Roman" w:hAnsi="Times New Roman"/>
          <w:sz w:val="24"/>
          <w:szCs w:val="24"/>
        </w:rPr>
      </w:pPr>
      <w:r>
        <w:rPr>
          <w:rFonts w:ascii="Times New Roman" w:hAnsi="Times New Roman"/>
          <w:sz w:val="24"/>
          <w:szCs w:val="24"/>
        </w:rPr>
      </w:r>
    </w:p>
    <w:p>
      <w:pPr>
        <w:pStyle w:val="Heading3"/>
        <w:spacing w:lineRule="auto" w:line="276" w:before="0" w:after="113"/>
        <w:rPr>
          <w:rFonts w:ascii="Times New Roman" w:hAnsi="Times New Roman"/>
          <w:sz w:val="24"/>
          <w:szCs w:val="24"/>
        </w:rPr>
      </w:pPr>
      <w:r>
        <w:rPr>
          <w:rFonts w:ascii="Times New Roman" w:hAnsi="Times New Roman"/>
          <w:sz w:val="24"/>
          <w:szCs w:val="24"/>
        </w:rPr>
        <w:t>Lethal Time (L</w:t>
      </w:r>
      <w:r>
        <w:rPr>
          <w:rFonts w:ascii="Times New Roman" w:hAnsi="Times New Roman"/>
          <w:position w:val="0"/>
          <w:sz w:val="24"/>
          <w:sz w:val="24"/>
          <w:szCs w:val="24"/>
          <w:vertAlign w:val="baseline"/>
        </w:rPr>
        <w:t>Ti50</w:t>
      </w:r>
      <w:r>
        <w:rPr>
          <w:rFonts w:ascii="Times New Roman" w:hAnsi="Times New Roman"/>
          <w:sz w:val="24"/>
          <w:szCs w:val="24"/>
        </w:rPr>
        <w:t>)</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The third and last phenotype used in this study was lethal time (L</w:t>
      </w:r>
      <w:r>
        <w:rPr>
          <w:rFonts w:ascii="Times New Roman" w:hAnsi="Times New Roman"/>
          <w:position w:val="0"/>
          <w:sz w:val="24"/>
          <w:sz w:val="24"/>
          <w:szCs w:val="24"/>
          <w:vertAlign w:val="baseline"/>
        </w:rPr>
        <w:t>Ti50</w:t>
      </w:r>
      <w:r>
        <w:rPr>
          <w:rFonts w:ascii="Times New Roman" w:hAnsi="Times New Roman"/>
          <w:sz w:val="24"/>
          <w:szCs w:val="24"/>
        </w:rPr>
        <w:t>). Mortality rates upon various durations of cold exposure were used to calculate the duration of exposure, resulting in 50% mortality (Table S3). The average L</w:t>
      </w:r>
      <w:r>
        <w:rPr>
          <w:rFonts w:ascii="Times New Roman" w:hAnsi="Times New Roman"/>
          <w:position w:val="0"/>
          <w:sz w:val="24"/>
          <w:sz w:val="24"/>
          <w:szCs w:val="24"/>
          <w:vertAlign w:val="baseline"/>
        </w:rPr>
        <w:t>Ti50</w:t>
      </w:r>
      <w:r>
        <w:rPr>
          <w:rFonts w:ascii="Times New Roman" w:hAnsi="Times New Roman"/>
          <w:sz w:val="24"/>
          <w:szCs w:val="24"/>
        </w:rPr>
        <w:t xml:space="preserve"> was 10.9 hours for fast-recovering BKK lines, 8.26 hours for slow-recovering BKK lines, and 7.77 hours for KATH lines. The L</w:t>
      </w:r>
      <w:r>
        <w:rPr>
          <w:rFonts w:ascii="Times New Roman" w:hAnsi="Times New Roman"/>
          <w:position w:val="0"/>
          <w:sz w:val="24"/>
          <w:sz w:val="24"/>
          <w:szCs w:val="24"/>
          <w:vertAlign w:val="baseline"/>
        </w:rPr>
        <w:t>Ti50</w:t>
      </w:r>
      <w:r>
        <w:rPr>
          <w:rFonts w:ascii="Times New Roman" w:hAnsi="Times New Roman"/>
          <w:sz w:val="24"/>
          <w:szCs w:val="24"/>
        </w:rPr>
        <w:t xml:space="preserve"> of RILs ranged from 5.56 hours to 10.1 hours. Since replicates were used to calculate the L</w:t>
      </w:r>
      <w:r>
        <w:rPr>
          <w:rFonts w:ascii="Times New Roman" w:hAnsi="Times New Roman"/>
          <w:position w:val="0"/>
          <w:sz w:val="24"/>
          <w:sz w:val="24"/>
          <w:szCs w:val="24"/>
          <w:vertAlign w:val="baseline"/>
        </w:rPr>
        <w:t>Ti50</w:t>
      </w:r>
      <w:r>
        <w:rPr>
          <w:rFonts w:ascii="Times New Roman" w:hAnsi="Times New Roman"/>
          <w:sz w:val="24"/>
          <w:szCs w:val="24"/>
        </w:rPr>
        <w:t xml:space="preserve"> of each sex and strain, one-way ANOVA was used to test the effects of sex and strain separately. The ANOVA tests indicated that only the effect of strain on lethal time was significant (Table 3). Additionally, L</w:t>
      </w:r>
      <w:r>
        <w:rPr>
          <w:rFonts w:ascii="Times New Roman" w:hAnsi="Times New Roman"/>
          <w:position w:val="0"/>
          <w:sz w:val="24"/>
          <w:sz w:val="24"/>
          <w:szCs w:val="24"/>
          <w:vertAlign w:val="baseline"/>
        </w:rPr>
        <w:t>Ti50</w:t>
      </w:r>
      <w:r>
        <w:rPr>
          <w:rFonts w:ascii="Times New Roman" w:hAnsi="Times New Roman"/>
          <w:sz w:val="24"/>
          <w:szCs w:val="24"/>
        </w:rPr>
        <w:t xml:space="preserve"> showed significant correlation with average mortality upon cold shock (correlation coefficient = -0.4942833, p-value = 0. 0.0001454) but not with average CCRT (correlation coefficient = 0.03809686, p-value = 0.7845).</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r>
    </w:p>
    <w:p>
      <w:pPr>
        <w:pStyle w:val="Caption1"/>
        <w:spacing w:lineRule="auto" w:line="276" w:before="0" w:after="113"/>
        <w:jc w:val="both"/>
        <w:rPr>
          <w:rFonts w:ascii="Times New Roman" w:hAnsi="Times New Roman"/>
          <w:sz w:val="24"/>
          <w:szCs w:val="24"/>
        </w:rPr>
      </w:pPr>
      <w:r>
        <w:rPr>
          <w:rFonts w:ascii="Times New Roman" w:hAnsi="Times New Roman"/>
          <w:b/>
          <w:bCs/>
          <w:sz w:val="24"/>
          <w:szCs w:val="24"/>
        </w:rPr>
        <w:t>Table 3</w:t>
      </w:r>
      <w:r>
        <w:rPr>
          <w:rFonts w:ascii="Times New Roman" w:hAnsi="Times New Roman"/>
          <w:sz w:val="24"/>
          <w:szCs w:val="24"/>
        </w:rPr>
        <w:t>: One-way ANOVA results for L</w:t>
      </w:r>
      <w:r>
        <w:rPr>
          <w:rFonts w:ascii="Times New Roman" w:hAnsi="Times New Roman"/>
          <w:position w:val="0"/>
          <w:sz w:val="24"/>
          <w:sz w:val="24"/>
          <w:szCs w:val="24"/>
          <w:vertAlign w:val="baseline"/>
        </w:rPr>
        <w:t>Ti50</w:t>
      </w:r>
      <w:r>
        <w:rPr>
          <w:rFonts w:ascii="Times New Roman" w:hAnsi="Times New Roman"/>
          <w:sz w:val="24"/>
          <w:szCs w:val="24"/>
        </w:rPr>
        <w:t xml:space="preserve"> phenotype using the formulas, </w:t>
      </w:r>
      <w:r>
        <w:rPr>
          <w:rFonts w:ascii="Times New Roman" w:hAnsi="Times New Roman"/>
          <w:i/>
          <w:iCs/>
          <w:sz w:val="24"/>
          <w:szCs w:val="24"/>
        </w:rPr>
        <w:t>Time~Sex</w:t>
      </w:r>
      <w:r>
        <w:rPr>
          <w:rFonts w:ascii="Times New Roman" w:hAnsi="Times New Roman"/>
          <w:sz w:val="24"/>
          <w:szCs w:val="24"/>
        </w:rPr>
        <w:t xml:space="preserve"> and </w:t>
      </w:r>
      <w:r>
        <w:rPr>
          <w:rFonts w:ascii="Times New Roman" w:hAnsi="Times New Roman"/>
          <w:i/>
          <w:iCs/>
          <w:sz w:val="24"/>
          <w:szCs w:val="24"/>
        </w:rPr>
        <w:t>Time~ Strain</w:t>
      </w:r>
      <w:r>
        <w:rPr>
          <w:rFonts w:ascii="Times New Roman" w:hAnsi="Times New Roman"/>
          <w:sz w:val="24"/>
          <w:szCs w:val="24"/>
        </w:rPr>
        <w:t>. (***) indicate p-value &lt; 0.001. The columns indicate degrees of freedom (df), sums of squares (Sum Sq), mean of squares (Mean Sq), F value, and p-value (Pr(&gt;F)).</w:t>
      </w:r>
    </w:p>
    <w:tbl>
      <w:tblPr>
        <w:tblStyle w:val="TableGrid"/>
        <w:tblW w:w="9359" w:type="dxa"/>
        <w:jc w:val="left"/>
        <w:tblInd w:w="0" w:type="dxa"/>
        <w:tblCellMar>
          <w:top w:w="0" w:type="dxa"/>
          <w:left w:w="108" w:type="dxa"/>
          <w:bottom w:w="0" w:type="dxa"/>
          <w:right w:w="108" w:type="dxa"/>
        </w:tblCellMar>
        <w:tblLook w:val="04a0" w:noHBand="0" w:noVBand="1" w:firstColumn="1" w:lastRow="0" w:lastColumn="0" w:firstRow="1"/>
      </w:tblPr>
      <w:tblGrid>
        <w:gridCol w:w="1533"/>
        <w:gridCol w:w="1212"/>
        <w:gridCol w:w="1306"/>
        <w:gridCol w:w="1364"/>
        <w:gridCol w:w="1306"/>
        <w:gridCol w:w="1426"/>
        <w:gridCol w:w="1211"/>
      </w:tblGrid>
      <w:tr>
        <w:trPr>
          <w:cantSplit w:val="true"/>
        </w:trPr>
        <w:tc>
          <w:tcPr>
            <w:tcW w:w="1533" w:type="dxa"/>
            <w:tcBorders>
              <w:top w:val="nil"/>
              <w:left w:val="nil"/>
              <w:right w:val="nil"/>
            </w:tcBorders>
          </w:tcPr>
          <w:p>
            <w:pPr>
              <w:pStyle w:val="Normal"/>
              <w:spacing w:lineRule="auto" w:line="276" w:before="0" w:after="113"/>
              <w:rPr>
                <w:rFonts w:ascii="Times New Roman" w:hAnsi="Times New Roman"/>
                <w:b/>
                <w:b/>
                <w:bCs/>
                <w:sz w:val="24"/>
                <w:szCs w:val="24"/>
              </w:rPr>
            </w:pPr>
            <w:r>
              <w:rPr>
                <w:rFonts w:ascii="Times New Roman" w:hAnsi="Times New Roman"/>
                <w:b/>
                <w:bCs/>
                <w:sz w:val="24"/>
                <w:szCs w:val="24"/>
              </w:rPr>
            </w:r>
          </w:p>
        </w:tc>
        <w:tc>
          <w:tcPr>
            <w:tcW w:w="1212" w:type="dxa"/>
            <w:tcBorders>
              <w:top w:val="nil"/>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df</w:t>
            </w:r>
          </w:p>
        </w:tc>
        <w:tc>
          <w:tcPr>
            <w:tcW w:w="1306" w:type="dxa"/>
            <w:tcBorders>
              <w:top w:val="nil"/>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Sum Sq</w:t>
            </w:r>
          </w:p>
        </w:tc>
        <w:tc>
          <w:tcPr>
            <w:tcW w:w="1364" w:type="dxa"/>
            <w:tcBorders>
              <w:top w:val="nil"/>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Mean Sq</w:t>
            </w:r>
          </w:p>
        </w:tc>
        <w:tc>
          <w:tcPr>
            <w:tcW w:w="1306" w:type="dxa"/>
            <w:tcBorders>
              <w:top w:val="nil"/>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F value</w:t>
            </w:r>
          </w:p>
        </w:tc>
        <w:tc>
          <w:tcPr>
            <w:tcW w:w="1426" w:type="dxa"/>
            <w:tcBorders>
              <w:top w:val="nil"/>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b/>
                <w:bCs/>
                <w:sz w:val="24"/>
                <w:szCs w:val="24"/>
              </w:rPr>
              <w:t>Pr(&gt;F)</w:t>
            </w:r>
          </w:p>
        </w:tc>
        <w:tc>
          <w:tcPr>
            <w:tcW w:w="1211" w:type="dxa"/>
            <w:tcBorders>
              <w:top w:val="nil"/>
              <w:left w:val="nil"/>
              <w:right w:val="nil"/>
            </w:tcBorders>
          </w:tcPr>
          <w:p>
            <w:pPr>
              <w:pStyle w:val="Normal"/>
              <w:spacing w:lineRule="auto" w:line="276" w:before="0" w:after="113"/>
              <w:jc w:val="center"/>
              <w:rPr>
                <w:rFonts w:ascii="Times New Roman" w:hAnsi="Times New Roman"/>
                <w:b/>
                <w:b/>
                <w:bCs/>
                <w:sz w:val="24"/>
                <w:szCs w:val="24"/>
              </w:rPr>
            </w:pPr>
            <w:r>
              <w:rPr>
                <w:rFonts w:ascii="Times New Roman" w:hAnsi="Times New Roman"/>
                <w:b/>
                <w:bCs/>
                <w:sz w:val="24"/>
                <w:szCs w:val="24"/>
              </w:rPr>
            </w:r>
          </w:p>
        </w:tc>
      </w:tr>
      <w:tr>
        <w:trPr>
          <w:cantSplit w:val="true"/>
        </w:trPr>
        <w:tc>
          <w:tcPr>
            <w:tcW w:w="1533" w:type="dxa"/>
            <w:tcBorders>
              <w:left w:val="nil"/>
              <w:bottom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Sex</w:t>
            </w:r>
          </w:p>
        </w:tc>
        <w:tc>
          <w:tcPr>
            <w:tcW w:w="1212" w:type="dxa"/>
            <w:tcBorders>
              <w:left w:val="nil"/>
              <w:bottom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1</w:t>
            </w:r>
          </w:p>
        </w:tc>
        <w:tc>
          <w:tcPr>
            <w:tcW w:w="1306" w:type="dxa"/>
            <w:tcBorders>
              <w:left w:val="nil"/>
              <w:bottom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 xml:space="preserve">2.97   </w:t>
            </w:r>
          </w:p>
        </w:tc>
        <w:tc>
          <w:tcPr>
            <w:tcW w:w="1364" w:type="dxa"/>
            <w:tcBorders>
              <w:left w:val="nil"/>
              <w:bottom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 xml:space="preserve">2.973   </w:t>
            </w:r>
          </w:p>
        </w:tc>
        <w:tc>
          <w:tcPr>
            <w:tcW w:w="1306" w:type="dxa"/>
            <w:tcBorders>
              <w:left w:val="nil"/>
              <w:bottom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 xml:space="preserve">1.313  </w:t>
            </w:r>
          </w:p>
        </w:tc>
        <w:tc>
          <w:tcPr>
            <w:tcW w:w="1426" w:type="dxa"/>
            <w:tcBorders>
              <w:left w:val="nil"/>
              <w:bottom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0.257</w:t>
            </w:r>
          </w:p>
        </w:tc>
        <w:tc>
          <w:tcPr>
            <w:tcW w:w="1211" w:type="dxa"/>
            <w:tcBorders>
              <w:left w:val="nil"/>
              <w:bottom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r>
      <w:tr>
        <w:trPr>
          <w:cantSplit w:val="true"/>
        </w:trPr>
        <w:tc>
          <w:tcPr>
            <w:tcW w:w="1533" w:type="dxa"/>
            <w:tcBorders>
              <w:left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Residuals</w:t>
            </w:r>
          </w:p>
        </w:tc>
        <w:tc>
          <w:tcPr>
            <w:tcW w:w="1212"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52</w:t>
            </w:r>
          </w:p>
        </w:tc>
        <w:tc>
          <w:tcPr>
            <w:tcW w:w="1306"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 xml:space="preserve">117.68   </w:t>
            </w:r>
          </w:p>
        </w:tc>
        <w:tc>
          <w:tcPr>
            <w:tcW w:w="1364"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2.263</w:t>
            </w:r>
          </w:p>
        </w:tc>
        <w:tc>
          <w:tcPr>
            <w:tcW w:w="1306"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c>
          <w:tcPr>
            <w:tcW w:w="1426"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c>
          <w:tcPr>
            <w:tcW w:w="1211"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r>
      <w:tr>
        <w:trPr>
          <w:cantSplit w:val="true"/>
        </w:trPr>
        <w:tc>
          <w:tcPr>
            <w:tcW w:w="1533" w:type="dxa"/>
            <w:tcBorders>
              <w:left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Strain</w:t>
            </w:r>
          </w:p>
        </w:tc>
        <w:tc>
          <w:tcPr>
            <w:tcW w:w="1212"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26</w:t>
            </w:r>
          </w:p>
        </w:tc>
        <w:tc>
          <w:tcPr>
            <w:tcW w:w="1306"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 xml:space="preserve">104.52   </w:t>
            </w:r>
          </w:p>
        </w:tc>
        <w:tc>
          <w:tcPr>
            <w:tcW w:w="1364"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 xml:space="preserve">4.020   </w:t>
            </w:r>
          </w:p>
        </w:tc>
        <w:tc>
          <w:tcPr>
            <w:tcW w:w="1306"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6.727</w:t>
            </w:r>
          </w:p>
        </w:tc>
        <w:tc>
          <w:tcPr>
            <w:tcW w:w="1426"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2.33e-06</w:t>
            </w:r>
          </w:p>
        </w:tc>
        <w:tc>
          <w:tcPr>
            <w:tcW w:w="1211"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w:t>
            </w:r>
          </w:p>
        </w:tc>
      </w:tr>
      <w:tr>
        <w:trPr>
          <w:cantSplit w:val="true"/>
        </w:trPr>
        <w:tc>
          <w:tcPr>
            <w:tcW w:w="1533" w:type="dxa"/>
            <w:tcBorders>
              <w:left w:val="nil"/>
              <w:right w:val="nil"/>
            </w:tcBorders>
          </w:tcPr>
          <w:p>
            <w:pPr>
              <w:pStyle w:val="Normal"/>
              <w:spacing w:lineRule="auto" w:line="276" w:before="0" w:after="113"/>
              <w:rPr>
                <w:rFonts w:ascii="Times New Roman" w:hAnsi="Times New Roman"/>
                <w:sz w:val="24"/>
                <w:szCs w:val="24"/>
              </w:rPr>
            </w:pPr>
            <w:r>
              <w:rPr>
                <w:rFonts w:ascii="Times New Roman" w:hAnsi="Times New Roman"/>
                <w:sz w:val="24"/>
                <w:szCs w:val="24"/>
              </w:rPr>
              <w:t>Residuals</w:t>
            </w:r>
          </w:p>
        </w:tc>
        <w:tc>
          <w:tcPr>
            <w:tcW w:w="1212"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27</w:t>
            </w:r>
          </w:p>
        </w:tc>
        <w:tc>
          <w:tcPr>
            <w:tcW w:w="1306"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16.14</w:t>
            </w:r>
          </w:p>
        </w:tc>
        <w:tc>
          <w:tcPr>
            <w:tcW w:w="1364"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t>0.598</w:t>
            </w:r>
          </w:p>
        </w:tc>
        <w:tc>
          <w:tcPr>
            <w:tcW w:w="1306"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c>
          <w:tcPr>
            <w:tcW w:w="1426"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c>
          <w:tcPr>
            <w:tcW w:w="1211" w:type="dxa"/>
            <w:tcBorders>
              <w:left w:val="nil"/>
              <w:right w:val="nil"/>
            </w:tcBorders>
          </w:tcPr>
          <w:p>
            <w:pPr>
              <w:pStyle w:val="Normal"/>
              <w:spacing w:lineRule="auto" w:line="276" w:before="0" w:after="113"/>
              <w:jc w:val="center"/>
              <w:rPr>
                <w:rFonts w:ascii="Times New Roman" w:hAnsi="Times New Roman"/>
                <w:sz w:val="24"/>
                <w:szCs w:val="24"/>
              </w:rPr>
            </w:pPr>
            <w:r>
              <w:rPr>
                <w:rFonts w:ascii="Times New Roman" w:hAnsi="Times New Roman"/>
                <w:sz w:val="24"/>
                <w:szCs w:val="24"/>
              </w:rPr>
            </w:r>
          </w:p>
        </w:tc>
      </w:tr>
    </w:tbl>
    <w:p>
      <w:pPr>
        <w:pStyle w:val="Heading3"/>
        <w:spacing w:lineRule="auto" w:line="276" w:before="0" w:after="113"/>
        <w:rPr>
          <w:rFonts w:ascii="Times New Roman" w:hAnsi="Times New Roman"/>
          <w:sz w:val="24"/>
          <w:szCs w:val="24"/>
        </w:rPr>
      </w:pPr>
      <w:r>
        <w:rPr>
          <w:rFonts w:ascii="Times New Roman" w:hAnsi="Times New Roman"/>
          <w:sz w:val="24"/>
          <w:szCs w:val="24"/>
        </w:rPr>
      </w:r>
      <w:r>
        <w:br w:type="page"/>
      </w:r>
    </w:p>
    <w:p>
      <w:pPr>
        <w:pStyle w:val="Heading3"/>
        <w:spacing w:lineRule="auto" w:line="276" w:before="0" w:after="113"/>
        <w:rPr>
          <w:rFonts w:ascii="Times New Roman" w:hAnsi="Times New Roman"/>
          <w:sz w:val="24"/>
          <w:szCs w:val="24"/>
        </w:rPr>
      </w:pPr>
      <w:r>
        <w:rPr>
          <w:rFonts w:ascii="Times New Roman" w:hAnsi="Times New Roman"/>
          <w:sz w:val="24"/>
          <w:szCs w:val="24"/>
        </w:rPr>
        <w:t>Bulk Segregant Analysis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Variation in cold tolerance in insects allows studying the genetic basis of cold adaptation. Therefore, we performed a bulk segregant analysis on flies from recombinant inbred lines that showed extreme CCRT phenotypes and flies from the founder strains. One hundred female flies for each sample were pooled for whole genome sequencing. The initial number of SNPs was 1.8 million. These SNPs were filtered according to total depth and reference allele frequency, resulting in 431 thousand SNPs. Finally, the 61 thousand SNP loci were found to be segregating in all pools (Figure 3A).</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Building on the method developed by Takagi </w:t>
      </w:r>
      <w:r>
        <w:rPr>
          <w:rFonts w:ascii="Times New Roman" w:hAnsi="Times New Roman"/>
          <w:i/>
          <w:iCs/>
          <w:sz w:val="24"/>
          <w:szCs w:val="24"/>
        </w:rPr>
        <w:t>et al.</w:t>
      </w:r>
      <w:r>
        <w:rPr>
          <w:rFonts w:ascii="Times New Roman" w:hAnsi="Times New Roman"/>
          <w:sz w:val="24"/>
          <w:szCs w:val="24"/>
        </w:rPr>
        <w:t xml:space="preserve"> (2013), we calculated the allele frequency differences (∆SNP-index) within the 1 Mb windows between extremely tolerant and extremely sensitive pools (Figure 3B). A total of 16 QTL regions were significantly associated with phenotypic differences between the pools. Five QTL regions had negative ∆SNP-index values, and 11 had positive ∆SNP-index values.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Using the G-prime method that is based on allele depth and takes advantage of linkage disequilibrium (Magwene </w:t>
      </w:r>
      <w:r>
        <w:rPr>
          <w:rFonts w:ascii="Times New Roman" w:hAnsi="Times New Roman"/>
          <w:i/>
          <w:iCs/>
          <w:sz w:val="24"/>
          <w:szCs w:val="24"/>
        </w:rPr>
        <w:t>et al.</w:t>
      </w:r>
      <w:r>
        <w:rPr>
          <w:rFonts w:ascii="Times New Roman" w:hAnsi="Times New Roman"/>
          <w:sz w:val="24"/>
          <w:szCs w:val="24"/>
        </w:rPr>
        <w:t>, 2011), we calculated the G statistic for each SNP (Figure S3). However, this analysis did not result in regions significantly associated with the phenotype.</w:t>
      </w:r>
    </w:p>
    <w:p>
      <w:pPr>
        <w:pStyle w:val="Heading3"/>
        <w:spacing w:lineRule="auto" w:line="276" w:before="0" w:after="113"/>
        <w:rPr>
          <w:rFonts w:ascii="Times New Roman" w:hAnsi="Times New Roman"/>
          <w:sz w:val="24"/>
          <w:szCs w:val="24"/>
        </w:rPr>
      </w:pPr>
      <w:r>
        <w:rPr>
          <w:rFonts w:ascii="Times New Roman" w:hAnsi="Times New Roman"/>
          <w:sz w:val="24"/>
          <w:szCs w:val="24"/>
        </w:rPr>
        <w:t>Gene Ontology Enrichment Analysis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Within the significant QTL regions determined by the first analysis, 2379 genes were found. To understand the roles these genes play, we performed a gene ontology (GO) enrichment analysis using the </w:t>
      </w:r>
      <w:r>
        <w:rPr>
          <w:rFonts w:ascii="Times New Roman" w:hAnsi="Times New Roman"/>
          <w:i/>
          <w:iCs/>
          <w:sz w:val="24"/>
          <w:szCs w:val="24"/>
        </w:rPr>
        <w:t>D. melanogaster</w:t>
      </w:r>
      <w:r>
        <w:rPr>
          <w:rFonts w:ascii="Times New Roman" w:hAnsi="Times New Roman"/>
          <w:sz w:val="24"/>
          <w:szCs w:val="24"/>
        </w:rPr>
        <w:t xml:space="preserve"> orthologs. The analysis revealed GO terms related to muscle development and metabolic processes (Figure 4). When the analysis was divided according to ∆SNP-index, the regions with positive values showed enrichment in muscle development, metabolic processes, and cytoskeletal protein binding (Figure S4), and the region with negative values showed enrichment in glucosidase, monooxygenase, and hydrolase activities (Figure S5).</w:t>
      </w:r>
    </w:p>
    <w:p>
      <w:pPr>
        <w:pStyle w:val="Heading2"/>
        <w:spacing w:lineRule="auto" w:line="276" w:before="0" w:after="113"/>
        <w:rPr>
          <w:rFonts w:ascii="Arial" w:hAnsi="Arial"/>
          <w:b w:val="false"/>
          <w:b w:val="false"/>
          <w:bCs w:val="false"/>
          <w:sz w:val="28"/>
          <w:szCs w:val="28"/>
        </w:rPr>
      </w:pPr>
      <w:r>
        <w:rPr>
          <w:rFonts w:eastAsia="Times New Roman" w:cs="Times New Roman" w:ascii="Arial" w:hAnsi="Arial"/>
          <w:b w:val="false"/>
          <w:bCs w:val="false"/>
          <w:color w:val="000000"/>
          <w:kern w:val="0"/>
          <w:sz w:val="28"/>
          <w:szCs w:val="28"/>
          <w:lang w:val="en-DE" w:eastAsia="en-US" w:bidi="ar-SA"/>
        </w:rPr>
        <w:t>Discussion</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In the present study, we tested the cold tolerance of two different populations and RILs of </w:t>
      </w:r>
      <w:r>
        <w:rPr>
          <w:rFonts w:ascii="Times New Roman" w:hAnsi="Times New Roman"/>
          <w:i/>
          <w:iCs/>
          <w:sz w:val="24"/>
          <w:szCs w:val="24"/>
        </w:rPr>
        <w:t>D. ananassae</w:t>
      </w:r>
      <w:r>
        <w:rPr>
          <w:rFonts w:ascii="Times New Roman" w:hAnsi="Times New Roman"/>
          <w:sz w:val="24"/>
          <w:szCs w:val="24"/>
        </w:rPr>
        <w:t xml:space="preserve"> using CCRT, CS mortality, and L</w:t>
      </w:r>
      <w:r>
        <w:rPr>
          <w:rFonts w:ascii="Times New Roman" w:hAnsi="Times New Roman"/>
          <w:position w:val="0"/>
          <w:sz w:val="24"/>
          <w:sz w:val="24"/>
          <w:szCs w:val="24"/>
          <w:vertAlign w:val="baseline"/>
        </w:rPr>
        <w:t>Ti50</w:t>
      </w:r>
      <w:r>
        <w:rPr>
          <w:rFonts w:ascii="Times New Roman" w:hAnsi="Times New Roman"/>
          <w:sz w:val="24"/>
          <w:szCs w:val="24"/>
        </w:rPr>
        <w:t xml:space="preserve">. These phenotypic traits, among others, have been used in many studies and shown to vary with environmental conditions (Andersen </w:t>
      </w:r>
      <w:r>
        <w:rPr>
          <w:rFonts w:ascii="Times New Roman" w:hAnsi="Times New Roman"/>
          <w:i/>
          <w:iCs/>
          <w:sz w:val="24"/>
          <w:szCs w:val="24"/>
        </w:rPr>
        <w:t>et al.</w:t>
      </w:r>
      <w:r>
        <w:rPr>
          <w:rFonts w:ascii="Times New Roman" w:hAnsi="Times New Roman"/>
          <w:sz w:val="24"/>
          <w:szCs w:val="24"/>
        </w:rPr>
        <w:t xml:space="preserve">, 2010, 2013, 2015; Ayrinhac </w:t>
      </w:r>
      <w:r>
        <w:rPr>
          <w:rFonts w:ascii="Times New Roman" w:hAnsi="Times New Roman"/>
          <w:i/>
          <w:iCs/>
          <w:sz w:val="24"/>
          <w:szCs w:val="24"/>
        </w:rPr>
        <w:t>et al.</w:t>
      </w:r>
      <w:r>
        <w:rPr>
          <w:rFonts w:ascii="Times New Roman" w:hAnsi="Times New Roman"/>
          <w:sz w:val="24"/>
          <w:szCs w:val="24"/>
        </w:rPr>
        <w:t>, 20</w:t>
      </w:r>
      <w:r>
        <w:rPr>
          <w:rFonts w:ascii="Times New Roman" w:hAnsi="Times New Roman"/>
          <w:sz w:val="24"/>
          <w:szCs w:val="24"/>
        </w:rPr>
        <w:t>0</w:t>
      </w:r>
      <w:r>
        <w:rPr>
          <w:rFonts w:ascii="Times New Roman" w:hAnsi="Times New Roman"/>
          <w:sz w:val="24"/>
          <w:szCs w:val="24"/>
        </w:rPr>
        <w:t xml:space="preserve">4; Colinet </w:t>
      </w:r>
      <w:r>
        <w:rPr>
          <w:rFonts w:ascii="Times New Roman" w:hAnsi="Times New Roman"/>
          <w:i/>
          <w:iCs/>
          <w:sz w:val="24"/>
          <w:szCs w:val="24"/>
        </w:rPr>
        <w:t>et al.</w:t>
      </w:r>
      <w:r>
        <w:rPr>
          <w:rFonts w:ascii="Times New Roman" w:hAnsi="Times New Roman"/>
          <w:sz w:val="24"/>
          <w:szCs w:val="24"/>
        </w:rPr>
        <w:t xml:space="preserve">, 2013; David </w:t>
      </w:r>
      <w:r>
        <w:rPr>
          <w:rFonts w:ascii="Times New Roman" w:hAnsi="Times New Roman"/>
          <w:i/>
          <w:iCs/>
          <w:sz w:val="24"/>
          <w:szCs w:val="24"/>
        </w:rPr>
        <w:t>et al.</w:t>
      </w:r>
      <w:r>
        <w:rPr>
          <w:rFonts w:ascii="Times New Roman" w:hAnsi="Times New Roman"/>
          <w:sz w:val="24"/>
          <w:szCs w:val="24"/>
        </w:rPr>
        <w:t xml:space="preserve">, 1998, 2003; Hallas </w:t>
      </w:r>
      <w:r>
        <w:rPr>
          <w:rFonts w:ascii="Times New Roman" w:hAnsi="Times New Roman"/>
          <w:i/>
          <w:iCs/>
          <w:sz w:val="24"/>
          <w:szCs w:val="24"/>
        </w:rPr>
        <w:t>et al.</w:t>
      </w:r>
      <w:r>
        <w:rPr>
          <w:rFonts w:ascii="Times New Roman" w:hAnsi="Times New Roman"/>
          <w:sz w:val="24"/>
          <w:szCs w:val="24"/>
        </w:rPr>
        <w:t xml:space="preserve">,  2002; Hoffmann </w:t>
      </w:r>
      <w:r>
        <w:rPr>
          <w:rFonts w:ascii="Times New Roman" w:hAnsi="Times New Roman"/>
          <w:i/>
          <w:iCs/>
          <w:sz w:val="24"/>
          <w:szCs w:val="24"/>
        </w:rPr>
        <w:t>et al.</w:t>
      </w:r>
      <w:r>
        <w:rPr>
          <w:rFonts w:ascii="Times New Roman" w:hAnsi="Times New Roman"/>
          <w:sz w:val="24"/>
          <w:szCs w:val="24"/>
        </w:rPr>
        <w:t xml:space="preserve">, 2002; Hoffmann and Weeks, 2007; Kobey and Montooth, 2013; Nilson </w:t>
      </w:r>
      <w:r>
        <w:rPr>
          <w:rFonts w:ascii="Times New Roman" w:hAnsi="Times New Roman"/>
          <w:i/>
          <w:iCs/>
          <w:sz w:val="24"/>
          <w:szCs w:val="24"/>
        </w:rPr>
        <w:t>et al.</w:t>
      </w:r>
      <w:r>
        <w:rPr>
          <w:rFonts w:ascii="Times New Roman" w:hAnsi="Times New Roman"/>
          <w:sz w:val="24"/>
          <w:szCs w:val="24"/>
        </w:rPr>
        <w:t xml:space="preserve">, 2006; Sisodia and Singh, 2010, 2012). A previous study by Andersen </w:t>
      </w:r>
      <w:r>
        <w:rPr>
          <w:rFonts w:ascii="Times New Roman" w:hAnsi="Times New Roman"/>
          <w:i/>
          <w:iCs/>
          <w:sz w:val="24"/>
          <w:szCs w:val="24"/>
        </w:rPr>
        <w:t>et al.</w:t>
      </w:r>
      <w:r>
        <w:rPr>
          <w:rFonts w:ascii="Times New Roman" w:hAnsi="Times New Roman"/>
          <w:sz w:val="24"/>
          <w:szCs w:val="24"/>
        </w:rPr>
        <w:t xml:space="preserve"> (2015) tested the cold tolerance of 14 </w:t>
      </w:r>
      <w:r>
        <w:rPr>
          <w:rFonts w:ascii="Times New Roman" w:hAnsi="Times New Roman"/>
          <w:i/>
          <w:iCs/>
          <w:sz w:val="24"/>
          <w:szCs w:val="24"/>
        </w:rPr>
        <w:t>Drosophila</w:t>
      </w:r>
      <w:r>
        <w:rPr>
          <w:rFonts w:ascii="Times New Roman" w:hAnsi="Times New Roman"/>
          <w:sz w:val="24"/>
          <w:szCs w:val="24"/>
        </w:rPr>
        <w:t xml:space="preserve"> species using five measures to identify which of these measures correlated with the environmental variables. Previous analysis suggested that four iso-female lines of the Bangkok (BKK) population were slow-recovering with high CCRT, four iso-female lines of the same population were fast-recovering with low CCRT, and three iso-female lines of Kathmandu (KATH) population were fast-recovering with low CCRT (Königer &amp; Grath, 2018). Our tests on the iso-female lines indicated that the average CCRT of the fast-recovering BKK lines was lower than both slow-recovering BKK and KATH lines. However, further characterization revealed that the males of the slow-recovering BKK lines were more tolerant (lower CS mortality and higher L</w:t>
      </w:r>
      <w:r>
        <w:rPr>
          <w:rFonts w:ascii="Times New Roman" w:hAnsi="Times New Roman"/>
          <w:position w:val="0"/>
          <w:sz w:val="24"/>
          <w:sz w:val="24"/>
          <w:szCs w:val="24"/>
          <w:vertAlign w:val="baseline"/>
        </w:rPr>
        <w:t>Ti50</w:t>
      </w:r>
      <w:r>
        <w:rPr>
          <w:rFonts w:ascii="Times New Roman" w:hAnsi="Times New Roman"/>
          <w:sz w:val="24"/>
          <w:szCs w:val="24"/>
        </w:rPr>
        <w:t>) than the males of the KATH lines, whereas females were less tolerant. High variation in these phenotypic traits between sexes and among iso-female lines in each group was also observed. This approach indicated the importance of using multiple phenotypes when characterizing iso-female lines, populations, and species regarding complex traits.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Recombinant inbred lines showed continua of CCRT, L</w:t>
      </w:r>
      <w:r>
        <w:rPr>
          <w:rFonts w:ascii="Times New Roman" w:hAnsi="Times New Roman"/>
          <w:position w:val="0"/>
          <w:sz w:val="24"/>
          <w:sz w:val="24"/>
          <w:szCs w:val="24"/>
          <w:vertAlign w:val="baseline"/>
        </w:rPr>
        <w:t>Ti50</w:t>
      </w:r>
      <w:r>
        <w:rPr>
          <w:rFonts w:ascii="Times New Roman" w:hAnsi="Times New Roman"/>
          <w:sz w:val="24"/>
          <w:szCs w:val="24"/>
        </w:rPr>
        <w:t>, and CS mortality. For CCRT, some RILs showed extreme phenotypes on both ends. In other words, some RILs recovered from chill coma faster than the fast-founder BKK12 strain, and some recovered slower than the slow-founder BKK13 strain. On the other hand, the RILs showed extreme L</w:t>
      </w:r>
      <w:r>
        <w:rPr>
          <w:rFonts w:ascii="Times New Roman" w:hAnsi="Times New Roman"/>
          <w:position w:val="0"/>
          <w:sz w:val="24"/>
          <w:sz w:val="24"/>
          <w:szCs w:val="24"/>
          <w:vertAlign w:val="baseline"/>
        </w:rPr>
        <w:t>Ti50</w:t>
      </w:r>
      <w:r>
        <w:rPr>
          <w:rFonts w:ascii="Times New Roman" w:hAnsi="Times New Roman"/>
          <w:sz w:val="24"/>
          <w:szCs w:val="24"/>
        </w:rPr>
        <w:t xml:space="preserve"> and CS mortality only on the sensitive end, exceeding the values of BKK13. However, it should be noted that CCRT was used to determine the founder strains, and L</w:t>
      </w:r>
      <w:r>
        <w:rPr>
          <w:rFonts w:ascii="Times New Roman" w:hAnsi="Times New Roman"/>
          <w:position w:val="0"/>
          <w:sz w:val="24"/>
          <w:sz w:val="24"/>
          <w:szCs w:val="24"/>
          <w:vertAlign w:val="baseline"/>
        </w:rPr>
        <w:t>Ti50</w:t>
      </w:r>
      <w:r>
        <w:rPr>
          <w:rFonts w:ascii="Times New Roman" w:hAnsi="Times New Roman"/>
          <w:sz w:val="24"/>
          <w:szCs w:val="24"/>
        </w:rPr>
        <w:t xml:space="preserve"> and CS mortality of the iso-female lines were not measured prior to the generation of the RILs. The extreme phenotypes and the continuum of phenotypic traits suggest that cold tolerance is a polygenic trait with more than one dominant causal allele.</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The chill coma recovery assay also revealed that the CCRT of RILs was inconsistent with the previous measurement performed by Königer </w:t>
      </w:r>
      <w:r>
        <w:rPr>
          <w:rFonts w:ascii="Times New Roman" w:hAnsi="Times New Roman"/>
          <w:i/>
          <w:iCs/>
          <w:sz w:val="24"/>
          <w:szCs w:val="24"/>
        </w:rPr>
        <w:t>et al.</w:t>
      </w:r>
      <w:r>
        <w:rPr>
          <w:rFonts w:ascii="Times New Roman" w:hAnsi="Times New Roman"/>
          <w:sz w:val="24"/>
          <w:szCs w:val="24"/>
        </w:rPr>
        <w:t xml:space="preserve"> (2019). The line numbers given according to the initial CCRT values did not align with the average CCRT measured in the current study. The changing phenotype can result from high genetic variation within and among the lines and changes in allele frequencies due to bottleneck effect or inbreeding. Therefore, understanding the genetic architecture of CCRT phenotype in the RILs becomes more prominent. The bulk segregant analysis requires pools of segregating populations – RILs in the current study – with contrasting phenotypes to determine the genetic basis of the trait (Ehrenreich </w:t>
      </w:r>
      <w:r>
        <w:rPr>
          <w:rFonts w:ascii="Times New Roman" w:hAnsi="Times New Roman"/>
          <w:i/>
          <w:iCs/>
          <w:sz w:val="24"/>
          <w:szCs w:val="24"/>
        </w:rPr>
        <w:t xml:space="preserve"> et al.</w:t>
      </w:r>
      <w:r>
        <w:rPr>
          <w:rFonts w:ascii="Times New Roman" w:hAnsi="Times New Roman"/>
          <w:sz w:val="24"/>
          <w:szCs w:val="24"/>
        </w:rPr>
        <w:t xml:space="preserve">, 2010). These populations are expected to be dissimilar in the putative regions but similar in regions unlinked to the trait (Kurlovs </w:t>
      </w:r>
      <w:r>
        <w:rPr>
          <w:rFonts w:ascii="Times New Roman" w:hAnsi="Times New Roman"/>
          <w:i/>
          <w:iCs/>
          <w:sz w:val="24"/>
          <w:szCs w:val="24"/>
        </w:rPr>
        <w:t xml:space="preserve"> et al.</w:t>
      </w:r>
      <w:r>
        <w:rPr>
          <w:rFonts w:ascii="Times New Roman" w:hAnsi="Times New Roman"/>
          <w:sz w:val="24"/>
          <w:szCs w:val="24"/>
        </w:rPr>
        <w:t xml:space="preserve">, 2019; Pool, 2016). The RILs that exhibit extreme phenotypes allow such analysis in the current study. Therefore, we selected the individuals from RILs with extremely low or extremely high CCRT. </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We attempted to identify the genomic regions associated with the phenotypic difference between extremely cold tolerant and extremely cold sensitive flies using two methods: ∆(SNP-index) and G’ analyses. The association plots indicate that ∆(SNP-index) and G’ value peaks align in various regions. However, the analyses showed discrepant results: the former analysis revealed 16 QTL regions associated with the phenotypic difference between the two bulks, whereas the latter analysis did not show any significant regions after multiple testing correction. As these two analyses use different calculations and statistical methods, the sensitivities of the two analyses are different: ∆(SNP-index) can detect SNPs with high allele frequency difference even when the region is isolated, whereas G’ analysis requires consistency across the region (Magwene </w:t>
      </w:r>
      <w:r>
        <w:rPr>
          <w:rFonts w:ascii="Times New Roman" w:hAnsi="Times New Roman"/>
          <w:i/>
          <w:iCs/>
          <w:sz w:val="24"/>
          <w:szCs w:val="24"/>
        </w:rPr>
        <w:t>et al.</w:t>
      </w:r>
      <w:r>
        <w:rPr>
          <w:rFonts w:ascii="Times New Roman" w:hAnsi="Times New Roman"/>
          <w:sz w:val="24"/>
          <w:szCs w:val="24"/>
        </w:rPr>
        <w:t xml:space="preserve">, 2011; Takagi </w:t>
      </w:r>
      <w:r>
        <w:rPr>
          <w:rFonts w:ascii="Times New Roman" w:hAnsi="Times New Roman"/>
          <w:i/>
          <w:iCs/>
          <w:sz w:val="24"/>
          <w:szCs w:val="24"/>
        </w:rPr>
        <w:t>et al.</w:t>
      </w:r>
      <w:r>
        <w:rPr>
          <w:rFonts w:ascii="Times New Roman" w:hAnsi="Times New Roman"/>
          <w:sz w:val="24"/>
          <w:szCs w:val="24"/>
        </w:rPr>
        <w:t xml:space="preserve">, 2013). Further validation of the QTL regions detected by ∆(SNP-index) analysis but not by G’ analysis is necessary. The SNPs in one of these regions exhibited p-values lower than 0.05 prior to multiple testing correction, making the region candidate for further validation. This 682-kb region on chromosome 2R contained genes enriched in muscle development, chitin binding, and palmitoylation (Figure S6, Table S4). Among the 19 chitin-binding genes, </w:t>
      </w:r>
      <w:r>
        <w:rPr>
          <w:rFonts w:ascii="Times New Roman" w:hAnsi="Times New Roman"/>
          <w:i/>
          <w:iCs/>
          <w:sz w:val="24"/>
          <w:szCs w:val="24"/>
        </w:rPr>
        <w:t>D. melanogaster</w:t>
      </w:r>
      <w:r>
        <w:rPr>
          <w:rFonts w:ascii="Times New Roman" w:hAnsi="Times New Roman"/>
          <w:sz w:val="24"/>
          <w:szCs w:val="24"/>
        </w:rPr>
        <w:t xml:space="preserve"> orthologs of </w:t>
      </w:r>
      <w:r>
        <w:rPr>
          <w:rFonts w:ascii="Times New Roman" w:hAnsi="Times New Roman"/>
          <w:i/>
          <w:iCs/>
          <w:sz w:val="24"/>
          <w:szCs w:val="24"/>
        </w:rPr>
        <w:t>GF25314</w:t>
      </w:r>
      <w:r>
        <w:rPr>
          <w:rFonts w:ascii="Times New Roman" w:hAnsi="Times New Roman"/>
          <w:sz w:val="24"/>
          <w:szCs w:val="24"/>
        </w:rPr>
        <w:t xml:space="preserve"> and </w:t>
      </w:r>
      <w:r>
        <w:rPr>
          <w:rFonts w:ascii="Times New Roman" w:hAnsi="Times New Roman"/>
          <w:i/>
          <w:iCs/>
          <w:sz w:val="24"/>
          <w:szCs w:val="24"/>
        </w:rPr>
        <w:t>GF24516</w:t>
      </w:r>
      <w:r>
        <w:rPr>
          <w:rFonts w:ascii="Times New Roman" w:hAnsi="Times New Roman"/>
          <w:sz w:val="24"/>
          <w:szCs w:val="24"/>
        </w:rPr>
        <w:t xml:space="preserve"> (</w:t>
      </w:r>
      <w:r>
        <w:rPr>
          <w:rFonts w:ascii="Times New Roman" w:hAnsi="Times New Roman"/>
          <w:i/>
          <w:iCs/>
          <w:sz w:val="24"/>
          <w:szCs w:val="24"/>
        </w:rPr>
        <w:t>CG17147</w:t>
      </w:r>
      <w:r>
        <w:rPr>
          <w:rFonts w:ascii="Times New Roman" w:hAnsi="Times New Roman"/>
          <w:sz w:val="24"/>
          <w:szCs w:val="24"/>
        </w:rPr>
        <w:t xml:space="preserve"> and </w:t>
      </w:r>
      <w:r>
        <w:rPr>
          <w:rFonts w:ascii="Times New Roman" w:hAnsi="Times New Roman"/>
          <w:i/>
          <w:iCs/>
          <w:sz w:val="24"/>
          <w:szCs w:val="24"/>
        </w:rPr>
        <w:t>Muc68D</w:t>
      </w:r>
      <w:r>
        <w:rPr>
          <w:rFonts w:ascii="Times New Roman" w:hAnsi="Times New Roman"/>
          <w:sz w:val="24"/>
          <w:szCs w:val="24"/>
        </w:rPr>
        <w:t xml:space="preserve">, respectively) were previously associated with cold acclimation (MacMillan </w:t>
      </w:r>
      <w:r>
        <w:rPr>
          <w:rFonts w:ascii="Times New Roman" w:hAnsi="Times New Roman"/>
          <w:i/>
          <w:iCs/>
          <w:sz w:val="24"/>
          <w:szCs w:val="24"/>
        </w:rPr>
        <w:t>et al.</w:t>
      </w:r>
      <w:r>
        <w:rPr>
          <w:rFonts w:ascii="Times New Roman" w:hAnsi="Times New Roman"/>
          <w:sz w:val="24"/>
          <w:szCs w:val="24"/>
        </w:rPr>
        <w:t xml:space="preserve">, 2016), </w:t>
      </w:r>
      <w:r>
        <w:rPr>
          <w:rFonts w:ascii="Times New Roman" w:hAnsi="Times New Roman"/>
          <w:i/>
          <w:iCs/>
          <w:sz w:val="24"/>
          <w:szCs w:val="24"/>
        </w:rPr>
        <w:t>D. melanogaster</w:t>
      </w:r>
      <w:r>
        <w:rPr>
          <w:rFonts w:ascii="Times New Roman" w:hAnsi="Times New Roman"/>
          <w:sz w:val="24"/>
          <w:szCs w:val="24"/>
        </w:rPr>
        <w:t xml:space="preserve"> orthologs of </w:t>
      </w:r>
      <w:r>
        <w:rPr>
          <w:rFonts w:ascii="Times New Roman" w:hAnsi="Times New Roman"/>
          <w:i/>
          <w:iCs/>
          <w:sz w:val="24"/>
          <w:szCs w:val="24"/>
        </w:rPr>
        <w:t>GF24478</w:t>
      </w:r>
      <w:r>
        <w:rPr>
          <w:rFonts w:ascii="Times New Roman" w:hAnsi="Times New Roman"/>
          <w:sz w:val="24"/>
          <w:szCs w:val="24"/>
        </w:rPr>
        <w:t xml:space="preserve"> and </w:t>
      </w:r>
      <w:r>
        <w:rPr>
          <w:rFonts w:ascii="Times New Roman" w:hAnsi="Times New Roman"/>
          <w:i/>
          <w:iCs/>
          <w:sz w:val="24"/>
          <w:szCs w:val="24"/>
        </w:rPr>
        <w:t>GF24481</w:t>
      </w:r>
      <w:r>
        <w:rPr>
          <w:rFonts w:ascii="Times New Roman" w:hAnsi="Times New Roman"/>
          <w:sz w:val="24"/>
          <w:szCs w:val="24"/>
        </w:rPr>
        <w:t xml:space="preserve"> (</w:t>
      </w:r>
      <w:r>
        <w:rPr>
          <w:rFonts w:ascii="Times New Roman" w:hAnsi="Times New Roman"/>
          <w:i/>
          <w:iCs/>
          <w:sz w:val="24"/>
          <w:szCs w:val="24"/>
        </w:rPr>
        <w:t xml:space="preserve">CG6933 </w:t>
      </w:r>
      <w:r>
        <w:rPr>
          <w:rFonts w:ascii="Times New Roman" w:hAnsi="Times New Roman"/>
          <w:sz w:val="24"/>
          <w:szCs w:val="24"/>
        </w:rPr>
        <w:t xml:space="preserve">and </w:t>
      </w:r>
      <w:r>
        <w:rPr>
          <w:rFonts w:ascii="Times New Roman" w:hAnsi="Times New Roman"/>
          <w:i/>
          <w:iCs/>
          <w:sz w:val="24"/>
          <w:szCs w:val="24"/>
        </w:rPr>
        <w:t>CG7298</w:t>
      </w:r>
      <w:r>
        <w:rPr>
          <w:rFonts w:ascii="Times New Roman" w:hAnsi="Times New Roman"/>
          <w:sz w:val="24"/>
          <w:szCs w:val="24"/>
        </w:rPr>
        <w:t xml:space="preserve">, respectively) had high or very high expression in response to cold, but not associated with cold tolerance before. In contrast, the remaining 15 genes were not associated with cold. A previous study suggested chitin binding as a significant player in the acclimation response of </w:t>
      </w:r>
      <w:r>
        <w:rPr>
          <w:rFonts w:ascii="Times New Roman" w:hAnsi="Times New Roman"/>
          <w:i/>
          <w:iCs/>
          <w:sz w:val="24"/>
          <w:szCs w:val="24"/>
        </w:rPr>
        <w:t>D. ananassae</w:t>
      </w:r>
      <w:r>
        <w:rPr>
          <w:rFonts w:ascii="Times New Roman" w:hAnsi="Times New Roman"/>
          <w:sz w:val="24"/>
          <w:szCs w:val="24"/>
        </w:rPr>
        <w:t xml:space="preserve"> (Yılmaz </w:t>
      </w:r>
      <w:r>
        <w:rPr>
          <w:rFonts w:ascii="Times New Roman" w:hAnsi="Times New Roman"/>
          <w:i/>
          <w:iCs/>
          <w:sz w:val="24"/>
          <w:szCs w:val="24"/>
        </w:rPr>
        <w:t>et al.</w:t>
      </w:r>
      <w:r>
        <w:rPr>
          <w:rFonts w:ascii="Times New Roman" w:hAnsi="Times New Roman"/>
          <w:sz w:val="24"/>
          <w:szCs w:val="24"/>
        </w:rPr>
        <w:t>, 202</w:t>
      </w:r>
      <w:r>
        <w:rPr>
          <w:rFonts w:ascii="Times New Roman" w:hAnsi="Times New Roman"/>
          <w:sz w:val="24"/>
          <w:szCs w:val="24"/>
        </w:rPr>
        <w:t>5</w:t>
      </w:r>
      <w:r>
        <w:rPr>
          <w:rFonts w:ascii="Times New Roman" w:hAnsi="Times New Roman"/>
          <w:sz w:val="24"/>
          <w:szCs w:val="24"/>
        </w:rPr>
        <w:t xml:space="preserve">). The expression of chitin-binding genes increased in both cold-tolerant and sensitive strains in response to cold acclimation, with a significant difference between the phenotypes. In the current study, the GO analysis results not only align with the previous suggestion but also provide a genetic explanation of the differential expression between the phenotypes. Two genes that contribute to muscle development are </w:t>
      </w:r>
      <w:r>
        <w:rPr>
          <w:rFonts w:ascii="Times New Roman" w:hAnsi="Times New Roman"/>
          <w:i/>
          <w:iCs/>
          <w:sz w:val="24"/>
          <w:szCs w:val="24"/>
        </w:rPr>
        <w:t>polo</w:t>
      </w:r>
      <w:r>
        <w:rPr>
          <w:rFonts w:ascii="Times New Roman" w:hAnsi="Times New Roman"/>
          <w:sz w:val="24"/>
          <w:szCs w:val="24"/>
        </w:rPr>
        <w:t xml:space="preserve"> and </w:t>
      </w:r>
      <w:r>
        <w:rPr>
          <w:rFonts w:ascii="Times New Roman" w:hAnsi="Times New Roman"/>
          <w:i/>
          <w:iCs/>
          <w:sz w:val="24"/>
          <w:szCs w:val="24"/>
        </w:rPr>
        <w:t>rt</w:t>
      </w:r>
      <w:r>
        <w:rPr>
          <w:rFonts w:ascii="Times New Roman" w:hAnsi="Times New Roman"/>
          <w:sz w:val="24"/>
          <w:szCs w:val="24"/>
        </w:rPr>
        <w:t xml:space="preserve">. While </w:t>
      </w:r>
      <w:r>
        <w:rPr>
          <w:rFonts w:ascii="Times New Roman" w:hAnsi="Times New Roman"/>
          <w:i/>
          <w:iCs/>
          <w:sz w:val="24"/>
          <w:szCs w:val="24"/>
        </w:rPr>
        <w:t>polo</w:t>
      </w:r>
      <w:r>
        <w:rPr>
          <w:rFonts w:ascii="Times New Roman" w:hAnsi="Times New Roman"/>
          <w:sz w:val="24"/>
          <w:szCs w:val="24"/>
        </w:rPr>
        <w:t xml:space="preserve"> was previously associated with hypoxia tolerance (Azad </w:t>
      </w:r>
      <w:r>
        <w:rPr>
          <w:rFonts w:ascii="Times New Roman" w:hAnsi="Times New Roman"/>
          <w:i/>
          <w:iCs/>
          <w:sz w:val="24"/>
          <w:szCs w:val="24"/>
        </w:rPr>
        <w:t>et al.</w:t>
      </w:r>
      <w:r>
        <w:rPr>
          <w:rFonts w:ascii="Times New Roman" w:hAnsi="Times New Roman"/>
          <w:sz w:val="24"/>
          <w:szCs w:val="24"/>
        </w:rPr>
        <w:t xml:space="preserve">, 2012; Gilliland </w:t>
      </w:r>
      <w:r>
        <w:rPr>
          <w:rFonts w:ascii="Times New Roman" w:hAnsi="Times New Roman"/>
          <w:i/>
          <w:iCs/>
          <w:sz w:val="24"/>
          <w:szCs w:val="24"/>
        </w:rPr>
        <w:t>et al.</w:t>
      </w:r>
      <w:r>
        <w:rPr>
          <w:rFonts w:ascii="Times New Roman" w:hAnsi="Times New Roman"/>
          <w:sz w:val="24"/>
          <w:szCs w:val="24"/>
        </w:rPr>
        <w:t xml:space="preserve">, 2009), the human ortholog of </w:t>
      </w:r>
      <w:r>
        <w:rPr>
          <w:rFonts w:ascii="Times New Roman" w:hAnsi="Times New Roman"/>
          <w:i/>
          <w:iCs/>
          <w:sz w:val="24"/>
          <w:szCs w:val="24"/>
        </w:rPr>
        <w:t>rt</w:t>
      </w:r>
      <w:r>
        <w:rPr>
          <w:rFonts w:ascii="Times New Roman" w:hAnsi="Times New Roman"/>
          <w:sz w:val="24"/>
          <w:szCs w:val="24"/>
        </w:rPr>
        <w:t xml:space="preserve"> was shown to be responsible for muscle dystrophy (Jurado </w:t>
      </w:r>
      <w:r>
        <w:rPr>
          <w:rFonts w:ascii="Times New Roman" w:hAnsi="Times New Roman"/>
          <w:i/>
          <w:iCs/>
          <w:sz w:val="24"/>
          <w:szCs w:val="24"/>
        </w:rPr>
        <w:t>et al.</w:t>
      </w:r>
      <w:r>
        <w:rPr>
          <w:rFonts w:ascii="Times New Roman" w:hAnsi="Times New Roman"/>
          <w:sz w:val="24"/>
          <w:szCs w:val="24"/>
        </w:rPr>
        <w:t xml:space="preserve">, 1999). The four </w:t>
      </w:r>
      <w:r>
        <w:rPr>
          <w:rFonts w:ascii="Times New Roman" w:hAnsi="Times New Roman"/>
          <w:i/>
          <w:iCs/>
          <w:sz w:val="24"/>
          <w:szCs w:val="24"/>
        </w:rPr>
        <w:t>D. melanogaster</w:t>
      </w:r>
      <w:r>
        <w:rPr>
          <w:rFonts w:ascii="Times New Roman" w:hAnsi="Times New Roman"/>
          <w:sz w:val="24"/>
          <w:szCs w:val="24"/>
        </w:rPr>
        <w:t xml:space="preserve"> genes associated with palmitoylation in the GO analysis were orthologs of a single </w:t>
      </w:r>
      <w:r>
        <w:rPr>
          <w:rFonts w:ascii="Times New Roman" w:hAnsi="Times New Roman"/>
          <w:i/>
          <w:iCs/>
          <w:sz w:val="24"/>
          <w:szCs w:val="24"/>
        </w:rPr>
        <w:t>D. ananassae</w:t>
      </w:r>
      <w:r>
        <w:rPr>
          <w:rFonts w:ascii="Times New Roman" w:hAnsi="Times New Roman"/>
          <w:sz w:val="24"/>
          <w:szCs w:val="24"/>
        </w:rPr>
        <w:t xml:space="preserve"> gene, </w:t>
      </w:r>
      <w:r>
        <w:rPr>
          <w:rFonts w:ascii="Times New Roman" w:hAnsi="Times New Roman"/>
          <w:i/>
          <w:iCs/>
          <w:sz w:val="24"/>
          <w:szCs w:val="24"/>
        </w:rPr>
        <w:t>GF24551</w:t>
      </w:r>
      <w:r>
        <w:rPr>
          <w:rFonts w:ascii="Times New Roman" w:hAnsi="Times New Roman"/>
          <w:sz w:val="24"/>
          <w:szCs w:val="24"/>
        </w:rPr>
        <w:t xml:space="preserve">. </w:t>
      </w:r>
    </w:p>
    <w:p>
      <w:pPr>
        <w:pStyle w:val="Normal"/>
        <w:spacing w:lineRule="auto" w:line="276" w:before="0" w:after="113"/>
        <w:jc w:val="both"/>
        <w:rPr/>
      </w:pPr>
      <w:r>
        <w:rPr>
          <w:rFonts w:ascii="Times New Roman" w:hAnsi="Times New Roman"/>
          <w:sz w:val="24"/>
          <w:szCs w:val="24"/>
        </w:rPr>
        <w:t xml:space="preserve">Gene ontology analysis of the </w:t>
      </w:r>
      <w:r>
        <w:rPr>
          <w:rFonts w:ascii="Times New Roman" w:hAnsi="Times New Roman"/>
          <w:i/>
          <w:iCs/>
          <w:sz w:val="24"/>
          <w:szCs w:val="24"/>
        </w:rPr>
        <w:t>D. melanogaster</w:t>
      </w:r>
      <w:r>
        <w:rPr>
          <w:rFonts w:ascii="Times New Roman" w:hAnsi="Times New Roman"/>
          <w:sz w:val="24"/>
          <w:szCs w:val="24"/>
        </w:rPr>
        <w:t xml:space="preserve"> orthologs of the genes within the 16 QTL regions revealed similar biological processes and molecular functions, such as muscle development and palmitoylation. Chill coma recovery is a complex process that includes recovery of the membrane potential and restoration of the ion-water balance, eventually resulting in regain of neuromuscular coordination (reviewed in Overgaard &amp; MacMillan, 2017). As the gain of muscle control is essential for chill coma recovery, variation in the genes involved in muscle development may lead to differences in CCRT. Thirty-four genes, including 20 </w:t>
      </w:r>
      <w:r>
        <w:rPr>
          <w:rFonts w:ascii="Times New Roman" w:hAnsi="Times New Roman"/>
          <w:i/>
          <w:iCs/>
          <w:sz w:val="24"/>
          <w:szCs w:val="24"/>
        </w:rPr>
        <w:t>His2A</w:t>
      </w:r>
      <w:r>
        <w:rPr>
          <w:rFonts w:ascii="Times New Roman" w:hAnsi="Times New Roman"/>
          <w:sz w:val="24"/>
          <w:szCs w:val="24"/>
        </w:rPr>
        <w:t xml:space="preserve"> orthologs, were involved in muscle development and were within the significant QTL regions associated with the phenotypic difference. Among these genes, </w:t>
      </w:r>
      <w:r>
        <w:rPr>
          <w:rFonts w:ascii="Times New Roman" w:hAnsi="Times New Roman"/>
          <w:i/>
          <w:iCs/>
          <w:sz w:val="24"/>
          <w:szCs w:val="24"/>
        </w:rPr>
        <w:t>Obscurin</w:t>
      </w:r>
      <w:r>
        <w:rPr>
          <w:rFonts w:ascii="Times New Roman" w:hAnsi="Times New Roman"/>
          <w:sz w:val="24"/>
          <w:szCs w:val="24"/>
        </w:rPr>
        <w:t xml:space="preserve"> and </w:t>
      </w:r>
      <w:r>
        <w:rPr>
          <w:rFonts w:ascii="Times New Roman" w:hAnsi="Times New Roman"/>
          <w:i/>
          <w:iCs/>
          <w:sz w:val="24"/>
          <w:szCs w:val="24"/>
        </w:rPr>
        <w:t>Msp300</w:t>
      </w:r>
      <w:r>
        <w:rPr>
          <w:rFonts w:ascii="Times New Roman" w:hAnsi="Times New Roman"/>
          <w:sz w:val="24"/>
          <w:szCs w:val="24"/>
        </w:rPr>
        <w:t xml:space="preserve"> were also related to cytoskeleton protein binding. Previous studies suggested the cytoskeleton as an essential element of response to cold stress (Königer &amp; Grath, 2018; Königer </w:t>
      </w:r>
      <w:r>
        <w:rPr>
          <w:rFonts w:ascii="Times New Roman" w:hAnsi="Times New Roman"/>
          <w:i/>
          <w:iCs/>
          <w:sz w:val="24"/>
          <w:szCs w:val="24"/>
        </w:rPr>
        <w:t>et al.</w:t>
      </w:r>
      <w:r>
        <w:rPr>
          <w:rFonts w:ascii="Times New Roman" w:hAnsi="Times New Roman"/>
          <w:sz w:val="24"/>
          <w:szCs w:val="24"/>
        </w:rPr>
        <w:t xml:space="preserve">, 2019; </w:t>
      </w:r>
      <w:r>
        <w:rPr>
          <w:rFonts w:ascii="Times New Roman" w:hAnsi="Times New Roman"/>
          <w:sz w:val="24"/>
          <w:szCs w:val="24"/>
          <w:lang w:val="tr-TR"/>
        </w:rPr>
        <w:t>Yılmaz</w:t>
      </w:r>
      <w:r>
        <w:rPr>
          <w:rFonts w:ascii="Times New Roman" w:hAnsi="Times New Roman"/>
          <w:sz w:val="24"/>
          <w:szCs w:val="24"/>
          <w:lang w:val="en-US"/>
        </w:rPr>
        <w:t xml:space="preserve"> </w:t>
      </w:r>
      <w:r>
        <w:rPr>
          <w:rFonts w:ascii="Times New Roman" w:hAnsi="Times New Roman"/>
          <w:i/>
          <w:iCs/>
          <w:sz w:val="24"/>
          <w:szCs w:val="24"/>
          <w:lang w:val="en-US"/>
        </w:rPr>
        <w:t>et al.</w:t>
      </w:r>
      <w:r>
        <w:rPr>
          <w:rFonts w:ascii="Times New Roman" w:hAnsi="Times New Roman"/>
          <w:sz w:val="24"/>
          <w:szCs w:val="24"/>
          <w:lang w:val="en-US"/>
        </w:rPr>
        <w:t>, 202</w:t>
      </w:r>
      <w:r>
        <w:rPr>
          <w:rFonts w:ascii="Times New Roman" w:hAnsi="Times New Roman"/>
          <w:sz w:val="24"/>
          <w:szCs w:val="24"/>
          <w:lang w:val="en-US"/>
        </w:rPr>
        <w:t>5</w:t>
      </w:r>
      <w:r>
        <w:rPr>
          <w:rFonts w:ascii="Times New Roman" w:hAnsi="Times New Roman"/>
          <w:sz w:val="24"/>
          <w:szCs w:val="24"/>
          <w:lang w:val="en-US"/>
        </w:rPr>
        <w:t xml:space="preserve">; </w:t>
      </w:r>
      <w:r>
        <w:rPr>
          <w:rFonts w:ascii="Times New Roman" w:hAnsi="Times New Roman"/>
          <w:sz w:val="24"/>
          <w:szCs w:val="24"/>
        </w:rPr>
        <w:t xml:space="preserve">Cottam </w:t>
      </w:r>
      <w:r>
        <w:rPr>
          <w:rFonts w:ascii="Times New Roman" w:hAnsi="Times New Roman"/>
          <w:i/>
          <w:iCs/>
          <w:sz w:val="24"/>
          <w:szCs w:val="24"/>
        </w:rPr>
        <w:t>et al</w:t>
      </w:r>
      <w:r>
        <w:rPr>
          <w:rFonts w:ascii="Times New Roman" w:hAnsi="Times New Roman"/>
          <w:sz w:val="24"/>
          <w:szCs w:val="24"/>
        </w:rPr>
        <w:t xml:space="preserve">., 2006; Kim </w:t>
      </w:r>
      <w:r>
        <w:rPr>
          <w:rFonts w:ascii="Times New Roman" w:hAnsi="Times New Roman"/>
          <w:i/>
          <w:iCs/>
          <w:sz w:val="24"/>
          <w:szCs w:val="24"/>
        </w:rPr>
        <w:t>et al</w:t>
      </w:r>
      <w:r>
        <w:rPr>
          <w:rFonts w:ascii="Times New Roman" w:hAnsi="Times New Roman"/>
          <w:sz w:val="24"/>
          <w:szCs w:val="24"/>
        </w:rPr>
        <w:t xml:space="preserve">., 2006; von Heckel </w:t>
      </w:r>
      <w:r>
        <w:rPr>
          <w:rFonts w:ascii="Times New Roman" w:hAnsi="Times New Roman"/>
          <w:i/>
          <w:iCs/>
          <w:sz w:val="24"/>
          <w:szCs w:val="24"/>
        </w:rPr>
        <w:t>et al</w:t>
      </w:r>
      <w:r>
        <w:rPr>
          <w:rFonts w:ascii="Times New Roman" w:hAnsi="Times New Roman"/>
          <w:sz w:val="24"/>
          <w:szCs w:val="24"/>
        </w:rPr>
        <w:t xml:space="preserve">., 2016; Chen </w:t>
      </w:r>
      <w:r>
        <w:rPr>
          <w:rFonts w:ascii="Times New Roman" w:hAnsi="Times New Roman"/>
          <w:i/>
          <w:iCs/>
          <w:sz w:val="24"/>
          <w:szCs w:val="24"/>
        </w:rPr>
        <w:t>et al</w:t>
      </w:r>
      <w:r>
        <w:rPr>
          <w:rFonts w:ascii="Times New Roman" w:hAnsi="Times New Roman"/>
          <w:sz w:val="24"/>
          <w:szCs w:val="24"/>
        </w:rPr>
        <w:t xml:space="preserve">., 2017; Des Marteaux </w:t>
      </w:r>
      <w:r>
        <w:rPr>
          <w:rFonts w:ascii="Times New Roman" w:hAnsi="Times New Roman"/>
          <w:i/>
          <w:iCs/>
          <w:sz w:val="24"/>
          <w:szCs w:val="24"/>
        </w:rPr>
        <w:t>et al</w:t>
      </w:r>
      <w:r>
        <w:rPr>
          <w:rFonts w:ascii="Times New Roman" w:hAnsi="Times New Roman"/>
          <w:sz w:val="24"/>
          <w:szCs w:val="24"/>
        </w:rPr>
        <w:t xml:space="preserve">., 2018; Bowman </w:t>
      </w:r>
      <w:r>
        <w:rPr>
          <w:rFonts w:ascii="Times New Roman" w:hAnsi="Times New Roman"/>
          <w:i/>
          <w:iCs/>
          <w:sz w:val="24"/>
          <w:szCs w:val="24"/>
        </w:rPr>
        <w:t>et al</w:t>
      </w:r>
      <w:r>
        <w:rPr>
          <w:rFonts w:ascii="Times New Roman" w:hAnsi="Times New Roman"/>
          <w:sz w:val="24"/>
          <w:szCs w:val="24"/>
        </w:rPr>
        <w:t xml:space="preserve">., 2018). Genes related to actin cytoskeleton, for instance, showed differential expression in response to cold shock (Königer &amp; Grath, 2018) and cold acclimation (Yılmaz </w:t>
      </w:r>
      <w:r>
        <w:rPr>
          <w:rFonts w:ascii="Times New Roman" w:hAnsi="Times New Roman"/>
          <w:i/>
          <w:iCs/>
          <w:sz w:val="24"/>
          <w:szCs w:val="24"/>
        </w:rPr>
        <w:t>et al.</w:t>
      </w:r>
      <w:r>
        <w:rPr>
          <w:rFonts w:ascii="Times New Roman" w:hAnsi="Times New Roman"/>
          <w:sz w:val="24"/>
          <w:szCs w:val="24"/>
        </w:rPr>
        <w:t>, 202</w:t>
      </w:r>
      <w:r>
        <w:rPr>
          <w:rFonts w:ascii="Times New Roman" w:hAnsi="Times New Roman"/>
          <w:sz w:val="24"/>
          <w:szCs w:val="24"/>
        </w:rPr>
        <w:t>5</w:t>
      </w:r>
      <w:r>
        <w:rPr>
          <w:rFonts w:ascii="Times New Roman" w:hAnsi="Times New Roman"/>
          <w:sz w:val="24"/>
          <w:szCs w:val="24"/>
        </w:rPr>
        <w:t xml:space="preserve">). The cytoskeleton impacts the cell structure, shape, and migration and acts as an anchor to ion channels (Denker &amp; Barber, 2002). Studies have shown that microtubules and actin polymers affect the calcium concentration in the cell. </w:t>
      </w:r>
      <w:r>
        <w:rPr>
          <w:rFonts w:ascii="Times New Roman" w:hAnsi="Times New Roman"/>
          <w:i/>
          <w:iCs/>
          <w:sz w:val="24"/>
          <w:szCs w:val="24"/>
        </w:rPr>
        <w:t>Obscurin</w:t>
      </w:r>
      <w:r>
        <w:rPr>
          <w:rFonts w:ascii="Times New Roman" w:hAnsi="Times New Roman"/>
          <w:sz w:val="24"/>
          <w:szCs w:val="24"/>
        </w:rPr>
        <w:t xml:space="preserve"> encodes a titin-like protein responsible for the symmetrical assembly of the sarcomere (</w:t>
      </w:r>
      <w:r>
        <w:rPr>
          <w:rFonts w:eastAsia="Times New Roman" w:cs="Times New Roman" w:ascii="Times New Roman" w:hAnsi="Times New Roman"/>
          <w:color w:val="000000"/>
          <w:kern w:val="0"/>
          <w:sz w:val="24"/>
          <w:szCs w:val="24"/>
          <w:lang w:val="en-DE" w:eastAsia="en-US" w:bidi="ar-SA"/>
          <w14:ligatures w14:val="none"/>
        </w:rPr>
        <w:t xml:space="preserve">Schnorrer </w:t>
      </w:r>
      <w:r>
        <w:rPr>
          <w:rFonts w:eastAsia="Times New Roman" w:cs="Times New Roman" w:ascii="Times New Roman" w:hAnsi="Times New Roman"/>
          <w:i/>
          <w:iCs/>
          <w:color w:val="000000"/>
          <w:kern w:val="0"/>
          <w:sz w:val="24"/>
          <w:szCs w:val="24"/>
          <w:lang w:val="en-DE" w:eastAsia="en-US" w:bidi="ar-SA"/>
          <w14:ligatures w14:val="none"/>
        </w:rPr>
        <w:t>et al.</w:t>
      </w:r>
      <w:r>
        <w:rPr>
          <w:rFonts w:eastAsia="Times New Roman" w:cs="Times New Roman" w:ascii="Times New Roman" w:hAnsi="Times New Roman"/>
          <w:color w:val="000000"/>
          <w:kern w:val="0"/>
          <w:sz w:val="24"/>
          <w:szCs w:val="24"/>
          <w:lang w:val="en-DE" w:eastAsia="en-US" w:bidi="ar-SA"/>
          <w14:ligatures w14:val="none"/>
        </w:rPr>
        <w:t>, 2010</w:t>
      </w:r>
      <w:r>
        <w:rPr>
          <w:rFonts w:ascii="Times New Roman" w:hAnsi="Times New Roman"/>
          <w:sz w:val="24"/>
          <w:szCs w:val="24"/>
        </w:rPr>
        <w:t xml:space="preserve">). </w:t>
      </w:r>
      <w:r>
        <w:rPr>
          <w:rFonts w:ascii="Times New Roman" w:hAnsi="Times New Roman"/>
          <w:i/>
          <w:iCs/>
          <w:sz w:val="24"/>
          <w:szCs w:val="24"/>
        </w:rPr>
        <w:t>Msp300</w:t>
      </w:r>
      <w:r>
        <w:rPr>
          <w:rFonts w:ascii="Times New Roman" w:hAnsi="Times New Roman"/>
          <w:sz w:val="24"/>
          <w:szCs w:val="24"/>
        </w:rPr>
        <w:t xml:space="preserve"> encodes a protein responsible for positioning the muscle nuclei, mitochondria, and neuromuscular junction (Volk, 1992). Neither of these two genes was previously associated with cold tolerance phenotypes. On the other hand, </w:t>
      </w:r>
      <w:r>
        <w:rPr>
          <w:rFonts w:ascii="Times New Roman" w:hAnsi="Times New Roman"/>
          <w:i/>
          <w:iCs/>
          <w:sz w:val="24"/>
          <w:szCs w:val="24"/>
        </w:rPr>
        <w:t>klarsicht</w:t>
      </w:r>
      <w:r>
        <w:rPr>
          <w:rFonts w:ascii="Times New Roman" w:hAnsi="Times New Roman"/>
          <w:sz w:val="24"/>
          <w:szCs w:val="24"/>
        </w:rPr>
        <w:t xml:space="preserve">, a gene related to cytoskeleton protein binding, was previously suggested as a candidate gene that may play a role in the phenotypic difference of fast- and slow-recovering BKK strains (Königer </w:t>
      </w:r>
      <w:r>
        <w:rPr>
          <w:rFonts w:ascii="Times New Roman" w:hAnsi="Times New Roman"/>
          <w:i/>
          <w:iCs/>
          <w:sz w:val="24"/>
          <w:szCs w:val="24"/>
        </w:rPr>
        <w:t>et al.</w:t>
      </w:r>
      <w:r>
        <w:rPr>
          <w:rFonts w:ascii="Times New Roman" w:hAnsi="Times New Roman"/>
          <w:sz w:val="24"/>
          <w:szCs w:val="24"/>
        </w:rPr>
        <w:t xml:space="preserve">, 2019). Like </w:t>
      </w:r>
      <w:r>
        <w:rPr>
          <w:rFonts w:ascii="Times New Roman" w:hAnsi="Times New Roman"/>
          <w:i/>
          <w:iCs/>
          <w:sz w:val="24"/>
          <w:szCs w:val="24"/>
        </w:rPr>
        <w:t>Msp300</w:t>
      </w:r>
      <w:r>
        <w:rPr>
          <w:rFonts w:ascii="Times New Roman" w:hAnsi="Times New Roman"/>
          <w:sz w:val="24"/>
          <w:szCs w:val="24"/>
        </w:rPr>
        <w:t xml:space="preserve">, the protein product of </w:t>
      </w:r>
      <w:r>
        <w:rPr>
          <w:rFonts w:ascii="Times New Roman" w:hAnsi="Times New Roman"/>
          <w:i/>
          <w:iCs/>
          <w:sz w:val="24"/>
          <w:szCs w:val="24"/>
        </w:rPr>
        <w:t>klarsicht</w:t>
      </w:r>
      <w:r>
        <w:rPr>
          <w:rFonts w:ascii="Times New Roman" w:hAnsi="Times New Roman"/>
          <w:sz w:val="24"/>
          <w:szCs w:val="24"/>
        </w:rPr>
        <w:t xml:space="preserve"> is responsible for positioning the nuclei in muscles. Two more genes were within the QTL regions significantly associated with the phenotypic difference between the bulks, </w:t>
      </w:r>
      <w:r>
        <w:rPr>
          <w:rFonts w:ascii="Times New Roman" w:hAnsi="Times New Roman"/>
          <w:i/>
          <w:iCs/>
          <w:sz w:val="24"/>
          <w:szCs w:val="24"/>
        </w:rPr>
        <w:t>GF14829</w:t>
      </w:r>
      <w:r>
        <w:rPr>
          <w:rFonts w:ascii="Times New Roman" w:hAnsi="Times New Roman"/>
          <w:sz w:val="24"/>
          <w:szCs w:val="24"/>
        </w:rPr>
        <w:t xml:space="preserve"> (</w:t>
      </w:r>
      <w:r>
        <w:rPr>
          <w:rFonts w:ascii="Times New Roman" w:hAnsi="Times New Roman"/>
          <w:i/>
          <w:iCs/>
          <w:sz w:val="24"/>
          <w:szCs w:val="24"/>
        </w:rPr>
        <w:t>D. melanogaster</w:t>
      </w:r>
      <w:r>
        <w:rPr>
          <w:rFonts w:ascii="Times New Roman" w:hAnsi="Times New Roman"/>
          <w:sz w:val="24"/>
          <w:szCs w:val="24"/>
        </w:rPr>
        <w:t>/</w:t>
      </w:r>
      <w:r>
        <w:rPr>
          <w:rFonts w:ascii="Times New Roman" w:hAnsi="Times New Roman"/>
          <w:i/>
          <w:iCs/>
          <w:sz w:val="24"/>
          <w:szCs w:val="24"/>
        </w:rPr>
        <w:t>CG10383</w:t>
      </w:r>
      <w:r>
        <w:rPr>
          <w:rFonts w:ascii="Times New Roman" w:hAnsi="Times New Roman"/>
          <w:sz w:val="24"/>
          <w:szCs w:val="24"/>
        </w:rPr>
        <w:t xml:space="preserve">) and </w:t>
      </w:r>
      <w:r>
        <w:rPr>
          <w:rFonts w:ascii="Times New Roman" w:hAnsi="Times New Roman"/>
          <w:i/>
          <w:iCs/>
          <w:sz w:val="24"/>
          <w:szCs w:val="24"/>
        </w:rPr>
        <w:t>GF21827</w:t>
      </w:r>
      <w:r>
        <w:rPr>
          <w:rFonts w:ascii="Times New Roman" w:hAnsi="Times New Roman"/>
          <w:sz w:val="24"/>
          <w:szCs w:val="24"/>
        </w:rPr>
        <w:t xml:space="preserve"> (</w:t>
      </w:r>
      <w:r>
        <w:rPr>
          <w:rFonts w:ascii="Times New Roman" w:hAnsi="Times New Roman"/>
          <w:i/>
          <w:iCs/>
          <w:sz w:val="24"/>
          <w:szCs w:val="24"/>
        </w:rPr>
        <w:t>D. melanogaster</w:t>
      </w:r>
      <w:r>
        <w:rPr>
          <w:rFonts w:ascii="Times New Roman" w:hAnsi="Times New Roman"/>
          <w:sz w:val="24"/>
          <w:szCs w:val="24"/>
        </w:rPr>
        <w:t>/</w:t>
      </w:r>
      <w:r>
        <w:rPr>
          <w:rFonts w:ascii="Times New Roman" w:hAnsi="Times New Roman"/>
          <w:i/>
          <w:iCs/>
          <w:sz w:val="24"/>
          <w:szCs w:val="24"/>
        </w:rPr>
        <w:t>Arpc3B</w:t>
      </w:r>
      <w:r>
        <w:rPr>
          <w:rFonts w:ascii="Times New Roman" w:hAnsi="Times New Roman"/>
          <w:sz w:val="24"/>
          <w:szCs w:val="24"/>
        </w:rPr>
        <w:t xml:space="preserve">). These two genes were not found in the GO analysis; however, the former is involved in adult longevity and sleep (Donggi </w:t>
      </w:r>
      <w:r>
        <w:rPr>
          <w:rFonts w:ascii="Times New Roman" w:hAnsi="Times New Roman"/>
          <w:i/>
          <w:iCs/>
          <w:sz w:val="24"/>
          <w:szCs w:val="24"/>
        </w:rPr>
        <w:t>et al.</w:t>
      </w:r>
      <w:r>
        <w:rPr>
          <w:rFonts w:ascii="Times New Roman" w:hAnsi="Times New Roman"/>
          <w:sz w:val="24"/>
          <w:szCs w:val="24"/>
        </w:rPr>
        <w:t xml:space="preserve">, 2012), and the latter is involved in actin binding (Hudson &amp; Cooley, 2002). Both genes were previously associated with phenotypic differences within the BKK population (Königer &amp; Grath, 2018; Königer </w:t>
      </w:r>
      <w:r>
        <w:rPr>
          <w:rFonts w:ascii="Times New Roman" w:hAnsi="Times New Roman"/>
          <w:i/>
          <w:iCs/>
          <w:sz w:val="24"/>
          <w:szCs w:val="24"/>
        </w:rPr>
        <w:t>et al.</w:t>
      </w:r>
      <w:r>
        <w:rPr>
          <w:rFonts w:ascii="Times New Roman" w:hAnsi="Times New Roman"/>
          <w:sz w:val="24"/>
          <w:szCs w:val="24"/>
        </w:rPr>
        <w:t>, 2019).</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Palmitoylation is the attachment of a palmitic acid – a 16-carbon fatty acid – to cysteine residues of a protein by thioester bonds (Linder &amp; Deschenes, 2007). Its roles include regulation of protein localization, protein-protein interactions, signal transduction, and protein stability. Palmitoylation also affects membrane fluidity by regulating protein localization in the plasma membrane. Due to these characteristics and functions, palmitoylation becomes an essential element of cold tolerance. Nine </w:t>
      </w:r>
      <w:r>
        <w:rPr>
          <w:rFonts w:ascii="Times New Roman" w:hAnsi="Times New Roman"/>
          <w:i/>
          <w:iCs/>
          <w:sz w:val="24"/>
          <w:szCs w:val="24"/>
        </w:rPr>
        <w:t>D. ananassae</w:t>
      </w:r>
      <w:r>
        <w:rPr>
          <w:rFonts w:ascii="Times New Roman" w:hAnsi="Times New Roman"/>
          <w:sz w:val="24"/>
          <w:szCs w:val="24"/>
        </w:rPr>
        <w:t xml:space="preserve"> genes found within the significant QTLs showed enrichment in protein palmitoylation. Previous studies showed that four genes (Table S4) were expressed in the central nervous system (Bannan </w:t>
      </w:r>
      <w:r>
        <w:rPr>
          <w:rFonts w:ascii="Times New Roman" w:hAnsi="Times New Roman"/>
          <w:i/>
          <w:iCs/>
          <w:sz w:val="24"/>
          <w:szCs w:val="24"/>
        </w:rPr>
        <w:t xml:space="preserve"> et al.</w:t>
      </w:r>
      <w:r>
        <w:rPr>
          <w:rFonts w:ascii="Times New Roman" w:hAnsi="Times New Roman"/>
          <w:sz w:val="24"/>
          <w:szCs w:val="24"/>
        </w:rPr>
        <w:t xml:space="preserve">, 2008). </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Exposure to low temperatures causes protein denaturation, energy deficiency, and decreased membrane fluidity (Overgaard &amp; MacMillan, 2017; Teets &amp; Denlinger, 2013). Extended exposure to cold leads to chill injury and, eventually, insect death. Previous studies on chill susceptible insects suggest that maintaining ion homeostasis is key to cold tolerance (Andersen </w:t>
      </w:r>
      <w:r>
        <w:rPr>
          <w:rFonts w:ascii="Times New Roman" w:hAnsi="Times New Roman"/>
          <w:i/>
          <w:iCs/>
          <w:sz w:val="24"/>
          <w:szCs w:val="24"/>
        </w:rPr>
        <w:t>et al.</w:t>
      </w:r>
      <w:r>
        <w:rPr>
          <w:rFonts w:ascii="Times New Roman" w:hAnsi="Times New Roman"/>
          <w:sz w:val="24"/>
          <w:szCs w:val="24"/>
        </w:rPr>
        <w:t xml:space="preserve">, 2017; Overgaard </w:t>
      </w:r>
      <w:r>
        <w:rPr>
          <w:rFonts w:ascii="Times New Roman" w:hAnsi="Times New Roman"/>
          <w:i/>
          <w:iCs/>
          <w:sz w:val="24"/>
          <w:szCs w:val="24"/>
        </w:rPr>
        <w:t>et al.</w:t>
      </w:r>
      <w:r>
        <w:rPr>
          <w:rFonts w:ascii="Times New Roman" w:hAnsi="Times New Roman"/>
          <w:sz w:val="24"/>
          <w:szCs w:val="24"/>
        </w:rPr>
        <w:t xml:space="preserve">, 2021). Disturbance in the ion-water balance causes loss of membrane potential, which leads to impairment of muscle excitability (Overgaard &amp; MacMillan, 2017). However, it is uncertain if the loss of neuromuscular coordination results from failure in neurons, muscles, or synapses. Our study suggests that in addition to ion transport, fatty acid metabolism, protein folding, and cellular respiration, cold tolerance of chill susceptible insects also depends on muscle development and palmitoylation in the central nervous system and provides further evidence for the roles of the cytoskeleton and chitin-binding in chill coma recovery at the genetic level. </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Given the established genome editing technology within the species by Yılmaz </w:t>
      </w:r>
      <w:r>
        <w:rPr>
          <w:rFonts w:ascii="Times New Roman" w:hAnsi="Times New Roman"/>
          <w:i/>
          <w:iCs/>
          <w:sz w:val="24"/>
          <w:szCs w:val="24"/>
        </w:rPr>
        <w:t>et al.</w:t>
      </w:r>
      <w:r>
        <w:rPr>
          <w:rFonts w:ascii="Times New Roman" w:hAnsi="Times New Roman"/>
          <w:sz w:val="24"/>
          <w:szCs w:val="24"/>
        </w:rPr>
        <w:t xml:space="preserve">, (2023), we suggest 16 candidate genes (Table S4) that can be edited and used in validation assays, including phenotype evaluation, electrophysiological techniques, and reabsorption measurements. Undoubtedly, functional studies can underpin the roles of candidate genes in chill coma recovery and cold tolerance. In addition, selection experiments using the fly strains with contrasting genotypes can explain the selection processes acting on the genetic variation. Overall, by integrating different phenotypic measurements and genome-wide variant analysis, our study brings the underlying mechanisms of chill coma recovery into light and enhances our understanding of cold tolerance in the model system </w:t>
      </w:r>
      <w:r>
        <w:rPr>
          <w:rFonts w:ascii="Times New Roman" w:hAnsi="Times New Roman"/>
          <w:i/>
          <w:iCs/>
          <w:sz w:val="24"/>
          <w:szCs w:val="24"/>
        </w:rPr>
        <w:t>Drosophila</w:t>
      </w:r>
      <w:r>
        <w:rPr>
          <w:rFonts w:ascii="Times New Roman" w:hAnsi="Times New Roman"/>
          <w:sz w:val="24"/>
          <w:szCs w:val="24"/>
        </w:rPr>
        <w:t>.</w:t>
      </w:r>
    </w:p>
    <w:p>
      <w:pPr>
        <w:pStyle w:val="Heading2"/>
        <w:spacing w:lineRule="auto" w:line="276" w:before="0" w:after="113"/>
        <w:rPr>
          <w:rFonts w:ascii="Arial" w:hAnsi="Arial"/>
          <w:b w:val="false"/>
          <w:b w:val="false"/>
          <w:bCs w:val="false"/>
          <w:sz w:val="28"/>
          <w:szCs w:val="28"/>
        </w:rPr>
      </w:pPr>
      <w:r>
        <w:rPr>
          <w:rFonts w:ascii="Arial" w:hAnsi="Arial"/>
          <w:b w:val="false"/>
          <w:bCs w:val="false"/>
          <w:sz w:val="28"/>
          <w:szCs w:val="28"/>
        </w:rPr>
        <w:t>Material and Methods</w:t>
      </w:r>
    </w:p>
    <w:p>
      <w:pPr>
        <w:pStyle w:val="Heading3"/>
        <w:spacing w:lineRule="auto" w:line="276" w:before="0" w:after="113"/>
        <w:rPr>
          <w:rFonts w:ascii="Times New Roman" w:hAnsi="Times New Roman"/>
          <w:sz w:val="24"/>
          <w:szCs w:val="24"/>
        </w:rPr>
      </w:pPr>
      <w:r>
        <w:rPr>
          <w:rFonts w:ascii="Times New Roman" w:hAnsi="Times New Roman"/>
          <w:sz w:val="24"/>
          <w:szCs w:val="24"/>
        </w:rPr>
        <w:t>Fly Husbandry</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This study used eight </w:t>
      </w:r>
      <w:r>
        <w:rPr>
          <w:rFonts w:ascii="Times New Roman" w:hAnsi="Times New Roman"/>
          <w:i/>
          <w:iCs/>
          <w:sz w:val="24"/>
          <w:szCs w:val="24"/>
        </w:rPr>
        <w:t>D</w:t>
      </w:r>
      <w:r>
        <w:rPr>
          <w:rFonts w:ascii="Times New Roman" w:hAnsi="Times New Roman"/>
          <w:i/>
          <w:iCs/>
          <w:sz w:val="24"/>
          <w:szCs w:val="24"/>
        </w:rPr>
        <w:t>rosophila</w:t>
      </w:r>
      <w:r>
        <w:rPr>
          <w:rFonts w:ascii="Times New Roman" w:hAnsi="Times New Roman"/>
          <w:i/>
          <w:iCs/>
          <w:sz w:val="24"/>
          <w:szCs w:val="24"/>
        </w:rPr>
        <w:t xml:space="preserve"> ananassae </w:t>
      </w:r>
      <w:r>
        <w:rPr>
          <w:rFonts w:ascii="Times New Roman" w:hAnsi="Times New Roman"/>
          <w:sz w:val="24"/>
          <w:szCs w:val="24"/>
        </w:rPr>
        <w:t xml:space="preserve">iso-female lines from Thailand (Bangkok, BKK), three iso-female lines from Nepal (Kathmandu, KATH), and sixteen recombinant inbred lines generated previously by Königer </w:t>
      </w:r>
      <w:r>
        <w:rPr>
          <w:rFonts w:ascii="Times New Roman" w:hAnsi="Times New Roman"/>
          <w:i/>
          <w:iCs/>
          <w:sz w:val="24"/>
          <w:szCs w:val="24"/>
        </w:rPr>
        <w:t>et al.</w:t>
      </w:r>
      <w:r>
        <w:rPr>
          <w:rFonts w:ascii="Times New Roman" w:hAnsi="Times New Roman"/>
          <w:sz w:val="24"/>
          <w:szCs w:val="24"/>
        </w:rPr>
        <w:t xml:space="preserve"> (2019) using two Bangkok lines as founders. All iso-female lines were collected in 2002 (Das </w:t>
      </w:r>
      <w:r>
        <w:rPr>
          <w:rFonts w:ascii="Times New Roman" w:hAnsi="Times New Roman"/>
          <w:i/>
          <w:sz w:val="24"/>
          <w:szCs w:val="24"/>
        </w:rPr>
        <w:t>et al</w:t>
      </w:r>
      <w:r>
        <w:rPr>
          <w:rFonts w:ascii="Times New Roman" w:hAnsi="Times New Roman"/>
          <w:sz w:val="24"/>
          <w:szCs w:val="24"/>
        </w:rPr>
        <w:t>., 2004). The fly strains were maintained under standard laboratory conditions (Rearing temperature – RT: 22˚C ± 1˚C 14:10 hours light:dark cycle) at low density on corn-molasses medium. All experiments were performed on flies that were expanded in large vials for two generations under the same conditions.</w:t>
      </w:r>
    </w:p>
    <w:p>
      <w:pPr>
        <w:pStyle w:val="Heading3"/>
        <w:spacing w:lineRule="auto" w:line="276" w:before="0" w:after="113"/>
        <w:rPr>
          <w:rFonts w:ascii="Times New Roman" w:hAnsi="Times New Roman"/>
          <w:sz w:val="24"/>
          <w:szCs w:val="24"/>
        </w:rPr>
      </w:pPr>
      <w:r>
        <w:rPr>
          <w:rFonts w:ascii="Times New Roman" w:hAnsi="Times New Roman"/>
          <w:sz w:val="24"/>
          <w:szCs w:val="24"/>
        </w:rPr>
        <w:t>Cold Tolerance Phenotype Measurements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For all phenotype measurements, the flies of the F2 generation were collected in 0-to-2 days upon emergence. After a day of recuperation, the flies were anesthetized under brief exposure to CO2, separated according to sex and placed into small vials with fresh fly food in groups of 10 individuals. The flies were allowed to recuperate another day after sex separation and tested when 4-6 days old. Three replicate vials are used per sex and strain for all phenotyping assays.</w:t>
      </w:r>
    </w:p>
    <w:p>
      <w:pPr>
        <w:pStyle w:val="Heading4"/>
        <w:spacing w:lineRule="auto" w:line="276" w:before="0" w:after="113"/>
        <w:rPr>
          <w:rFonts w:ascii="Times New Roman" w:hAnsi="Times New Roman"/>
          <w:sz w:val="24"/>
          <w:szCs w:val="24"/>
        </w:rPr>
      </w:pPr>
      <w:r>
        <w:rPr>
          <w:rFonts w:ascii="Times New Roman" w:hAnsi="Times New Roman"/>
          <w:sz w:val="24"/>
          <w:szCs w:val="24"/>
        </w:rPr>
        <w:t>Chill Coma Recovery Time</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The 4-6-day old flies were transferred into empty vials without CO</w:t>
      </w:r>
      <w:r>
        <w:rPr>
          <w:rFonts w:ascii="Times New Roman" w:hAnsi="Times New Roman"/>
          <w:sz w:val="24"/>
          <w:szCs w:val="24"/>
          <w:vertAlign w:val="subscript"/>
        </w:rPr>
        <w:t>2</w:t>
      </w:r>
      <w:r>
        <w:rPr>
          <w:rFonts w:ascii="Times New Roman" w:hAnsi="Times New Roman"/>
          <w:sz w:val="24"/>
          <w:szCs w:val="24"/>
        </w:rPr>
        <w:t xml:space="preserve"> exposure and placed on melting ice at 0˚C for 3 hours to induce chill coma. The flies were placed into rearing temperature and the time of recovery -regain of the ability to stand up- was recorded for 90 minutes. The flies that recovered after 90 minutes were recorded as 92 minutes and the dead flies were discarded from the assay. </w:t>
      </w:r>
    </w:p>
    <w:p>
      <w:pPr>
        <w:pStyle w:val="Heading4"/>
        <w:spacing w:lineRule="auto" w:line="276" w:before="0" w:after="113"/>
        <w:rPr>
          <w:rFonts w:ascii="Times New Roman" w:hAnsi="Times New Roman"/>
          <w:sz w:val="24"/>
          <w:szCs w:val="24"/>
        </w:rPr>
      </w:pPr>
      <w:r>
        <w:rPr>
          <w:rFonts w:ascii="Times New Roman" w:hAnsi="Times New Roman"/>
          <w:sz w:val="24"/>
          <w:szCs w:val="24"/>
        </w:rPr>
        <w:t>Cold Shock Mortality &amp; L</w:t>
      </w:r>
      <w:r>
        <w:rPr>
          <w:rFonts w:ascii="Times New Roman" w:hAnsi="Times New Roman"/>
          <w:position w:val="0"/>
          <w:sz w:val="24"/>
          <w:sz w:val="24"/>
          <w:szCs w:val="24"/>
          <w:vertAlign w:val="baseline"/>
        </w:rPr>
        <w:t>Ti50</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The 4-6-day old flies were transferred into empty vials without CO2 exposure and placed on melting ice at 0˚C for different time periods ranging between 1-24 hours spanning 0-100% mortality. At the end of cold exposure, the flies were placed into rearing temperature for 2 hours to allow recovery from chill coma. The number of dead flies in each vial was recorded. The number of dead flies upon 8-hour exposure to melting ice was taken into consideration for cold shock mortality. For L</w:t>
      </w:r>
      <w:r>
        <w:rPr>
          <w:rFonts w:ascii="Times New Roman" w:hAnsi="Times New Roman"/>
          <w:position w:val="0"/>
          <w:sz w:val="24"/>
          <w:sz w:val="24"/>
          <w:szCs w:val="24"/>
          <w:vertAlign w:val="baseline"/>
        </w:rPr>
        <w:t>Ti50</w:t>
      </w:r>
      <w:r>
        <w:rPr>
          <w:rFonts w:ascii="Times New Roman" w:hAnsi="Times New Roman"/>
          <w:sz w:val="24"/>
          <w:szCs w:val="24"/>
        </w:rPr>
        <w:t xml:space="preserve">, the time of exposure corresponding 50% mortality of each sex and strain was calculated from overall mortality data. </w:t>
      </w:r>
    </w:p>
    <w:p>
      <w:pPr>
        <w:pStyle w:val="Heading4"/>
        <w:spacing w:lineRule="auto" w:line="276" w:before="0" w:after="113"/>
        <w:rPr>
          <w:rFonts w:ascii="Times New Roman" w:hAnsi="Times New Roman"/>
          <w:sz w:val="24"/>
          <w:szCs w:val="24"/>
        </w:rPr>
      </w:pPr>
      <w:r>
        <w:rPr>
          <w:rFonts w:ascii="Times New Roman" w:hAnsi="Times New Roman"/>
          <w:sz w:val="24"/>
          <w:szCs w:val="24"/>
        </w:rPr>
        <w:t>Data Analysis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L</w:t>
      </w:r>
      <w:r>
        <w:rPr>
          <w:rFonts w:ascii="Times New Roman" w:hAnsi="Times New Roman"/>
          <w:position w:val="0"/>
          <w:sz w:val="24"/>
          <w:sz w:val="24"/>
          <w:szCs w:val="24"/>
          <w:vertAlign w:val="baseline"/>
        </w:rPr>
        <w:t>Ti50</w:t>
      </w:r>
      <w:r>
        <w:rPr>
          <w:rFonts w:ascii="Times New Roman" w:hAnsi="Times New Roman"/>
          <w:sz w:val="24"/>
          <w:szCs w:val="24"/>
        </w:rPr>
        <w:t xml:space="preserve"> was calculated using generalized linear models and quasibinomial distribution in R version 4.2.2 (R Core Team, 2022). The effects of line and sex on cold tolerance phenotype was tested using two-way ANOVA as implemented in R. </w:t>
      </w:r>
    </w:p>
    <w:p>
      <w:pPr>
        <w:pStyle w:val="Heading3"/>
        <w:spacing w:lineRule="auto" w:line="276" w:before="0" w:after="113"/>
        <w:rPr>
          <w:rFonts w:ascii="Times New Roman" w:hAnsi="Times New Roman"/>
          <w:sz w:val="24"/>
          <w:szCs w:val="24"/>
        </w:rPr>
      </w:pPr>
      <w:r>
        <w:rPr>
          <w:rFonts w:ascii="Times New Roman" w:hAnsi="Times New Roman"/>
          <w:sz w:val="24"/>
          <w:szCs w:val="24"/>
        </w:rPr>
        <w:t xml:space="preserve">Sample Collection and DNA Extraction </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Four pools were generated to be used in bulk segregant analysis. For parental pools, 100 females were collected from F2 generations of each founder. For recombinant inbred line pools with extreme phenotypes, the flies from the F2 generation of selected RILs were collected in 0-to-2 days upon emergence. After a day of recuperation, the flies were anesthetized under brief exposure to CO2 and separated according to sex. Single female flies were placed into small vials containing fresh fly food. The 4-6-day old flies were placed on melting ice at 0˚C for 3 hours to induce chill coma. Then, the vials were returned to the rearing temperature for recovery and checked every 30 minutes. The flies that could stand in the first 30 minutes were collected as extremely fast-recovering individuals. The flies that could stand in the second 30 minutes were discarded. At the end of the third and the last 30 minutes, the living flies were collected as extremely slow-recovering individuals regardless of their recovery state. The chill coma recovery assay was repeated until 100 flies were collected for each extreme pool. The flies were placed into 1.5mL Eppendorf tubes in groups of 10 and snap-frozen in liquid nitrogen for DNA extraction. The DNA was extracted using MasterPure™ DNA Purification Kit (Epicentre, Madison, WI, USA).</w:t>
      </w:r>
    </w:p>
    <w:p>
      <w:pPr>
        <w:pStyle w:val="Heading3"/>
        <w:spacing w:lineRule="auto" w:line="276" w:before="0" w:after="113"/>
        <w:rPr>
          <w:rFonts w:ascii="Times New Roman" w:hAnsi="Times New Roman"/>
          <w:sz w:val="24"/>
          <w:szCs w:val="24"/>
        </w:rPr>
      </w:pPr>
      <w:r>
        <w:rPr>
          <w:rFonts w:ascii="Times New Roman" w:hAnsi="Times New Roman"/>
          <w:sz w:val="24"/>
          <w:szCs w:val="24"/>
        </w:rPr>
        <w:t>Whole Genome Sequencing</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The DNA samples were pooled together and sent for whole genome sequencing to an external facility (Novogene, Cambridge, UK), which performed high-throughput sequencing using a Novaseq 6000 sequencer (Illumina, San Diego, CA, USA) to generate 150-bp paired-end reads. On average 62.4 million reads were generated per sample. The raw data was mapped to </w:t>
      </w:r>
      <w:r>
        <w:rPr>
          <w:rFonts w:ascii="Times New Roman" w:hAnsi="Times New Roman"/>
          <w:i/>
          <w:iCs/>
          <w:sz w:val="24"/>
          <w:szCs w:val="24"/>
        </w:rPr>
        <w:t>Drosophila ananassae</w:t>
      </w:r>
      <w:r>
        <w:rPr>
          <w:rFonts w:ascii="Times New Roman" w:hAnsi="Times New Roman"/>
          <w:sz w:val="24"/>
          <w:szCs w:val="24"/>
        </w:rPr>
        <w:t xml:space="preserve"> genome (NCBI </w:t>
      </w:r>
      <w:r>
        <w:rPr>
          <w:rFonts w:ascii="Times New Roman" w:hAnsi="Times New Roman"/>
          <w:i/>
          <w:iCs/>
          <w:sz w:val="24"/>
          <w:szCs w:val="24"/>
        </w:rPr>
        <w:t>Drosophila ananassae</w:t>
      </w:r>
      <w:r>
        <w:rPr>
          <w:rFonts w:ascii="Times New Roman" w:hAnsi="Times New Roman"/>
          <w:sz w:val="24"/>
          <w:szCs w:val="24"/>
        </w:rPr>
        <w:t xml:space="preserve"> Annotation Release 102) using the Burrows-Wheeler Aligner tool (version 0.5.0). Further processing -sorting, merging, duplicate removing- was done using samtools (version 1.18). Variant calling was performed using freebayes (version 1.3.8). The variants were filtered using bcftools (version 1.18). Finally, GATK-VariantsToTable tool was used to prepare the data for further analysis on R (version 4.2.2).</w:t>
      </w:r>
    </w:p>
    <w:p>
      <w:pPr>
        <w:pStyle w:val="Heading3"/>
        <w:spacing w:lineRule="auto" w:line="276" w:before="0" w:after="113"/>
        <w:rPr>
          <w:rFonts w:ascii="Times New Roman" w:hAnsi="Times New Roman"/>
          <w:sz w:val="24"/>
          <w:szCs w:val="24"/>
        </w:rPr>
      </w:pPr>
      <w:r>
        <w:rPr>
          <w:rFonts w:ascii="Times New Roman" w:hAnsi="Times New Roman"/>
          <w:sz w:val="24"/>
          <w:szCs w:val="24"/>
        </w:rPr>
        <w:t>Bulk Segregant Analysis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The analysis was limited to both arms of chromosomes 2, 3, and X, discarding unlocalized scaffolds. Using the QTLseqr package (version 0.7.5.2) (Mansfeld and Grumet 2018) in R, a QTL analysis was performed, calculating number of SNPs in 1 Mb windows and ∆(SNP-index), which corresponds to the alternate allele frequency difference of high and low bulk. Using the same package, G statistics of each SNP as well as the G’ values in 1 Mb windows were calculated. The high and low bulks were chosen as extremely tolerant RIL pool and extremely sensitive RIL pool, respectively. The QTL regions that showed significant association with phenotypic differences between the bulks were annotated using the annotation file provided with the reference genome.</w:t>
      </w:r>
    </w:p>
    <w:p>
      <w:pPr>
        <w:pStyle w:val="Heading3"/>
        <w:spacing w:lineRule="auto" w:line="276" w:before="0" w:after="113"/>
        <w:rPr>
          <w:rFonts w:ascii="Times New Roman" w:hAnsi="Times New Roman"/>
          <w:sz w:val="24"/>
          <w:szCs w:val="24"/>
        </w:rPr>
      </w:pPr>
      <w:r>
        <w:rPr>
          <w:rFonts w:ascii="Times New Roman" w:hAnsi="Times New Roman"/>
          <w:sz w:val="24"/>
          <w:szCs w:val="24"/>
        </w:rPr>
        <w:t>Gene Ontology Enrichment Analysis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 xml:space="preserve">The genes within the significant regions were identified. To determine the GO terms associated with the </w:t>
      </w:r>
      <w:r>
        <w:rPr>
          <w:rFonts w:ascii="Times New Roman" w:hAnsi="Times New Roman"/>
          <w:i/>
          <w:iCs/>
          <w:sz w:val="24"/>
          <w:szCs w:val="24"/>
        </w:rPr>
        <w:t>D. melanogaster</w:t>
      </w:r>
      <w:r>
        <w:rPr>
          <w:rFonts w:ascii="Times New Roman" w:hAnsi="Times New Roman"/>
          <w:sz w:val="24"/>
          <w:szCs w:val="24"/>
        </w:rPr>
        <w:t xml:space="preserve"> orthologs of these genes, GO enrichment analysis was performed using clusterProfiler (version 4.6.2) (Wu </w:t>
      </w:r>
      <w:r>
        <w:rPr>
          <w:rFonts w:ascii="Times New Roman" w:hAnsi="Times New Roman"/>
          <w:i/>
          <w:iCs/>
          <w:sz w:val="24"/>
          <w:szCs w:val="24"/>
        </w:rPr>
        <w:t>et al.</w:t>
      </w:r>
      <w:r>
        <w:rPr>
          <w:rFonts w:ascii="Times New Roman" w:hAnsi="Times New Roman"/>
          <w:sz w:val="24"/>
          <w:szCs w:val="24"/>
        </w:rPr>
        <w:t xml:space="preserve">, 2021) implemented in R. The p-values were corrected using FDR method with a p-value cut-off of 0.01. The significant GO terms were visualized using the genekitr package (version 1.2.5) (Liu, 2023). </w:t>
      </w:r>
    </w:p>
    <w:p>
      <w:pPr>
        <w:pStyle w:val="Heading2"/>
        <w:spacing w:lineRule="auto" w:line="276" w:before="0" w:after="113"/>
        <w:rPr>
          <w:rFonts w:ascii="Arial" w:hAnsi="Arial"/>
          <w:sz w:val="28"/>
          <w:szCs w:val="28"/>
        </w:rPr>
      </w:pPr>
      <w:r>
        <w:rPr>
          <w:rFonts w:ascii="Arial" w:hAnsi="Arial"/>
          <w:b w:val="false"/>
          <w:bCs w:val="false"/>
          <w:sz w:val="28"/>
          <w:szCs w:val="28"/>
        </w:rPr>
        <w:t>Data Availability</w:t>
      </w:r>
    </w:p>
    <w:p>
      <w:pPr>
        <w:pStyle w:val="Normal"/>
        <w:spacing w:lineRule="auto" w:line="276" w:before="0" w:after="113"/>
        <w:jc w:val="both"/>
        <w:rPr>
          <w:rFonts w:ascii="Times New Roman" w:hAnsi="Times New Roman"/>
          <w:sz w:val="24"/>
          <w:szCs w:val="24"/>
        </w:rPr>
      </w:pPr>
      <w:r>
        <w:rPr>
          <w:rFonts w:ascii="Times New Roman" w:hAnsi="Times New Roman"/>
          <w:color w:val="000000"/>
          <w:sz w:val="24"/>
          <w:szCs w:val="24"/>
        </w:rPr>
        <w:t>Whole genome sequencing data are available at NCBI SRA archive under the accession number PRJNA1247020. All other data and scripts are available in the article and in its Supplementary Material.</w:t>
      </w:r>
    </w:p>
    <w:p>
      <w:pPr>
        <w:pStyle w:val="Heading2"/>
        <w:spacing w:lineRule="auto" w:line="276" w:before="0" w:after="113"/>
        <w:rPr>
          <w:rFonts w:ascii="Arial" w:hAnsi="Arial"/>
          <w:b w:val="false"/>
          <w:b w:val="false"/>
          <w:bCs w:val="false"/>
          <w:sz w:val="28"/>
          <w:szCs w:val="28"/>
        </w:rPr>
      </w:pPr>
      <w:r>
        <w:rPr>
          <w:rFonts w:ascii="Arial" w:hAnsi="Arial"/>
          <w:b w:val="false"/>
          <w:bCs w:val="false"/>
          <w:sz w:val="28"/>
          <w:szCs w:val="28"/>
        </w:rPr>
        <w:t>Author Contributions</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Conceptualization S.G.; sample collection V.M.Y., F.T.K.; investigation V.M.Y., F.T.K.; writing-original draft V.M.Y.; analysis and visualization V.M.Y.; funding acquisition S.G.</w:t>
      </w:r>
    </w:p>
    <w:p>
      <w:pPr>
        <w:pStyle w:val="Heading2"/>
        <w:spacing w:lineRule="auto" w:line="276" w:before="0" w:after="113"/>
        <w:rPr>
          <w:rFonts w:ascii="Arial" w:hAnsi="Arial"/>
          <w:b w:val="false"/>
          <w:b w:val="false"/>
          <w:bCs w:val="false"/>
          <w:sz w:val="28"/>
          <w:szCs w:val="28"/>
        </w:rPr>
      </w:pPr>
      <w:r>
        <w:rPr>
          <w:rFonts w:ascii="Arial" w:hAnsi="Arial"/>
          <w:b w:val="false"/>
          <w:bCs w:val="false"/>
          <w:sz w:val="28"/>
          <w:szCs w:val="28"/>
        </w:rPr>
        <w:t>Acknowledgements</w:t>
      </w:r>
    </w:p>
    <w:p>
      <w:pPr>
        <w:pStyle w:val="Normal"/>
        <w:spacing w:lineRule="auto" w:line="276" w:before="0" w:after="113"/>
        <w:jc w:val="both"/>
        <w:rPr>
          <w:rFonts w:ascii="Times New Roman" w:hAnsi="Times New Roman"/>
          <w:sz w:val="24"/>
          <w:szCs w:val="24"/>
        </w:rPr>
      </w:pPr>
      <w:r>
        <w:rPr>
          <w:rFonts w:ascii="Times New Roman" w:hAnsi="Times New Roman"/>
          <w:sz w:val="24"/>
          <w:szCs w:val="24"/>
          <w:shd w:fill="auto" w:val="clear"/>
        </w:rPr>
        <w:t>We thank Hilde Lainer and Bianca Hölldobler for technical assistance in the laboratory, Amanda Glaser-Schmitt and John Parsch for their valuable input on experimental design, and Dirk Metzler for the help regarding statistical analyses. We extend our appreciation to all current and previous members of the Division of Evolutionary Biology, as well as the Graduate School Life Science Munich (LSM) at LMU Munich.</w:t>
      </w:r>
    </w:p>
    <w:p>
      <w:pPr>
        <w:pStyle w:val="Heading2"/>
        <w:spacing w:lineRule="auto" w:line="276" w:before="0" w:after="113"/>
        <w:rPr>
          <w:rFonts w:ascii="Arial" w:hAnsi="Arial"/>
          <w:b w:val="false"/>
          <w:b w:val="false"/>
          <w:bCs w:val="false"/>
          <w:sz w:val="28"/>
          <w:szCs w:val="28"/>
        </w:rPr>
      </w:pPr>
      <w:r>
        <w:rPr>
          <w:rFonts w:ascii="Arial" w:hAnsi="Arial"/>
          <w:b w:val="false"/>
          <w:bCs w:val="false"/>
          <w:sz w:val="28"/>
          <w:szCs w:val="28"/>
        </w:rPr>
        <w:t>Funding</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Our work was supported by the Deutsche Forschungsgemeinschaft (project 271330745 to S. G.).</w:t>
      </w:r>
    </w:p>
    <w:p>
      <w:pPr>
        <w:pStyle w:val="Heading2"/>
        <w:spacing w:lineRule="auto" w:line="276" w:before="0" w:after="113"/>
        <w:rPr>
          <w:rFonts w:ascii="Arial" w:hAnsi="Arial"/>
          <w:b w:val="false"/>
          <w:b w:val="false"/>
          <w:bCs w:val="false"/>
          <w:sz w:val="28"/>
          <w:szCs w:val="28"/>
        </w:rPr>
      </w:pPr>
      <w:r>
        <w:rPr>
          <w:rFonts w:ascii="Arial" w:hAnsi="Arial"/>
          <w:b w:val="false"/>
          <w:bCs w:val="false"/>
          <w:sz w:val="28"/>
          <w:szCs w:val="28"/>
        </w:rPr>
        <w:t>Conflicts of Interest</w:t>
      </w:r>
    </w:p>
    <w:p>
      <w:pPr>
        <w:pStyle w:val="Normal"/>
        <w:spacing w:lineRule="auto" w:line="276" w:before="0" w:after="113"/>
        <w:jc w:val="both"/>
        <w:rPr>
          <w:rFonts w:ascii="Times New Roman" w:hAnsi="Times New Roman"/>
          <w:sz w:val="24"/>
          <w:szCs w:val="24"/>
        </w:rPr>
      </w:pPr>
      <w:r>
        <w:rPr>
          <w:rFonts w:ascii="Times New Roman" w:hAnsi="Times New Roman"/>
          <w:sz w:val="24"/>
          <w:szCs w:val="24"/>
        </w:rPr>
        <w:t>The authors declare no conflicting interests or personal relationships that could have appeared to influence the work reported in this paper.</w:t>
      </w:r>
    </w:p>
    <w:p>
      <w:pPr>
        <w:pStyle w:val="Heading2"/>
        <w:spacing w:lineRule="auto" w:line="276" w:before="0" w:after="113"/>
        <w:rPr>
          <w:rFonts w:ascii="Arial" w:hAnsi="Arial"/>
          <w:b w:val="false"/>
          <w:b w:val="false"/>
          <w:bCs w:val="false"/>
          <w:sz w:val="28"/>
          <w:szCs w:val="28"/>
        </w:rPr>
      </w:pPr>
      <w:r>
        <w:rPr>
          <w:rFonts w:ascii="Arial" w:hAnsi="Arial"/>
          <w:b w:val="false"/>
          <w:bCs w:val="false"/>
          <w:sz w:val="28"/>
          <w:szCs w:val="28"/>
        </w:rPr>
        <w:t>References</w:t>
      </w:r>
    </w:p>
    <w:p>
      <w:pPr>
        <w:pStyle w:val="Normal"/>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Andersen, J. L., Findsen, A., &amp; Overgaard, J. (2013). Feeding impairs chill coma recovery in the migratory locust (</w:t>
      </w:r>
      <w:r>
        <w:rPr>
          <w:rFonts w:ascii="Times New Roman" w:hAnsi="Times New Roman"/>
          <w:i/>
          <w:iCs/>
          <w:sz w:val="20"/>
          <w:szCs w:val="20"/>
        </w:rPr>
        <w:t>Locusta migratoria</w:t>
      </w:r>
      <w:r>
        <w:rPr>
          <w:rFonts w:ascii="Times New Roman" w:hAnsi="Times New Roman"/>
          <w:sz w:val="20"/>
          <w:szCs w:val="20"/>
        </w:rPr>
        <w:t xml:space="preserve">). </w:t>
      </w:r>
      <w:r>
        <w:rPr>
          <w:rFonts w:ascii="Times New Roman" w:hAnsi="Times New Roman"/>
          <w:i/>
          <w:sz w:val="20"/>
          <w:szCs w:val="20"/>
        </w:rPr>
        <w:t>Journal of Insect Physiology</w:t>
      </w:r>
      <w:r>
        <w:rPr>
          <w:rFonts w:ascii="Times New Roman" w:hAnsi="Times New Roman"/>
          <w:sz w:val="20"/>
          <w:szCs w:val="20"/>
        </w:rPr>
        <w:t xml:space="preserve">, </w:t>
      </w:r>
      <w:r>
        <w:rPr>
          <w:rFonts w:ascii="Times New Roman" w:hAnsi="Times New Roman"/>
          <w:i/>
          <w:sz w:val="20"/>
          <w:szCs w:val="20"/>
        </w:rPr>
        <w:t>59</w:t>
      </w:r>
      <w:r>
        <w:rPr>
          <w:rFonts w:ascii="Times New Roman" w:hAnsi="Times New Roman"/>
          <w:sz w:val="20"/>
          <w:szCs w:val="20"/>
        </w:rPr>
        <w:t>(10), 1041–1048. https://doi.org/10.1016/j.jinsphys.2013.07.008</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Andersen, J. L., Manenti, T., Sørensen, J. G., MacMillan, H. A., Loeschcke, V., &amp; Overgaard, J. (2015). How to assess </w:t>
      </w:r>
      <w:r>
        <w:rPr>
          <w:rFonts w:ascii="Times New Roman" w:hAnsi="Times New Roman"/>
          <w:i/>
          <w:sz w:val="20"/>
          <w:szCs w:val="20"/>
        </w:rPr>
        <w:t>Drosophila</w:t>
      </w:r>
      <w:r>
        <w:rPr>
          <w:rFonts w:ascii="Times New Roman" w:hAnsi="Times New Roman"/>
          <w:sz w:val="20"/>
          <w:szCs w:val="20"/>
        </w:rPr>
        <w:t xml:space="preserve"> cold tolerance: chill coma temperature and lower lethal temperature are the best predictors of cold distribution limits. </w:t>
      </w:r>
      <w:r>
        <w:rPr>
          <w:rFonts w:ascii="Times New Roman" w:hAnsi="Times New Roman"/>
          <w:i/>
          <w:sz w:val="20"/>
          <w:szCs w:val="20"/>
        </w:rPr>
        <w:t>Functional Ecology</w:t>
      </w:r>
      <w:r>
        <w:rPr>
          <w:rFonts w:ascii="Times New Roman" w:hAnsi="Times New Roman"/>
          <w:sz w:val="20"/>
          <w:szCs w:val="20"/>
        </w:rPr>
        <w:t xml:space="preserve">, </w:t>
      </w:r>
      <w:r>
        <w:rPr>
          <w:rFonts w:ascii="Times New Roman" w:hAnsi="Times New Roman"/>
          <w:i/>
          <w:sz w:val="20"/>
          <w:szCs w:val="20"/>
        </w:rPr>
        <w:t>29</w:t>
      </w:r>
      <w:r>
        <w:rPr>
          <w:rFonts w:ascii="Times New Roman" w:hAnsi="Times New Roman"/>
          <w:sz w:val="20"/>
          <w:szCs w:val="20"/>
        </w:rPr>
        <w:t>(1), 55–65. https://doi.org/10.1111/1365-2435.12310</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b w:val="false"/>
          <w:i w:val="false"/>
          <w:caps w:val="false"/>
          <w:smallCaps w:val="false"/>
          <w:sz w:val="20"/>
          <w:szCs w:val="20"/>
        </w:rPr>
        <w:t xml:space="preserve">Andersen, L. H., Kristensen, T. N., Loeschcke, V., Toft, S., &amp; Mayntz, D. (2010). Protein and carbohydrate composition of larval food affects tolerance to thermal stress and desiccation in adult </w:t>
      </w:r>
      <w:r>
        <w:rPr>
          <w:rFonts w:ascii="Times New Roman" w:hAnsi="Times New Roman"/>
          <w:b w:val="false"/>
          <w:i/>
          <w:iCs/>
          <w:caps w:val="false"/>
          <w:smallCaps w:val="false"/>
          <w:sz w:val="20"/>
          <w:szCs w:val="20"/>
        </w:rPr>
        <w:t>Drosophila melanogaster</w:t>
      </w:r>
      <w:r>
        <w:rPr>
          <w:rFonts w:ascii="Times New Roman" w:hAnsi="Times New Roman"/>
          <w:b w:val="false"/>
          <w:i w:val="false"/>
          <w:caps w:val="false"/>
          <w:smallCaps w:val="false"/>
          <w:sz w:val="20"/>
          <w:szCs w:val="20"/>
        </w:rPr>
        <w:t xml:space="preserve">. </w:t>
      </w:r>
      <w:r>
        <w:rPr>
          <w:rFonts w:ascii="Times New Roman" w:hAnsi="Times New Roman"/>
          <w:b w:val="false"/>
          <w:i/>
          <w:caps w:val="false"/>
          <w:smallCaps w:val="false"/>
          <w:sz w:val="20"/>
          <w:szCs w:val="20"/>
        </w:rPr>
        <w:t>Journal of Insect Physiology</w:t>
      </w:r>
      <w:r>
        <w:rPr>
          <w:rFonts w:ascii="Times New Roman" w:hAnsi="Times New Roman"/>
          <w:b w:val="false"/>
          <w:i w:val="false"/>
          <w:caps w:val="false"/>
          <w:smallCaps w:val="false"/>
          <w:sz w:val="20"/>
          <w:szCs w:val="20"/>
        </w:rPr>
        <w:t xml:space="preserve">, </w:t>
      </w:r>
      <w:r>
        <w:rPr>
          <w:rFonts w:ascii="Times New Roman" w:hAnsi="Times New Roman"/>
          <w:b w:val="false"/>
          <w:i/>
          <w:caps w:val="false"/>
          <w:smallCaps w:val="false"/>
          <w:sz w:val="20"/>
          <w:szCs w:val="20"/>
        </w:rPr>
        <w:t>56</w:t>
      </w:r>
      <w:r>
        <w:rPr>
          <w:rFonts w:ascii="Times New Roman" w:hAnsi="Times New Roman"/>
          <w:b w:val="false"/>
          <w:i w:val="false"/>
          <w:caps w:val="false"/>
          <w:smallCaps w:val="false"/>
          <w:sz w:val="20"/>
          <w:szCs w:val="20"/>
        </w:rPr>
        <w:t>(4), 336–340. https://doi.org/10.1016/j.jinsphys.2009.11.006</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Ayrinhac, A., Debat, V., Gibert, P., Kister, A. ‐G., Legout, H., Moreteau, B., Vergilino, R., &amp; David, J. R. (2004). Cold adaptation in geographical populations of </w:t>
      </w:r>
      <w:r>
        <w:rPr>
          <w:rFonts w:ascii="Times New Roman" w:hAnsi="Times New Roman"/>
          <w:i/>
          <w:sz w:val="20"/>
          <w:szCs w:val="20"/>
        </w:rPr>
        <w:t>Drosophila melanogaster</w:t>
      </w:r>
      <w:r>
        <w:rPr>
          <w:rFonts w:ascii="Times New Roman" w:hAnsi="Times New Roman"/>
          <w:sz w:val="20"/>
          <w:szCs w:val="20"/>
        </w:rPr>
        <w:t xml:space="preserve"> : phenotypic plasticity is more important than genetic variability. </w:t>
      </w:r>
      <w:r>
        <w:rPr>
          <w:rFonts w:ascii="Times New Roman" w:hAnsi="Times New Roman"/>
          <w:i/>
          <w:sz w:val="20"/>
          <w:szCs w:val="20"/>
        </w:rPr>
        <w:t>Functional Ecology</w:t>
      </w:r>
      <w:r>
        <w:rPr>
          <w:rFonts w:ascii="Times New Roman" w:hAnsi="Times New Roman"/>
          <w:sz w:val="20"/>
          <w:szCs w:val="20"/>
        </w:rPr>
        <w:t xml:space="preserve">, </w:t>
      </w:r>
      <w:r>
        <w:rPr>
          <w:rFonts w:ascii="Times New Roman" w:hAnsi="Times New Roman"/>
          <w:i/>
          <w:sz w:val="20"/>
          <w:szCs w:val="20"/>
        </w:rPr>
        <w:t>18</w:t>
      </w:r>
      <w:r>
        <w:rPr>
          <w:rFonts w:ascii="Times New Roman" w:hAnsi="Times New Roman"/>
          <w:sz w:val="20"/>
          <w:szCs w:val="20"/>
        </w:rPr>
        <w:t>(5), 700–706. https://doi.org/10.1111/j.0269-8463.2004.00904.x</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b w:val="false"/>
          <w:i w:val="false"/>
          <w:caps w:val="false"/>
          <w:smallCaps w:val="false"/>
          <w:sz w:val="20"/>
          <w:szCs w:val="20"/>
        </w:rPr>
        <w:t xml:space="preserve">Ayrinhac, A., Debat, V., Gibert, P., Kister, A. ‐G., Legout, H., Moreteau, B., Vergilino, R., &amp; David, J. R. (2004). Cold adaptation in geographical populations of </w:t>
      </w:r>
      <w:r>
        <w:rPr>
          <w:rFonts w:ascii="Times New Roman" w:hAnsi="Times New Roman"/>
          <w:b w:val="false"/>
          <w:i/>
          <w:caps w:val="false"/>
          <w:smallCaps w:val="false"/>
          <w:sz w:val="20"/>
          <w:szCs w:val="20"/>
        </w:rPr>
        <w:t>Drosophila melanogaster</w:t>
      </w:r>
      <w:r>
        <w:rPr>
          <w:rFonts w:ascii="Times New Roman" w:hAnsi="Times New Roman"/>
          <w:b w:val="false"/>
          <w:i w:val="false"/>
          <w:caps w:val="false"/>
          <w:smallCaps w:val="false"/>
          <w:sz w:val="20"/>
          <w:szCs w:val="20"/>
        </w:rPr>
        <w:t xml:space="preserve"> : phenotypic plasticity is more important than genetic variability. </w:t>
      </w:r>
      <w:r>
        <w:rPr>
          <w:rFonts w:ascii="Times New Roman" w:hAnsi="Times New Roman"/>
          <w:b w:val="false"/>
          <w:i/>
          <w:caps w:val="false"/>
          <w:smallCaps w:val="false"/>
          <w:sz w:val="20"/>
          <w:szCs w:val="20"/>
        </w:rPr>
        <w:t>Functional Ecology</w:t>
      </w:r>
      <w:r>
        <w:rPr>
          <w:rFonts w:ascii="Times New Roman" w:hAnsi="Times New Roman"/>
          <w:b w:val="false"/>
          <w:i w:val="false"/>
          <w:caps w:val="false"/>
          <w:smallCaps w:val="false"/>
          <w:sz w:val="20"/>
          <w:szCs w:val="20"/>
        </w:rPr>
        <w:t xml:space="preserve">, </w:t>
      </w:r>
      <w:r>
        <w:rPr>
          <w:rFonts w:ascii="Times New Roman" w:hAnsi="Times New Roman"/>
          <w:b w:val="false"/>
          <w:i/>
          <w:caps w:val="false"/>
          <w:smallCaps w:val="false"/>
          <w:sz w:val="20"/>
          <w:szCs w:val="20"/>
        </w:rPr>
        <w:t>18</w:t>
      </w:r>
      <w:r>
        <w:rPr>
          <w:rFonts w:ascii="Times New Roman" w:hAnsi="Times New Roman"/>
          <w:b w:val="false"/>
          <w:i w:val="false"/>
          <w:caps w:val="false"/>
          <w:smallCaps w:val="false"/>
          <w:sz w:val="20"/>
          <w:szCs w:val="20"/>
        </w:rPr>
        <w:t>(5), 700–706. https://doi.org/10.1111/j.0269-8463.2004.00904.x</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Azad, P., Zhou, D., Zarndt, R., &amp; Haddad, G. G. (2012). Identification of Genes Underlying Hypoxia Tolerance in </w:t>
      </w:r>
      <w:r>
        <w:rPr>
          <w:rFonts w:ascii="Times New Roman" w:hAnsi="Times New Roman"/>
          <w:i/>
          <w:sz w:val="20"/>
          <w:szCs w:val="20"/>
        </w:rPr>
        <w:t>Drosophila</w:t>
      </w:r>
      <w:r>
        <w:rPr>
          <w:rFonts w:ascii="Times New Roman" w:hAnsi="Times New Roman"/>
          <w:sz w:val="20"/>
          <w:szCs w:val="20"/>
        </w:rPr>
        <w:t xml:space="preserve"> by a P-element Screen. </w:t>
      </w:r>
      <w:r>
        <w:rPr>
          <w:rFonts w:ascii="Times New Roman" w:hAnsi="Times New Roman"/>
          <w:i/>
          <w:sz w:val="20"/>
          <w:szCs w:val="20"/>
        </w:rPr>
        <w:t>G3 Genes|Genomes|Genetics</w:t>
      </w:r>
      <w:r>
        <w:rPr>
          <w:rFonts w:ascii="Times New Roman" w:hAnsi="Times New Roman"/>
          <w:sz w:val="20"/>
          <w:szCs w:val="20"/>
        </w:rPr>
        <w:t xml:space="preserve">, </w:t>
      </w:r>
      <w:r>
        <w:rPr>
          <w:rFonts w:ascii="Times New Roman" w:hAnsi="Times New Roman"/>
          <w:i/>
          <w:sz w:val="20"/>
          <w:szCs w:val="20"/>
        </w:rPr>
        <w:t>2</w:t>
      </w:r>
      <w:r>
        <w:rPr>
          <w:rFonts w:ascii="Times New Roman" w:hAnsi="Times New Roman"/>
          <w:sz w:val="20"/>
          <w:szCs w:val="20"/>
        </w:rPr>
        <w:t>(10), 1169–1178. https://doi.org/10.1534/g3.112.003681</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Bannan, B. A., Van Etten, J., Kohler, J. A., Tsoi, Y., Hansen, N. M., Sigmon, S., Fowler, E., Buff, H., Williams, T. S., Ault, J. G., Glaser, R. L., &amp; Korey, C. A. (2008). The </w:t>
      </w:r>
      <w:r>
        <w:rPr>
          <w:rFonts w:ascii="Times New Roman" w:hAnsi="Times New Roman"/>
          <w:i/>
          <w:iCs/>
          <w:sz w:val="20"/>
          <w:szCs w:val="20"/>
        </w:rPr>
        <w:t>Drosophila</w:t>
      </w:r>
      <w:r>
        <w:rPr>
          <w:rFonts w:ascii="Times New Roman" w:hAnsi="Times New Roman"/>
          <w:sz w:val="20"/>
          <w:szCs w:val="20"/>
        </w:rPr>
        <w:t xml:space="preserve"> protein palmitoylome: Characterizing palmitoyl-thioesterases and DHHC palmitoyl-transferases. </w:t>
      </w:r>
      <w:r>
        <w:rPr>
          <w:rFonts w:ascii="Times New Roman" w:hAnsi="Times New Roman"/>
          <w:i/>
          <w:sz w:val="20"/>
          <w:szCs w:val="20"/>
        </w:rPr>
        <w:t>Fly</w:t>
      </w:r>
      <w:r>
        <w:rPr>
          <w:rFonts w:ascii="Times New Roman" w:hAnsi="Times New Roman"/>
          <w:sz w:val="20"/>
          <w:szCs w:val="20"/>
        </w:rPr>
        <w:t xml:space="preserve">, </w:t>
      </w:r>
      <w:r>
        <w:rPr>
          <w:rFonts w:ascii="Times New Roman" w:hAnsi="Times New Roman"/>
          <w:i/>
          <w:sz w:val="20"/>
          <w:szCs w:val="20"/>
        </w:rPr>
        <w:t>2</w:t>
      </w:r>
      <w:r>
        <w:rPr>
          <w:rFonts w:ascii="Times New Roman" w:hAnsi="Times New Roman"/>
          <w:sz w:val="20"/>
          <w:szCs w:val="20"/>
        </w:rPr>
        <w:t>(4), 198–214. https://doi.org/10.4161/fly.6621</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Bastide, H., Lange, J. D., Lack, J. B., Yassin, A., &amp; Pool, J. E. (2016). A Variable Genetic Architecture of Melanic Evolution in </w:t>
      </w:r>
      <w:r>
        <w:rPr>
          <w:rFonts w:ascii="Times New Roman" w:hAnsi="Times New Roman"/>
          <w:i/>
          <w:sz w:val="20"/>
          <w:szCs w:val="20"/>
        </w:rPr>
        <w:t>Drosophila melanogaster</w:t>
      </w:r>
      <w:r>
        <w:rPr>
          <w:rFonts w:ascii="Times New Roman" w:hAnsi="Times New Roman"/>
          <w:sz w:val="20"/>
          <w:szCs w:val="20"/>
        </w:rPr>
        <w:t xml:space="preserve">. </w:t>
      </w:r>
      <w:r>
        <w:rPr>
          <w:rFonts w:ascii="Times New Roman" w:hAnsi="Times New Roman"/>
          <w:i/>
          <w:sz w:val="20"/>
          <w:szCs w:val="20"/>
        </w:rPr>
        <w:t>Genetics</w:t>
      </w:r>
      <w:r>
        <w:rPr>
          <w:rFonts w:ascii="Times New Roman" w:hAnsi="Times New Roman"/>
          <w:sz w:val="20"/>
          <w:szCs w:val="20"/>
        </w:rPr>
        <w:t xml:space="preserve">, </w:t>
      </w:r>
      <w:r>
        <w:rPr>
          <w:rFonts w:ascii="Times New Roman" w:hAnsi="Times New Roman"/>
          <w:i/>
          <w:sz w:val="20"/>
          <w:szCs w:val="20"/>
        </w:rPr>
        <w:t>204</w:t>
      </w:r>
      <w:r>
        <w:rPr>
          <w:rFonts w:ascii="Times New Roman" w:hAnsi="Times New Roman"/>
          <w:sz w:val="20"/>
          <w:szCs w:val="20"/>
        </w:rPr>
        <w:t>(3), 1307–1319. https://doi.org/10.1534/genetics.116.192492</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Baust, J. G., &amp; Lee, R. E. (1987). Multiple stress tolerance in an antarctic terrestrial arthropod: </w:t>
      </w:r>
      <w:r>
        <w:rPr>
          <w:rFonts w:ascii="Times New Roman" w:hAnsi="Times New Roman"/>
          <w:i/>
          <w:iCs/>
          <w:sz w:val="20"/>
          <w:szCs w:val="20"/>
        </w:rPr>
        <w:t>Belgica antarctica</w:t>
      </w:r>
      <w:r>
        <w:rPr>
          <w:rFonts w:ascii="Times New Roman" w:hAnsi="Times New Roman"/>
          <w:sz w:val="20"/>
          <w:szCs w:val="20"/>
        </w:rPr>
        <w:t xml:space="preserve">. </w:t>
      </w:r>
      <w:r>
        <w:rPr>
          <w:rFonts w:ascii="Times New Roman" w:hAnsi="Times New Roman"/>
          <w:i/>
          <w:sz w:val="20"/>
          <w:szCs w:val="20"/>
        </w:rPr>
        <w:t>Cryobiology</w:t>
      </w:r>
      <w:r>
        <w:rPr>
          <w:rFonts w:ascii="Times New Roman" w:hAnsi="Times New Roman"/>
          <w:sz w:val="20"/>
          <w:szCs w:val="20"/>
        </w:rPr>
        <w:t xml:space="preserve">, </w:t>
      </w:r>
      <w:r>
        <w:rPr>
          <w:rFonts w:ascii="Times New Roman" w:hAnsi="Times New Roman"/>
          <w:i/>
          <w:sz w:val="20"/>
          <w:szCs w:val="20"/>
        </w:rPr>
        <w:t>24</w:t>
      </w:r>
      <w:r>
        <w:rPr>
          <w:rFonts w:ascii="Times New Roman" w:hAnsi="Times New Roman"/>
          <w:sz w:val="20"/>
          <w:szCs w:val="20"/>
        </w:rPr>
        <w:t>(2), 140–147. https://doi.org/10.1016/0011-2240(87)90016-2</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Benowitz, K. M., Coleman, J. M., &amp; Matzkin, L. M. (2019). Assessing the Architecture of </w:t>
      </w:r>
      <w:r>
        <w:rPr>
          <w:rFonts w:ascii="Times New Roman" w:hAnsi="Times New Roman"/>
          <w:i/>
          <w:sz w:val="20"/>
          <w:szCs w:val="20"/>
        </w:rPr>
        <w:t>Drosophila mojavensis</w:t>
      </w:r>
      <w:r>
        <w:rPr>
          <w:rFonts w:ascii="Times New Roman" w:hAnsi="Times New Roman"/>
          <w:sz w:val="20"/>
          <w:szCs w:val="20"/>
        </w:rPr>
        <w:t xml:space="preserve"> Locomotor Evolution with Bulk Segregant Analysis. </w:t>
      </w:r>
      <w:r>
        <w:rPr>
          <w:rFonts w:ascii="Times New Roman" w:hAnsi="Times New Roman"/>
          <w:i/>
          <w:sz w:val="20"/>
          <w:szCs w:val="20"/>
        </w:rPr>
        <w:t>G3 Genes|Genomes|Genetics</w:t>
      </w:r>
      <w:r>
        <w:rPr>
          <w:rFonts w:ascii="Times New Roman" w:hAnsi="Times New Roman"/>
          <w:sz w:val="20"/>
          <w:szCs w:val="20"/>
        </w:rPr>
        <w:t xml:space="preserve">, </w:t>
      </w:r>
      <w:r>
        <w:rPr>
          <w:rFonts w:ascii="Times New Roman" w:hAnsi="Times New Roman"/>
          <w:i/>
          <w:sz w:val="20"/>
          <w:szCs w:val="20"/>
        </w:rPr>
        <w:t>9</w:t>
      </w:r>
      <w:r>
        <w:rPr>
          <w:rFonts w:ascii="Times New Roman" w:hAnsi="Times New Roman"/>
          <w:sz w:val="20"/>
          <w:szCs w:val="20"/>
        </w:rPr>
        <w:t>(5), 1767–1775. https://doi.org/10.1534/g3.119.400036</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Bowman, L. L., Kondrateva, E. S., Timofeyev, M. A., &amp; Yampolsky, L. Y. (2018). Temperature gradient affects differentiation of gene expression and </w:t>
      </w:r>
      <w:r>
        <w:rPr>
          <w:rFonts w:ascii="Times New Roman" w:hAnsi="Times New Roman"/>
          <w:smallCaps/>
          <w:sz w:val="20"/>
          <w:szCs w:val="20"/>
        </w:rPr>
        <w:t>SNP</w:t>
      </w:r>
      <w:r>
        <w:rPr>
          <w:rFonts w:ascii="Times New Roman" w:hAnsi="Times New Roman"/>
          <w:sz w:val="20"/>
          <w:szCs w:val="20"/>
        </w:rPr>
        <w:t xml:space="preserve"> allele frequencies in the dominant Lake Baikal zooplankton species. </w:t>
      </w:r>
      <w:r>
        <w:rPr>
          <w:rFonts w:ascii="Times New Roman" w:hAnsi="Times New Roman"/>
          <w:i/>
          <w:sz w:val="20"/>
          <w:szCs w:val="20"/>
        </w:rPr>
        <w:t>Molecular Ecology</w:t>
      </w:r>
      <w:r>
        <w:rPr>
          <w:rFonts w:ascii="Times New Roman" w:hAnsi="Times New Roman"/>
          <w:sz w:val="20"/>
          <w:szCs w:val="20"/>
        </w:rPr>
        <w:t xml:space="preserve">, </w:t>
      </w:r>
      <w:r>
        <w:rPr>
          <w:rFonts w:ascii="Times New Roman" w:hAnsi="Times New Roman"/>
          <w:i/>
          <w:sz w:val="20"/>
          <w:szCs w:val="20"/>
        </w:rPr>
        <w:t>27</w:t>
      </w:r>
      <w:r>
        <w:rPr>
          <w:rFonts w:ascii="Times New Roman" w:hAnsi="Times New Roman"/>
          <w:sz w:val="20"/>
          <w:szCs w:val="20"/>
        </w:rPr>
        <w:t>(11), 2544–2559. https://doi.org/10.1111/mec.14704</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Bryon, A., Kurlovs, A. H., Dermauw, W., Greenhalgh, R., Riga, M., Grbić, M., Tirry, L., Osakabe, M., Vontas, J., Clark, R. M., &amp; Van Leeuwen, T. (2017). Disruption of a horizontally transferred phytoene desaturase abolishes carotenoid accumulation and diapause in </w:t>
      </w:r>
      <w:r>
        <w:rPr>
          <w:rFonts w:ascii="Times New Roman" w:hAnsi="Times New Roman"/>
          <w:i/>
          <w:sz w:val="20"/>
          <w:szCs w:val="20"/>
        </w:rPr>
        <w:t>Tetranychus urticae</w:t>
      </w:r>
      <w:r>
        <w:rPr>
          <w:rFonts w:ascii="Times New Roman" w:hAnsi="Times New Roman"/>
          <w:sz w:val="20"/>
          <w:szCs w:val="20"/>
        </w:rPr>
        <w:t xml:space="preserve">. </w:t>
      </w:r>
      <w:r>
        <w:rPr>
          <w:rFonts w:ascii="Times New Roman" w:hAnsi="Times New Roman"/>
          <w:i/>
          <w:sz w:val="20"/>
          <w:szCs w:val="20"/>
        </w:rPr>
        <w:t>Proceedings of the National Academy of Sciences</w:t>
      </w:r>
      <w:r>
        <w:rPr>
          <w:rFonts w:ascii="Times New Roman" w:hAnsi="Times New Roman"/>
          <w:sz w:val="20"/>
          <w:szCs w:val="20"/>
        </w:rPr>
        <w:t xml:space="preserve">, </w:t>
      </w:r>
      <w:r>
        <w:rPr>
          <w:rFonts w:ascii="Times New Roman" w:hAnsi="Times New Roman"/>
          <w:i/>
          <w:sz w:val="20"/>
          <w:szCs w:val="20"/>
        </w:rPr>
        <w:t>114</w:t>
      </w:r>
      <w:r>
        <w:rPr>
          <w:rFonts w:ascii="Times New Roman" w:hAnsi="Times New Roman"/>
          <w:sz w:val="20"/>
          <w:szCs w:val="20"/>
        </w:rPr>
        <w:t>(29). https://doi.org/10.1073/pnas.1706865114</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Bubliy, O. A., Riihimaa, A., Norry, F. M., &amp; Loeschcke, V. (2002). Variation in resistance and acclimation to low-temperature stress among three geographical strains of </w:t>
      </w:r>
      <w:r>
        <w:rPr>
          <w:rFonts w:ascii="Times New Roman" w:hAnsi="Times New Roman"/>
          <w:i/>
          <w:iCs/>
          <w:sz w:val="20"/>
          <w:szCs w:val="20"/>
        </w:rPr>
        <w:t>Drosophila melanogaster</w:t>
      </w:r>
      <w:r>
        <w:rPr>
          <w:rFonts w:ascii="Times New Roman" w:hAnsi="Times New Roman"/>
          <w:sz w:val="20"/>
          <w:szCs w:val="20"/>
        </w:rPr>
        <w:t xml:space="preserve">. </w:t>
      </w:r>
      <w:r>
        <w:rPr>
          <w:rFonts w:ascii="Times New Roman" w:hAnsi="Times New Roman"/>
          <w:i/>
          <w:sz w:val="20"/>
          <w:szCs w:val="20"/>
        </w:rPr>
        <w:t>Journal of Thermal Biology</w:t>
      </w:r>
      <w:r>
        <w:rPr>
          <w:rFonts w:ascii="Times New Roman" w:hAnsi="Times New Roman"/>
          <w:sz w:val="20"/>
          <w:szCs w:val="20"/>
        </w:rPr>
        <w:t xml:space="preserve">, </w:t>
      </w:r>
      <w:r>
        <w:rPr>
          <w:rFonts w:ascii="Times New Roman" w:hAnsi="Times New Roman"/>
          <w:i/>
          <w:sz w:val="20"/>
          <w:szCs w:val="20"/>
        </w:rPr>
        <w:t>27</w:t>
      </w:r>
      <w:r>
        <w:rPr>
          <w:rFonts w:ascii="Times New Roman" w:hAnsi="Times New Roman"/>
          <w:sz w:val="20"/>
          <w:szCs w:val="20"/>
        </w:rPr>
        <w:t>(5), 337–344. https://doi.org/10.1016/S0306-4565(01)00098-5</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Chen, S., Yu, M., Chu, X., Li, W., Yin, X., &amp; Chen, L. (2017). Cold-induced retrotransposition of fish LINEs. </w:t>
      </w:r>
      <w:r>
        <w:rPr>
          <w:rFonts w:ascii="Times New Roman" w:hAnsi="Times New Roman"/>
          <w:i/>
          <w:sz w:val="20"/>
          <w:szCs w:val="20"/>
        </w:rPr>
        <w:t>Journal of Genetics and Genomics</w:t>
      </w:r>
      <w:r>
        <w:rPr>
          <w:rFonts w:ascii="Times New Roman" w:hAnsi="Times New Roman"/>
          <w:sz w:val="20"/>
          <w:szCs w:val="20"/>
        </w:rPr>
        <w:t xml:space="preserve">, </w:t>
      </w:r>
      <w:r>
        <w:rPr>
          <w:rFonts w:ascii="Times New Roman" w:hAnsi="Times New Roman"/>
          <w:i/>
          <w:sz w:val="20"/>
          <w:szCs w:val="20"/>
        </w:rPr>
        <w:t>44</w:t>
      </w:r>
      <w:r>
        <w:rPr>
          <w:rFonts w:ascii="Times New Roman" w:hAnsi="Times New Roman"/>
          <w:sz w:val="20"/>
          <w:szCs w:val="20"/>
        </w:rPr>
        <w:t>(8), 385–394. https://doi.org/10.1016/j.jgg.2017.07.002</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Colinet, H., Renault, D., &amp; Roussel, D. (2017). Cold acclimation allows </w:t>
      </w:r>
      <w:r>
        <w:rPr>
          <w:rFonts w:ascii="Times New Roman" w:hAnsi="Times New Roman"/>
          <w:i/>
          <w:iCs/>
          <w:sz w:val="20"/>
          <w:szCs w:val="20"/>
        </w:rPr>
        <w:t>Drosophila</w:t>
      </w:r>
      <w:r>
        <w:rPr>
          <w:rFonts w:ascii="Times New Roman" w:hAnsi="Times New Roman"/>
          <w:sz w:val="20"/>
          <w:szCs w:val="20"/>
        </w:rPr>
        <w:t xml:space="preserve"> flies to maintain mitochondrial functioning under cold stress. </w:t>
      </w:r>
      <w:r>
        <w:rPr>
          <w:rFonts w:ascii="Times New Roman" w:hAnsi="Times New Roman"/>
          <w:i/>
          <w:sz w:val="20"/>
          <w:szCs w:val="20"/>
        </w:rPr>
        <w:t>Insect Biochemistry and Molecular Biology</w:t>
      </w:r>
      <w:r>
        <w:rPr>
          <w:rFonts w:ascii="Times New Roman" w:hAnsi="Times New Roman"/>
          <w:sz w:val="20"/>
          <w:szCs w:val="20"/>
        </w:rPr>
        <w:t xml:space="preserve">, </w:t>
      </w:r>
      <w:r>
        <w:rPr>
          <w:rFonts w:ascii="Times New Roman" w:hAnsi="Times New Roman"/>
          <w:i/>
          <w:sz w:val="20"/>
          <w:szCs w:val="20"/>
        </w:rPr>
        <w:t>80</w:t>
      </w:r>
      <w:r>
        <w:rPr>
          <w:rFonts w:ascii="Times New Roman" w:hAnsi="Times New Roman"/>
          <w:sz w:val="20"/>
          <w:szCs w:val="20"/>
        </w:rPr>
        <w:t>, 52–60. https://doi.org/10.1016/j.ibmb.2016.11.007</w:t>
      </w:r>
      <w:r>
        <w:rPr>
          <w:rFonts w:ascii="Times New Roman" w:hAnsi="Times New Roman"/>
          <w:sz w:val="20"/>
          <w:szCs w:val="20"/>
        </w:rPr>
        <w:commentReference w:id="0"/>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b w:val="false"/>
          <w:i w:val="false"/>
          <w:caps w:val="false"/>
          <w:smallCaps w:val="false"/>
          <w:sz w:val="20"/>
          <w:szCs w:val="20"/>
        </w:rPr>
        <w:t xml:space="preserve">Colinet, H., Sciaussat, D., Bozzolan, F., &amp; Bowler, K. (2012). Rapid decline of cold tolerance at young age is associated with expression of stress genes in </w:t>
      </w:r>
      <w:r>
        <w:rPr>
          <w:rFonts w:ascii="Times New Roman" w:hAnsi="Times New Roman"/>
          <w:b w:val="false"/>
          <w:i/>
          <w:caps w:val="false"/>
          <w:smallCaps w:val="false"/>
          <w:sz w:val="20"/>
          <w:szCs w:val="20"/>
        </w:rPr>
        <w:t>Drosophila melanogaster</w:t>
      </w:r>
      <w:r>
        <w:rPr>
          <w:rFonts w:ascii="Times New Roman" w:hAnsi="Times New Roman"/>
          <w:b w:val="false"/>
          <w:i w:val="false"/>
          <w:caps w:val="false"/>
          <w:smallCaps w:val="false"/>
          <w:sz w:val="20"/>
          <w:szCs w:val="20"/>
        </w:rPr>
        <w:t xml:space="preserve">. </w:t>
      </w:r>
      <w:r>
        <w:rPr>
          <w:rFonts w:ascii="Times New Roman" w:hAnsi="Times New Roman"/>
          <w:b w:val="false"/>
          <w:i/>
          <w:caps w:val="false"/>
          <w:smallCaps w:val="false"/>
          <w:sz w:val="20"/>
          <w:szCs w:val="20"/>
        </w:rPr>
        <w:t>Journal of Experimental Biology</w:t>
      </w:r>
      <w:r>
        <w:rPr>
          <w:rFonts w:ascii="Times New Roman" w:hAnsi="Times New Roman"/>
          <w:b w:val="false"/>
          <w:i w:val="false"/>
          <w:caps w:val="false"/>
          <w:smallCaps w:val="false"/>
          <w:sz w:val="20"/>
          <w:szCs w:val="20"/>
        </w:rPr>
        <w:t>, jeb.076216. https://doi.org/10.1242/jeb.076216</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Cottam, D. M., Tucker, J. B., Rogers‐Bald, M. M., Mackie, J. B., Macintyre, J., Scarborough, J. A., Ohkura, H., &amp; Milner, M. J. (2006). Non‐centrosomal microtubule‐organising centres in cold‐treated cultured </w:t>
      </w:r>
      <w:r>
        <w:rPr>
          <w:rFonts w:ascii="Times New Roman" w:hAnsi="Times New Roman"/>
          <w:i/>
          <w:sz w:val="20"/>
          <w:szCs w:val="20"/>
        </w:rPr>
        <w:t>Drosophila</w:t>
      </w:r>
      <w:r>
        <w:rPr>
          <w:rFonts w:ascii="Times New Roman" w:hAnsi="Times New Roman"/>
          <w:sz w:val="20"/>
          <w:szCs w:val="20"/>
        </w:rPr>
        <w:t xml:space="preserve"> cells. </w:t>
      </w:r>
      <w:r>
        <w:rPr>
          <w:rFonts w:ascii="Times New Roman" w:hAnsi="Times New Roman"/>
          <w:i/>
          <w:sz w:val="20"/>
          <w:szCs w:val="20"/>
        </w:rPr>
        <w:t>Cell Motility</w:t>
      </w:r>
      <w:r>
        <w:rPr>
          <w:rFonts w:ascii="Times New Roman" w:hAnsi="Times New Roman"/>
          <w:sz w:val="20"/>
          <w:szCs w:val="20"/>
        </w:rPr>
        <w:t xml:space="preserve">, </w:t>
      </w:r>
      <w:r>
        <w:rPr>
          <w:rFonts w:ascii="Times New Roman" w:hAnsi="Times New Roman"/>
          <w:i/>
          <w:sz w:val="20"/>
          <w:szCs w:val="20"/>
        </w:rPr>
        <w:t>63</w:t>
      </w:r>
      <w:r>
        <w:rPr>
          <w:rFonts w:ascii="Times New Roman" w:hAnsi="Times New Roman"/>
          <w:sz w:val="20"/>
          <w:szCs w:val="20"/>
        </w:rPr>
        <w:t>(2), 88–100. https://doi.org/10.1002/cm.20103</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Das, A., Mohanty, S., &amp; Stephan, W. (2004). Inferring the Population Structure and Demography of </w:t>
      </w:r>
      <w:r>
        <w:rPr>
          <w:rFonts w:ascii="Times New Roman" w:hAnsi="Times New Roman"/>
          <w:i/>
          <w:iCs/>
          <w:sz w:val="20"/>
          <w:szCs w:val="20"/>
        </w:rPr>
        <w:t>Drosophila ananassae</w:t>
      </w:r>
      <w:r>
        <w:rPr>
          <w:rFonts w:ascii="Times New Roman" w:hAnsi="Times New Roman"/>
          <w:sz w:val="20"/>
          <w:szCs w:val="20"/>
        </w:rPr>
        <w:t xml:space="preserve"> From Multilocus Data. </w:t>
      </w:r>
      <w:r>
        <w:rPr>
          <w:rFonts w:ascii="Times New Roman" w:hAnsi="Times New Roman"/>
          <w:i/>
          <w:sz w:val="20"/>
          <w:szCs w:val="20"/>
        </w:rPr>
        <w:t>Genetics</w:t>
      </w:r>
      <w:r>
        <w:rPr>
          <w:rFonts w:ascii="Times New Roman" w:hAnsi="Times New Roman"/>
          <w:sz w:val="20"/>
          <w:szCs w:val="20"/>
        </w:rPr>
        <w:t xml:space="preserve">, </w:t>
      </w:r>
      <w:r>
        <w:rPr>
          <w:rFonts w:ascii="Times New Roman" w:hAnsi="Times New Roman"/>
          <w:i/>
          <w:sz w:val="20"/>
          <w:szCs w:val="20"/>
        </w:rPr>
        <w:t>168</w:t>
      </w:r>
      <w:r>
        <w:rPr>
          <w:rFonts w:ascii="Times New Roman" w:hAnsi="Times New Roman"/>
          <w:sz w:val="20"/>
          <w:szCs w:val="20"/>
        </w:rPr>
        <w:t>(4), 1975–1985. https://doi.org/10.1534/genetics.104.031567</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David, J. R., Gibert, P., Moreteau, B., Gilchrist, G. W., &amp; Huey, R. B. (2003). The fly that came in from the cold: geographic variation of recovery time from low‐temperature exposure in </w:t>
      </w:r>
      <w:r>
        <w:rPr>
          <w:rFonts w:ascii="Times New Roman" w:hAnsi="Times New Roman"/>
          <w:i/>
          <w:sz w:val="20"/>
          <w:szCs w:val="20"/>
        </w:rPr>
        <w:t>Drosophila subobscura</w:t>
      </w:r>
      <w:r>
        <w:rPr>
          <w:rFonts w:ascii="Times New Roman" w:hAnsi="Times New Roman"/>
          <w:sz w:val="20"/>
          <w:szCs w:val="20"/>
        </w:rPr>
        <w:t xml:space="preserve">. </w:t>
      </w:r>
      <w:r>
        <w:rPr>
          <w:rFonts w:ascii="Times New Roman" w:hAnsi="Times New Roman"/>
          <w:i/>
          <w:sz w:val="20"/>
          <w:szCs w:val="20"/>
        </w:rPr>
        <w:t>Functional Ecology</w:t>
      </w:r>
      <w:r>
        <w:rPr>
          <w:rFonts w:ascii="Times New Roman" w:hAnsi="Times New Roman"/>
          <w:sz w:val="20"/>
          <w:szCs w:val="20"/>
        </w:rPr>
        <w:t xml:space="preserve">, </w:t>
      </w:r>
      <w:r>
        <w:rPr>
          <w:rFonts w:ascii="Times New Roman" w:hAnsi="Times New Roman"/>
          <w:i/>
          <w:sz w:val="20"/>
          <w:szCs w:val="20"/>
        </w:rPr>
        <w:t>17</w:t>
      </w:r>
      <w:r>
        <w:rPr>
          <w:rFonts w:ascii="Times New Roman" w:hAnsi="Times New Roman"/>
          <w:sz w:val="20"/>
          <w:szCs w:val="20"/>
        </w:rPr>
        <w:t>(4), 425–430. https://doi.org/10.1046/j.1365-2435.2003.00750.x</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David, J. R., Gibert, P., Pla, E., Petavy, G., Karan, D., &amp; Moreteau, B. (1998). Cold stress tolerance in </w:t>
      </w:r>
      <w:r>
        <w:rPr>
          <w:rFonts w:ascii="Times New Roman" w:hAnsi="Times New Roman"/>
          <w:i/>
          <w:iCs/>
          <w:sz w:val="20"/>
          <w:szCs w:val="20"/>
        </w:rPr>
        <w:t>Drosophila</w:t>
      </w:r>
      <w:r>
        <w:rPr>
          <w:rFonts w:ascii="Times New Roman" w:hAnsi="Times New Roman"/>
          <w:sz w:val="20"/>
          <w:szCs w:val="20"/>
        </w:rPr>
        <w:t xml:space="preserve">: analysis of chill coma recovery in </w:t>
      </w:r>
      <w:r>
        <w:rPr>
          <w:rFonts w:ascii="Times New Roman" w:hAnsi="Times New Roman"/>
          <w:i/>
          <w:iCs/>
          <w:sz w:val="20"/>
          <w:szCs w:val="20"/>
        </w:rPr>
        <w:t>D. melanogaster</w:t>
      </w:r>
      <w:r>
        <w:rPr>
          <w:rFonts w:ascii="Times New Roman" w:hAnsi="Times New Roman"/>
          <w:sz w:val="20"/>
          <w:szCs w:val="20"/>
        </w:rPr>
        <w:t xml:space="preserve">. </w:t>
      </w:r>
      <w:r>
        <w:rPr>
          <w:rFonts w:ascii="Times New Roman" w:hAnsi="Times New Roman"/>
          <w:i/>
          <w:sz w:val="20"/>
          <w:szCs w:val="20"/>
        </w:rPr>
        <w:t>Journal of Thermal Biology</w:t>
      </w:r>
      <w:r>
        <w:rPr>
          <w:rFonts w:ascii="Times New Roman" w:hAnsi="Times New Roman"/>
          <w:sz w:val="20"/>
          <w:szCs w:val="20"/>
        </w:rPr>
        <w:t xml:space="preserve">, </w:t>
      </w:r>
      <w:r>
        <w:rPr>
          <w:rFonts w:ascii="Times New Roman" w:hAnsi="Times New Roman"/>
          <w:i/>
          <w:sz w:val="20"/>
          <w:szCs w:val="20"/>
        </w:rPr>
        <w:t>23</w:t>
      </w:r>
      <w:r>
        <w:rPr>
          <w:rFonts w:ascii="Times New Roman" w:hAnsi="Times New Roman"/>
          <w:sz w:val="20"/>
          <w:szCs w:val="20"/>
        </w:rPr>
        <w:t>(5), 291–299. https://doi.org/10.1016/S0306-4565(98)00020-5</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Denker, S. P., &amp; Barber, D. L. (2002). Ion transport proteins anchor and regulate the cytoskeleton. </w:t>
      </w:r>
      <w:r>
        <w:rPr>
          <w:rFonts w:ascii="Times New Roman" w:hAnsi="Times New Roman"/>
          <w:i/>
          <w:sz w:val="20"/>
          <w:szCs w:val="20"/>
        </w:rPr>
        <w:t>Current Opinion in Cell Biology</w:t>
      </w:r>
      <w:r>
        <w:rPr>
          <w:rFonts w:ascii="Times New Roman" w:hAnsi="Times New Roman"/>
          <w:sz w:val="20"/>
          <w:szCs w:val="20"/>
        </w:rPr>
        <w:t xml:space="preserve">, </w:t>
      </w:r>
      <w:r>
        <w:rPr>
          <w:rFonts w:ascii="Times New Roman" w:hAnsi="Times New Roman"/>
          <w:i/>
          <w:sz w:val="20"/>
          <w:szCs w:val="20"/>
        </w:rPr>
        <w:t>14</w:t>
      </w:r>
      <w:r>
        <w:rPr>
          <w:rFonts w:ascii="Times New Roman" w:hAnsi="Times New Roman"/>
          <w:sz w:val="20"/>
          <w:szCs w:val="20"/>
        </w:rPr>
        <w:t>(2), 214–220. https://doi.org/10.1016/S0955-0674(02)00304-6</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Des Marteaux, L. E., McKinnon, A. H., Udaka, H., Toxopeus, J., &amp; Sinclair, B. J. (2017). Effects of cold-acclimation on gene expression in Fall field cricket (</w:t>
      </w:r>
      <w:r>
        <w:rPr>
          <w:rFonts w:ascii="Times New Roman" w:hAnsi="Times New Roman"/>
          <w:i/>
          <w:iCs/>
          <w:sz w:val="20"/>
          <w:szCs w:val="20"/>
        </w:rPr>
        <w:t>Gryllus pennsylvanicus</w:t>
      </w:r>
      <w:r>
        <w:rPr>
          <w:rFonts w:ascii="Times New Roman" w:hAnsi="Times New Roman"/>
          <w:sz w:val="20"/>
          <w:szCs w:val="20"/>
        </w:rPr>
        <w:t xml:space="preserve">) ionoregulatory tissues. </w:t>
      </w:r>
      <w:r>
        <w:rPr>
          <w:rFonts w:ascii="Times New Roman" w:hAnsi="Times New Roman"/>
          <w:i/>
          <w:sz w:val="20"/>
          <w:szCs w:val="20"/>
        </w:rPr>
        <w:t>BMC Genomics</w:t>
      </w:r>
      <w:r>
        <w:rPr>
          <w:rFonts w:ascii="Times New Roman" w:hAnsi="Times New Roman"/>
          <w:sz w:val="20"/>
          <w:szCs w:val="20"/>
        </w:rPr>
        <w:t xml:space="preserve">, </w:t>
      </w:r>
      <w:r>
        <w:rPr>
          <w:rFonts w:ascii="Times New Roman" w:hAnsi="Times New Roman"/>
          <w:i/>
          <w:sz w:val="20"/>
          <w:szCs w:val="20"/>
        </w:rPr>
        <w:t>18</w:t>
      </w:r>
      <w:r>
        <w:rPr>
          <w:rFonts w:ascii="Times New Roman" w:hAnsi="Times New Roman"/>
          <w:sz w:val="20"/>
          <w:szCs w:val="20"/>
        </w:rPr>
        <w:t>(1), 357. https://doi.org/10.1186/s12864-017-3711-9</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Edwards, M. D., &amp; Gifford, D. K. (2012). High-resolution genetic mapping with pooled sequencing. </w:t>
      </w:r>
      <w:r>
        <w:rPr>
          <w:rFonts w:ascii="Times New Roman" w:hAnsi="Times New Roman"/>
          <w:i/>
          <w:sz w:val="20"/>
          <w:szCs w:val="20"/>
        </w:rPr>
        <w:t>BMC Bioinformatics</w:t>
      </w:r>
      <w:r>
        <w:rPr>
          <w:rFonts w:ascii="Times New Roman" w:hAnsi="Times New Roman"/>
          <w:sz w:val="20"/>
          <w:szCs w:val="20"/>
        </w:rPr>
        <w:t xml:space="preserve">, </w:t>
      </w:r>
      <w:r>
        <w:rPr>
          <w:rFonts w:ascii="Times New Roman" w:hAnsi="Times New Roman"/>
          <w:i/>
          <w:sz w:val="20"/>
          <w:szCs w:val="20"/>
        </w:rPr>
        <w:t>13</w:t>
      </w:r>
      <w:r>
        <w:rPr>
          <w:rFonts w:ascii="Times New Roman" w:hAnsi="Times New Roman"/>
          <w:sz w:val="20"/>
          <w:szCs w:val="20"/>
        </w:rPr>
        <w:t>(S6), S8. https://doi.org/10.1186/1471-2105-13-S6-S8</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Ehrenreich, I. M., Torabi, N., Jia, Y., Kent, J., Martis, S., Shapiro, J. A., Gresham, D., Caudy, A. A., &amp; Kruglyak, L. (2010). Dissection of genetically complex traits with extremely large pools of yeast segregants. </w:t>
      </w:r>
      <w:r>
        <w:rPr>
          <w:rFonts w:ascii="Times New Roman" w:hAnsi="Times New Roman"/>
          <w:i/>
          <w:sz w:val="20"/>
          <w:szCs w:val="20"/>
        </w:rPr>
        <w:t>Nature</w:t>
      </w:r>
      <w:r>
        <w:rPr>
          <w:rFonts w:ascii="Times New Roman" w:hAnsi="Times New Roman"/>
          <w:sz w:val="20"/>
          <w:szCs w:val="20"/>
        </w:rPr>
        <w:t xml:space="preserve">, </w:t>
      </w:r>
      <w:r>
        <w:rPr>
          <w:rFonts w:ascii="Times New Roman" w:hAnsi="Times New Roman"/>
          <w:i/>
          <w:sz w:val="20"/>
          <w:szCs w:val="20"/>
        </w:rPr>
        <w:t>464</w:t>
      </w:r>
      <w:r>
        <w:rPr>
          <w:rFonts w:ascii="Times New Roman" w:hAnsi="Times New Roman"/>
          <w:sz w:val="20"/>
          <w:szCs w:val="20"/>
        </w:rPr>
        <w:t>(7291), 1039–1042. https://doi.org/10.1038/nature08923</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Gibert, P., Moreteau, B., Pétavy, G., Karan, D., &amp; David, J. R. (2001). C</w:t>
      </w:r>
      <w:r>
        <w:rPr>
          <w:rFonts w:eastAsia="Noto Serif CJK SC" w:cs="Lohit Devanagari" w:ascii="Times New Roman" w:hAnsi="Times New Roman"/>
          <w:color w:val="000000"/>
          <w:kern w:val="2"/>
          <w:sz w:val="20"/>
          <w:szCs w:val="20"/>
          <w:lang w:val="en-GB" w:eastAsia="zh-CN" w:bidi="hi-IN"/>
        </w:rPr>
        <w:t>hill</w:t>
      </w:r>
      <w:r>
        <w:rPr>
          <w:rFonts w:ascii="Times New Roman" w:hAnsi="Times New Roman"/>
          <w:sz w:val="20"/>
          <w:szCs w:val="20"/>
        </w:rPr>
        <w:t>-</w:t>
      </w:r>
      <w:r>
        <w:rPr>
          <w:rFonts w:eastAsia="Noto Serif CJK SC" w:cs="Lohit Devanagari" w:ascii="Times New Roman" w:hAnsi="Times New Roman"/>
          <w:color w:val="000000"/>
          <w:kern w:val="2"/>
          <w:sz w:val="20"/>
          <w:szCs w:val="20"/>
          <w:lang w:val="en-GB" w:eastAsia="zh-CN" w:bidi="hi-IN"/>
        </w:rPr>
        <w:t>coma tolerance</w:t>
      </w:r>
      <w:r>
        <w:rPr>
          <w:rFonts w:ascii="Times New Roman" w:hAnsi="Times New Roman"/>
          <w:sz w:val="20"/>
          <w:szCs w:val="20"/>
        </w:rPr>
        <w:t xml:space="preserve">, </w:t>
      </w:r>
      <w:r>
        <w:rPr>
          <w:rFonts w:eastAsia="Noto Serif CJK SC" w:cs="Lohit Devanagari" w:ascii="Times New Roman" w:hAnsi="Times New Roman"/>
          <w:color w:val="000000"/>
          <w:kern w:val="2"/>
          <w:sz w:val="20"/>
          <w:szCs w:val="20"/>
          <w:lang w:val="en-GB" w:eastAsia="zh-CN" w:bidi="hi-IN"/>
        </w:rPr>
        <w:t>a major climatic</w:t>
      </w:r>
      <w:r>
        <w:rPr>
          <w:rFonts w:ascii="Times New Roman" w:hAnsi="Times New Roman"/>
          <w:sz w:val="20"/>
          <w:szCs w:val="20"/>
        </w:rPr>
        <w:t xml:space="preserve"> </w:t>
      </w:r>
      <w:r>
        <w:rPr>
          <w:rFonts w:eastAsia="Noto Serif CJK SC" w:cs="Lohit Devanagari" w:ascii="Times New Roman" w:hAnsi="Times New Roman"/>
          <w:color w:val="000000"/>
          <w:kern w:val="2"/>
          <w:sz w:val="20"/>
          <w:szCs w:val="20"/>
          <w:lang w:val="en-GB" w:eastAsia="zh-CN" w:bidi="hi-IN"/>
        </w:rPr>
        <w:t xml:space="preserve">adaptation among </w:t>
      </w:r>
      <w:r>
        <w:rPr>
          <w:rFonts w:eastAsia="Noto Serif CJK SC" w:cs="Lohit Devanagari" w:ascii="Times New Roman" w:hAnsi="Times New Roman"/>
          <w:i/>
          <w:iCs/>
          <w:color w:val="000000"/>
          <w:kern w:val="2"/>
          <w:sz w:val="20"/>
          <w:szCs w:val="20"/>
          <w:lang w:val="en-GB" w:eastAsia="zh-CN" w:bidi="hi-IN"/>
        </w:rPr>
        <w:t xml:space="preserve">Drosophila </w:t>
      </w:r>
      <w:r>
        <w:rPr>
          <w:rFonts w:eastAsia="Noto Serif CJK SC" w:cs="Lohit Devanagari" w:ascii="Times New Roman" w:hAnsi="Times New Roman"/>
          <w:color w:val="000000"/>
          <w:kern w:val="2"/>
          <w:sz w:val="20"/>
          <w:szCs w:val="20"/>
          <w:lang w:val="en-GB" w:eastAsia="zh-CN" w:bidi="hi-IN"/>
        </w:rPr>
        <w:t>species</w:t>
      </w:r>
      <w:r>
        <w:rPr>
          <w:rFonts w:ascii="Times New Roman" w:hAnsi="Times New Roman"/>
          <w:sz w:val="20"/>
          <w:szCs w:val="20"/>
        </w:rPr>
        <w:t xml:space="preserve">. </w:t>
      </w:r>
      <w:r>
        <w:rPr>
          <w:rFonts w:ascii="Times New Roman" w:hAnsi="Times New Roman"/>
          <w:i/>
          <w:sz w:val="20"/>
          <w:szCs w:val="20"/>
        </w:rPr>
        <w:t>Evolution</w:t>
      </w:r>
      <w:r>
        <w:rPr>
          <w:rFonts w:ascii="Times New Roman" w:hAnsi="Times New Roman"/>
          <w:sz w:val="20"/>
          <w:szCs w:val="20"/>
        </w:rPr>
        <w:t xml:space="preserve">, </w:t>
      </w:r>
      <w:r>
        <w:rPr>
          <w:rFonts w:ascii="Times New Roman" w:hAnsi="Times New Roman"/>
          <w:i/>
          <w:sz w:val="20"/>
          <w:szCs w:val="20"/>
        </w:rPr>
        <w:t>55</w:t>
      </w:r>
      <w:r>
        <w:rPr>
          <w:rFonts w:ascii="Times New Roman" w:hAnsi="Times New Roman"/>
          <w:sz w:val="20"/>
          <w:szCs w:val="20"/>
        </w:rPr>
        <w:t>(5), 1063. https://doi.org/10.1554/0014-3820(2001)055[1063:CCTAMC]2.0.CO;2</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Gilliland, W. D., Vietti, D. L., Schweppe, N. M., Guo, F., Johnson, T. J., &amp; Hawley, R. S. (2009). Hypoxia Transiently Sequesters Mps1 and Polo to Collagenase-Sensitive Filaments in </w:t>
      </w:r>
      <w:r>
        <w:rPr>
          <w:rFonts w:ascii="Times New Roman" w:hAnsi="Times New Roman"/>
          <w:i/>
          <w:iCs/>
          <w:sz w:val="20"/>
          <w:szCs w:val="20"/>
        </w:rPr>
        <w:t>Drosophila</w:t>
      </w:r>
      <w:r>
        <w:rPr>
          <w:rFonts w:ascii="Times New Roman" w:hAnsi="Times New Roman"/>
          <w:sz w:val="20"/>
          <w:szCs w:val="20"/>
        </w:rPr>
        <w:t xml:space="preserve"> Prometaphase Oocytes. </w:t>
      </w:r>
      <w:r>
        <w:rPr>
          <w:rFonts w:ascii="Times New Roman" w:hAnsi="Times New Roman"/>
          <w:i/>
          <w:sz w:val="20"/>
          <w:szCs w:val="20"/>
        </w:rPr>
        <w:t>PLoS ONE</w:t>
      </w:r>
      <w:r>
        <w:rPr>
          <w:rFonts w:ascii="Times New Roman" w:hAnsi="Times New Roman"/>
          <w:sz w:val="20"/>
          <w:szCs w:val="20"/>
        </w:rPr>
        <w:t xml:space="preserve">, </w:t>
      </w:r>
      <w:r>
        <w:rPr>
          <w:rFonts w:ascii="Times New Roman" w:hAnsi="Times New Roman"/>
          <w:i/>
          <w:sz w:val="20"/>
          <w:szCs w:val="20"/>
        </w:rPr>
        <w:t>4</w:t>
      </w:r>
      <w:r>
        <w:rPr>
          <w:rFonts w:ascii="Times New Roman" w:hAnsi="Times New Roman"/>
          <w:sz w:val="20"/>
          <w:szCs w:val="20"/>
        </w:rPr>
        <w:t>(10), e7544. https://doi.org/10.1371/journal.pone.0007544</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Hallas, R., Schiffer, M., &amp; Hoffmann, A. A. (2002). Clinal variation in </w:t>
      </w:r>
      <w:r>
        <w:rPr>
          <w:rFonts w:ascii="Times New Roman" w:hAnsi="Times New Roman"/>
          <w:i/>
          <w:sz w:val="20"/>
          <w:szCs w:val="20"/>
        </w:rPr>
        <w:t>Drosophila serrata</w:t>
      </w:r>
      <w:r>
        <w:rPr>
          <w:rFonts w:ascii="Times New Roman" w:hAnsi="Times New Roman"/>
          <w:sz w:val="20"/>
          <w:szCs w:val="20"/>
        </w:rPr>
        <w:t xml:space="preserve"> for stress resistance and body size. </w:t>
      </w:r>
      <w:r>
        <w:rPr>
          <w:rFonts w:ascii="Times New Roman" w:hAnsi="Times New Roman"/>
          <w:i/>
          <w:sz w:val="20"/>
          <w:szCs w:val="20"/>
        </w:rPr>
        <w:t>Genetical Research</w:t>
      </w:r>
      <w:r>
        <w:rPr>
          <w:rFonts w:ascii="Times New Roman" w:hAnsi="Times New Roman"/>
          <w:sz w:val="20"/>
          <w:szCs w:val="20"/>
        </w:rPr>
        <w:t xml:space="preserve">, </w:t>
      </w:r>
      <w:r>
        <w:rPr>
          <w:rFonts w:ascii="Times New Roman" w:hAnsi="Times New Roman"/>
          <w:i/>
          <w:sz w:val="20"/>
          <w:szCs w:val="20"/>
        </w:rPr>
        <w:t>79</w:t>
      </w:r>
      <w:r>
        <w:rPr>
          <w:rFonts w:ascii="Times New Roman" w:hAnsi="Times New Roman"/>
          <w:sz w:val="20"/>
          <w:szCs w:val="20"/>
        </w:rPr>
        <w:t>(2), 141–148. https://doi.org/10.1017/S0016672301005523</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Hoffmann, A. A., &amp; Watson, M. (1993). Geographical Variation in the Acclimation Responses of </w:t>
      </w:r>
      <w:r>
        <w:rPr>
          <w:rFonts w:ascii="Times New Roman" w:hAnsi="Times New Roman"/>
          <w:i/>
          <w:iCs/>
          <w:sz w:val="20"/>
          <w:szCs w:val="20"/>
        </w:rPr>
        <w:t>Drosophila</w:t>
      </w:r>
      <w:r>
        <w:rPr>
          <w:rFonts w:ascii="Times New Roman" w:hAnsi="Times New Roman"/>
          <w:sz w:val="20"/>
          <w:szCs w:val="20"/>
        </w:rPr>
        <w:t xml:space="preserve"> to Temperature Extremes. </w:t>
      </w:r>
      <w:r>
        <w:rPr>
          <w:rFonts w:ascii="Times New Roman" w:hAnsi="Times New Roman"/>
          <w:i/>
          <w:sz w:val="20"/>
          <w:szCs w:val="20"/>
        </w:rPr>
        <w:t>The American Naturalist</w:t>
      </w:r>
      <w:r>
        <w:rPr>
          <w:rFonts w:ascii="Times New Roman" w:hAnsi="Times New Roman"/>
          <w:sz w:val="20"/>
          <w:szCs w:val="20"/>
        </w:rPr>
        <w:t xml:space="preserve">, </w:t>
      </w:r>
      <w:r>
        <w:rPr>
          <w:rFonts w:ascii="Times New Roman" w:hAnsi="Times New Roman"/>
          <w:i/>
          <w:sz w:val="20"/>
          <w:szCs w:val="20"/>
        </w:rPr>
        <w:t>142</w:t>
      </w:r>
      <w:r>
        <w:rPr>
          <w:rFonts w:ascii="Times New Roman" w:hAnsi="Times New Roman"/>
          <w:sz w:val="20"/>
          <w:szCs w:val="20"/>
        </w:rPr>
        <w:t>, S93–S113. https://www.jstor.org/stable/2462711</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Hoffmann, A. A., &amp; Weeks, A. R. (2007). Climatic selection on genes and traits after a 100 year-old invasion: a critical look at the temperate-tropical clines in </w:t>
      </w:r>
      <w:r>
        <w:rPr>
          <w:rFonts w:ascii="Times New Roman" w:hAnsi="Times New Roman"/>
          <w:i/>
          <w:iCs/>
          <w:sz w:val="20"/>
          <w:szCs w:val="20"/>
        </w:rPr>
        <w:t>Drosophila melanogaster</w:t>
      </w:r>
      <w:r>
        <w:rPr>
          <w:rFonts w:ascii="Times New Roman" w:hAnsi="Times New Roman"/>
          <w:sz w:val="20"/>
          <w:szCs w:val="20"/>
        </w:rPr>
        <w:t xml:space="preserve"> from eastern Australia. </w:t>
      </w:r>
      <w:r>
        <w:rPr>
          <w:rFonts w:ascii="Times New Roman" w:hAnsi="Times New Roman"/>
          <w:i/>
          <w:sz w:val="20"/>
          <w:szCs w:val="20"/>
        </w:rPr>
        <w:t>Genetica</w:t>
      </w:r>
      <w:r>
        <w:rPr>
          <w:rFonts w:ascii="Times New Roman" w:hAnsi="Times New Roman"/>
          <w:sz w:val="20"/>
          <w:szCs w:val="20"/>
        </w:rPr>
        <w:t xml:space="preserve">, </w:t>
      </w:r>
      <w:r>
        <w:rPr>
          <w:rFonts w:ascii="Times New Roman" w:hAnsi="Times New Roman"/>
          <w:i/>
          <w:sz w:val="20"/>
          <w:szCs w:val="20"/>
        </w:rPr>
        <w:t>129</w:t>
      </w:r>
      <w:r>
        <w:rPr>
          <w:rFonts w:ascii="Times New Roman" w:hAnsi="Times New Roman"/>
          <w:sz w:val="20"/>
          <w:szCs w:val="20"/>
        </w:rPr>
        <w:t>(2), 133. https://doi.org/10.1007/s10709-006-9010-z</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Hoffmann, A. A., Anderson, A., &amp; Hallas, R. (2002). Opposing clines for high and low temperature resistance in </w:t>
      </w:r>
      <w:r>
        <w:rPr>
          <w:rFonts w:ascii="Times New Roman" w:hAnsi="Times New Roman"/>
          <w:i/>
          <w:sz w:val="20"/>
          <w:szCs w:val="20"/>
        </w:rPr>
        <w:t>Drosophila melanogaster</w:t>
      </w:r>
      <w:r>
        <w:rPr>
          <w:rFonts w:ascii="Times New Roman" w:hAnsi="Times New Roman"/>
          <w:sz w:val="20"/>
          <w:szCs w:val="20"/>
        </w:rPr>
        <w:t xml:space="preserve">. </w:t>
      </w:r>
      <w:r>
        <w:rPr>
          <w:rFonts w:ascii="Times New Roman" w:hAnsi="Times New Roman"/>
          <w:i/>
          <w:sz w:val="20"/>
          <w:szCs w:val="20"/>
        </w:rPr>
        <w:t>Ecology Letters</w:t>
      </w:r>
      <w:r>
        <w:rPr>
          <w:rFonts w:ascii="Times New Roman" w:hAnsi="Times New Roman"/>
          <w:sz w:val="20"/>
          <w:szCs w:val="20"/>
        </w:rPr>
        <w:t xml:space="preserve">, </w:t>
      </w:r>
      <w:r>
        <w:rPr>
          <w:rFonts w:ascii="Times New Roman" w:hAnsi="Times New Roman"/>
          <w:i/>
          <w:sz w:val="20"/>
          <w:szCs w:val="20"/>
        </w:rPr>
        <w:t>5</w:t>
      </w:r>
      <w:r>
        <w:rPr>
          <w:rFonts w:ascii="Times New Roman" w:hAnsi="Times New Roman"/>
          <w:sz w:val="20"/>
          <w:szCs w:val="20"/>
        </w:rPr>
        <w:t>(5), 614–618. https://doi.org/10.1046/j.1461-0248.2002.00367.x</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Jurado, L. A. P., Coloma, A., &amp; Cruces, J. (1999). Identification of a Human Homolog of the </w:t>
      </w:r>
      <w:r>
        <w:rPr>
          <w:rFonts w:ascii="Times New Roman" w:hAnsi="Times New Roman"/>
          <w:i/>
          <w:iCs/>
          <w:sz w:val="20"/>
          <w:szCs w:val="20"/>
        </w:rPr>
        <w:t>Drosophila</w:t>
      </w:r>
      <w:r>
        <w:rPr>
          <w:rFonts w:ascii="Times New Roman" w:hAnsi="Times New Roman"/>
          <w:sz w:val="20"/>
          <w:szCs w:val="20"/>
        </w:rPr>
        <w:t xml:space="preserve"> rotated abdomen Gene (POMT1) Encoding a Putative Protein O-Mannosyl-Transferase, and Assignment to Human Chromosome 9q34.1. </w:t>
      </w:r>
      <w:r>
        <w:rPr>
          <w:rFonts w:ascii="Times New Roman" w:hAnsi="Times New Roman"/>
          <w:i/>
          <w:sz w:val="20"/>
          <w:szCs w:val="20"/>
        </w:rPr>
        <w:t>Genomics</w:t>
      </w:r>
      <w:r>
        <w:rPr>
          <w:rFonts w:ascii="Times New Roman" w:hAnsi="Times New Roman"/>
          <w:sz w:val="20"/>
          <w:szCs w:val="20"/>
        </w:rPr>
        <w:t xml:space="preserve">, </w:t>
      </w:r>
      <w:r>
        <w:rPr>
          <w:rFonts w:ascii="Times New Roman" w:hAnsi="Times New Roman"/>
          <w:i/>
          <w:sz w:val="20"/>
          <w:szCs w:val="20"/>
        </w:rPr>
        <w:t>58</w:t>
      </w:r>
      <w:r>
        <w:rPr>
          <w:rFonts w:ascii="Times New Roman" w:hAnsi="Times New Roman"/>
          <w:sz w:val="20"/>
          <w:szCs w:val="20"/>
        </w:rPr>
        <w:t>(2), 171–180. https://doi.org/10.1006/geno.1999.5819</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b w:val="false"/>
          <w:i w:val="false"/>
          <w:caps w:val="false"/>
          <w:smallCaps w:val="false"/>
          <w:sz w:val="20"/>
          <w:szCs w:val="20"/>
        </w:rPr>
        <w:t xml:space="preserve">Kim, M., Robich, R. M., Rinehart, J. P., &amp; Denlinger, D. L. (2006). Upregulation of two actin genes and redistribution of actin during diapause and cold stress in the northern house mosquito, </w:t>
      </w:r>
      <w:r>
        <w:rPr>
          <w:rFonts w:ascii="Times New Roman" w:hAnsi="Times New Roman"/>
          <w:b w:val="false"/>
          <w:i/>
          <w:iCs/>
          <w:caps w:val="false"/>
          <w:smallCaps w:val="false"/>
          <w:sz w:val="20"/>
          <w:szCs w:val="20"/>
        </w:rPr>
        <w:t>Culex pipiens</w:t>
      </w:r>
      <w:r>
        <w:rPr>
          <w:rFonts w:ascii="Times New Roman" w:hAnsi="Times New Roman"/>
          <w:b w:val="false"/>
          <w:i w:val="false"/>
          <w:caps w:val="false"/>
          <w:smallCaps w:val="false"/>
          <w:sz w:val="20"/>
          <w:szCs w:val="20"/>
        </w:rPr>
        <w:t xml:space="preserve">. </w:t>
      </w:r>
      <w:r>
        <w:rPr>
          <w:rFonts w:ascii="Times New Roman" w:hAnsi="Times New Roman"/>
          <w:b w:val="false"/>
          <w:i/>
          <w:caps w:val="false"/>
          <w:smallCaps w:val="false"/>
          <w:sz w:val="20"/>
          <w:szCs w:val="20"/>
        </w:rPr>
        <w:t>Journal of Insect Physiology</w:t>
      </w:r>
      <w:r>
        <w:rPr>
          <w:rFonts w:ascii="Times New Roman" w:hAnsi="Times New Roman"/>
          <w:b w:val="false"/>
          <w:i w:val="false"/>
          <w:caps w:val="false"/>
          <w:smallCaps w:val="false"/>
          <w:sz w:val="20"/>
          <w:szCs w:val="20"/>
        </w:rPr>
        <w:t xml:space="preserve">, </w:t>
      </w:r>
      <w:r>
        <w:rPr>
          <w:rFonts w:ascii="Times New Roman" w:hAnsi="Times New Roman"/>
          <w:b w:val="false"/>
          <w:i/>
          <w:caps w:val="false"/>
          <w:smallCaps w:val="false"/>
          <w:sz w:val="20"/>
          <w:szCs w:val="20"/>
        </w:rPr>
        <w:t>52</w:t>
      </w:r>
      <w:r>
        <w:rPr>
          <w:rFonts w:ascii="Times New Roman" w:hAnsi="Times New Roman"/>
          <w:b w:val="false"/>
          <w:i w:val="false"/>
          <w:caps w:val="false"/>
          <w:smallCaps w:val="false"/>
          <w:sz w:val="20"/>
          <w:szCs w:val="20"/>
        </w:rPr>
        <w:t>(11–12), 1226–1233. https://doi.org/10.1016/j.jinsphys.2006.09.007</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Kobey, R. L., &amp; Montooth, K. (2012). Mortality from desiccation contributes to a genotype-by-temperature interaction for cold survival in </w:t>
      </w:r>
      <w:r>
        <w:rPr>
          <w:rFonts w:ascii="Times New Roman" w:hAnsi="Times New Roman"/>
          <w:i/>
          <w:sz w:val="20"/>
          <w:szCs w:val="20"/>
        </w:rPr>
        <w:t>Drosophila melanogaster</w:t>
      </w:r>
      <w:r>
        <w:rPr>
          <w:rFonts w:ascii="Times New Roman" w:hAnsi="Times New Roman"/>
          <w:sz w:val="20"/>
          <w:szCs w:val="20"/>
        </w:rPr>
        <w:t xml:space="preserve">. </w:t>
      </w:r>
      <w:r>
        <w:rPr>
          <w:rFonts w:ascii="Times New Roman" w:hAnsi="Times New Roman"/>
          <w:i/>
          <w:sz w:val="20"/>
          <w:szCs w:val="20"/>
        </w:rPr>
        <w:t>Journal of Experimental Biology</w:t>
      </w:r>
      <w:r>
        <w:rPr>
          <w:rFonts w:ascii="Times New Roman" w:hAnsi="Times New Roman"/>
          <w:sz w:val="20"/>
          <w:szCs w:val="20"/>
        </w:rPr>
        <w:t>, jeb.076539. https://doi.org/10.1242/jeb.076539</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Königer, A., &amp; Grath, S. (2018). Transcriptome Analysis Reveals Candidate Genes for Cold Tolerance in </w:t>
      </w:r>
      <w:r>
        <w:rPr>
          <w:rFonts w:ascii="Times New Roman" w:hAnsi="Times New Roman"/>
          <w:i/>
          <w:iCs/>
          <w:sz w:val="20"/>
          <w:szCs w:val="20"/>
        </w:rPr>
        <w:t>Drosophila ananassae</w:t>
      </w:r>
      <w:r>
        <w:rPr>
          <w:rFonts w:ascii="Times New Roman" w:hAnsi="Times New Roman"/>
          <w:sz w:val="20"/>
          <w:szCs w:val="20"/>
        </w:rPr>
        <w:t xml:space="preserve">. </w:t>
      </w:r>
      <w:r>
        <w:rPr>
          <w:rFonts w:ascii="Times New Roman" w:hAnsi="Times New Roman"/>
          <w:i/>
          <w:sz w:val="20"/>
          <w:szCs w:val="20"/>
        </w:rPr>
        <w:t>Genes</w:t>
      </w:r>
      <w:r>
        <w:rPr>
          <w:rFonts w:ascii="Times New Roman" w:hAnsi="Times New Roman"/>
          <w:sz w:val="20"/>
          <w:szCs w:val="20"/>
        </w:rPr>
        <w:t xml:space="preserve">, </w:t>
      </w:r>
      <w:r>
        <w:rPr>
          <w:rFonts w:ascii="Times New Roman" w:hAnsi="Times New Roman"/>
          <w:i/>
          <w:sz w:val="20"/>
          <w:szCs w:val="20"/>
        </w:rPr>
        <w:t>9</w:t>
      </w:r>
      <w:r>
        <w:rPr>
          <w:rFonts w:ascii="Times New Roman" w:hAnsi="Times New Roman"/>
          <w:sz w:val="20"/>
          <w:szCs w:val="20"/>
        </w:rPr>
        <w:t>(12), 624. https://doi.org/10.3390/genes9120624</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Königer, A., Arif, S., &amp; Grath, S. (2019). Three Quantitative Trait Loci Explain More than 60% of Variation for Chill Coma Recovery Time in a Natural Population of </w:t>
      </w:r>
      <w:r>
        <w:rPr>
          <w:rFonts w:ascii="Times New Roman" w:hAnsi="Times New Roman"/>
          <w:i/>
          <w:sz w:val="20"/>
          <w:szCs w:val="20"/>
        </w:rPr>
        <w:t>Drosophila ananassae</w:t>
      </w:r>
      <w:r>
        <w:rPr>
          <w:rFonts w:ascii="Times New Roman" w:hAnsi="Times New Roman"/>
          <w:sz w:val="20"/>
          <w:szCs w:val="20"/>
        </w:rPr>
        <w:t xml:space="preserve">. </w:t>
      </w:r>
      <w:r>
        <w:rPr>
          <w:rFonts w:ascii="Times New Roman" w:hAnsi="Times New Roman"/>
          <w:i/>
          <w:sz w:val="20"/>
          <w:szCs w:val="20"/>
        </w:rPr>
        <w:t>G3 Genes|Genomes|Genetics</w:t>
      </w:r>
      <w:r>
        <w:rPr>
          <w:rFonts w:ascii="Times New Roman" w:hAnsi="Times New Roman"/>
          <w:sz w:val="20"/>
          <w:szCs w:val="20"/>
        </w:rPr>
        <w:t xml:space="preserve">, </w:t>
      </w:r>
      <w:r>
        <w:rPr>
          <w:rFonts w:ascii="Times New Roman" w:hAnsi="Times New Roman"/>
          <w:i/>
          <w:sz w:val="20"/>
          <w:szCs w:val="20"/>
        </w:rPr>
        <w:t>9</w:t>
      </w:r>
      <w:r>
        <w:rPr>
          <w:rFonts w:ascii="Times New Roman" w:hAnsi="Times New Roman"/>
          <w:sz w:val="20"/>
          <w:szCs w:val="20"/>
        </w:rPr>
        <w:t>(11), 3715–3725. https://doi.org/10.1534/g3.119.400453</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Kurlovs, A. H., Snoeck, S., Kosterlitz, O., Van Leeuwen, T., &amp; Clark, R. M. (2019). Trait mapping in diverse arthropods by bulked segregant analysis. </w:t>
      </w:r>
      <w:r>
        <w:rPr>
          <w:rFonts w:ascii="Times New Roman" w:hAnsi="Times New Roman"/>
          <w:i/>
          <w:sz w:val="20"/>
          <w:szCs w:val="20"/>
        </w:rPr>
        <w:t>Current Opinion in Insect Science</w:t>
      </w:r>
      <w:r>
        <w:rPr>
          <w:rFonts w:ascii="Times New Roman" w:hAnsi="Times New Roman"/>
          <w:sz w:val="20"/>
          <w:szCs w:val="20"/>
        </w:rPr>
        <w:t xml:space="preserve">, </w:t>
      </w:r>
      <w:r>
        <w:rPr>
          <w:rFonts w:ascii="Times New Roman" w:hAnsi="Times New Roman"/>
          <w:i/>
          <w:sz w:val="20"/>
          <w:szCs w:val="20"/>
        </w:rPr>
        <w:t>36</w:t>
      </w:r>
      <w:r>
        <w:rPr>
          <w:rFonts w:ascii="Times New Roman" w:hAnsi="Times New Roman"/>
          <w:sz w:val="20"/>
          <w:szCs w:val="20"/>
        </w:rPr>
        <w:t>, 57–65. https://doi.org/10.1016/j.cois.2019.08.004</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Linder, M. E., &amp; Deschenes, R. J. (2007). Palmitoylation: policing protein stability and traffic. </w:t>
      </w:r>
      <w:r>
        <w:rPr>
          <w:rFonts w:ascii="Times New Roman" w:hAnsi="Times New Roman"/>
          <w:i/>
          <w:sz w:val="20"/>
          <w:szCs w:val="20"/>
        </w:rPr>
        <w:t>Nature Reviews Molecular Cell Biology</w:t>
      </w:r>
      <w:r>
        <w:rPr>
          <w:rFonts w:ascii="Times New Roman" w:hAnsi="Times New Roman"/>
          <w:sz w:val="20"/>
          <w:szCs w:val="20"/>
        </w:rPr>
        <w:t xml:space="preserve">, </w:t>
      </w:r>
      <w:r>
        <w:rPr>
          <w:rFonts w:ascii="Times New Roman" w:hAnsi="Times New Roman"/>
          <w:i/>
          <w:sz w:val="20"/>
          <w:szCs w:val="20"/>
        </w:rPr>
        <w:t>8</w:t>
      </w:r>
      <w:r>
        <w:rPr>
          <w:rFonts w:ascii="Times New Roman" w:hAnsi="Times New Roman"/>
          <w:sz w:val="20"/>
          <w:szCs w:val="20"/>
        </w:rPr>
        <w:t>(1), 74–84. https://doi.org/10.1038/nrm2084</w:t>
      </w:r>
    </w:p>
    <w:p>
      <w:pPr>
        <w:pStyle w:val="Normal"/>
        <w:bidi w:val="0"/>
        <w:spacing w:lineRule="auto" w:line="276" w:before="0" w:after="113"/>
        <w:ind w:left="425" w:right="0" w:hanging="425"/>
        <w:jc w:val="both"/>
        <w:rPr/>
      </w:pPr>
      <w:r>
        <w:rPr>
          <w:rStyle w:val="SourceText"/>
          <w:rFonts w:ascii="Times New Roman" w:hAnsi="Times New Roman"/>
          <w:sz w:val="20"/>
          <w:szCs w:val="20"/>
        </w:rPr>
        <w:t xml:space="preserve">Liu, Y., &amp; Li, G. (2023). Empowering biologists to decode omics data: the Genekitr R package and web server. </w:t>
      </w:r>
      <w:r>
        <w:rPr>
          <w:rStyle w:val="SourceText"/>
          <w:rFonts w:ascii="Times New Roman" w:hAnsi="Times New Roman"/>
          <w:i/>
          <w:sz w:val="20"/>
          <w:szCs w:val="20"/>
        </w:rPr>
        <w:t>BMC Bioinformatics</w:t>
      </w:r>
      <w:r>
        <w:rPr>
          <w:rStyle w:val="SourceText"/>
          <w:rFonts w:ascii="Times New Roman" w:hAnsi="Times New Roman"/>
          <w:sz w:val="20"/>
          <w:szCs w:val="20"/>
        </w:rPr>
        <w:t xml:space="preserve">, </w:t>
      </w:r>
      <w:r>
        <w:rPr>
          <w:rStyle w:val="SourceText"/>
          <w:rFonts w:ascii="Times New Roman" w:hAnsi="Times New Roman"/>
          <w:i/>
          <w:sz w:val="20"/>
          <w:szCs w:val="20"/>
        </w:rPr>
        <w:t>24</w:t>
      </w:r>
      <w:r>
        <w:rPr>
          <w:rStyle w:val="SourceText"/>
          <w:rFonts w:ascii="Times New Roman" w:hAnsi="Times New Roman"/>
          <w:sz w:val="20"/>
          <w:szCs w:val="20"/>
        </w:rPr>
        <w:t>(1), 214. https://doi.org/10.1186/s12859-023-05342-9</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Ma, X., Zhu, M., Liu, W., Li, J., Liao, Y., Liu, D., Jin, M., Fu, C., &amp; Wang, F. (2023). Bulk segregant analysis coupled with transcriptomics and metabolomics revealed key regulators of bacterial leaf blight resistance in rice. </w:t>
      </w:r>
      <w:r>
        <w:rPr>
          <w:rFonts w:ascii="Times New Roman" w:hAnsi="Times New Roman"/>
          <w:i/>
          <w:sz w:val="20"/>
          <w:szCs w:val="20"/>
        </w:rPr>
        <w:t>BMC Plant Biology</w:t>
      </w:r>
      <w:r>
        <w:rPr>
          <w:rFonts w:ascii="Times New Roman" w:hAnsi="Times New Roman"/>
          <w:sz w:val="20"/>
          <w:szCs w:val="20"/>
        </w:rPr>
        <w:t xml:space="preserve">, </w:t>
      </w:r>
      <w:r>
        <w:rPr>
          <w:rFonts w:ascii="Times New Roman" w:hAnsi="Times New Roman"/>
          <w:i/>
          <w:sz w:val="20"/>
          <w:szCs w:val="20"/>
        </w:rPr>
        <w:t>23</w:t>
      </w:r>
      <w:r>
        <w:rPr>
          <w:rFonts w:ascii="Times New Roman" w:hAnsi="Times New Roman"/>
          <w:sz w:val="20"/>
          <w:szCs w:val="20"/>
        </w:rPr>
        <w:t>(1), 332. https://doi.org/10.1186/s12870-023-04347-z</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MacMillan, H. A., Andersen, J. L., Davies, S. A., &amp; Overgaard, J. (2015). The capacity to maintain ion and water homeostasis underlies interspecific variation in </w:t>
      </w:r>
      <w:r>
        <w:rPr>
          <w:rFonts w:ascii="Times New Roman" w:hAnsi="Times New Roman"/>
          <w:i/>
          <w:iCs/>
          <w:sz w:val="20"/>
          <w:szCs w:val="20"/>
        </w:rPr>
        <w:t>Drosophila</w:t>
      </w:r>
      <w:r>
        <w:rPr>
          <w:rFonts w:ascii="Times New Roman" w:hAnsi="Times New Roman"/>
          <w:sz w:val="20"/>
          <w:szCs w:val="20"/>
        </w:rPr>
        <w:t xml:space="preserve"> cold tolerance. </w:t>
      </w:r>
      <w:r>
        <w:rPr>
          <w:rFonts w:ascii="Times New Roman" w:hAnsi="Times New Roman"/>
          <w:i/>
          <w:sz w:val="20"/>
          <w:szCs w:val="20"/>
        </w:rPr>
        <w:t>Scientific Reports</w:t>
      </w:r>
      <w:r>
        <w:rPr>
          <w:rFonts w:ascii="Times New Roman" w:hAnsi="Times New Roman"/>
          <w:sz w:val="20"/>
          <w:szCs w:val="20"/>
        </w:rPr>
        <w:t xml:space="preserve">, </w:t>
      </w:r>
      <w:r>
        <w:rPr>
          <w:rFonts w:ascii="Times New Roman" w:hAnsi="Times New Roman"/>
          <w:i/>
          <w:sz w:val="20"/>
          <w:szCs w:val="20"/>
        </w:rPr>
        <w:t>5</w:t>
      </w:r>
      <w:r>
        <w:rPr>
          <w:rFonts w:ascii="Times New Roman" w:hAnsi="Times New Roman"/>
          <w:sz w:val="20"/>
          <w:szCs w:val="20"/>
        </w:rPr>
        <w:t>(1), 18607. https://doi.org/10.1038/srep18607</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MacMillan, H. A., Knee, J. M., Dennis, A. B., Udaka, H., Marshall, K. E., Merritt, T. J. S., &amp; Sinclair, B. J. (2016). Cold acclimation wholly reorganizes the </w:t>
      </w:r>
      <w:r>
        <w:rPr>
          <w:rFonts w:ascii="Times New Roman" w:hAnsi="Times New Roman"/>
          <w:i/>
          <w:iCs/>
          <w:sz w:val="20"/>
          <w:szCs w:val="20"/>
        </w:rPr>
        <w:t>Drosophila melanogaster</w:t>
      </w:r>
      <w:r>
        <w:rPr>
          <w:rFonts w:ascii="Times New Roman" w:hAnsi="Times New Roman"/>
          <w:sz w:val="20"/>
          <w:szCs w:val="20"/>
        </w:rPr>
        <w:t xml:space="preserve"> transcriptome and metabolome. </w:t>
      </w:r>
      <w:r>
        <w:rPr>
          <w:rFonts w:ascii="Times New Roman" w:hAnsi="Times New Roman"/>
          <w:i/>
          <w:sz w:val="20"/>
          <w:szCs w:val="20"/>
        </w:rPr>
        <w:t>Scientific Reports</w:t>
      </w:r>
      <w:r>
        <w:rPr>
          <w:rFonts w:ascii="Times New Roman" w:hAnsi="Times New Roman"/>
          <w:sz w:val="20"/>
          <w:szCs w:val="20"/>
        </w:rPr>
        <w:t xml:space="preserve">, </w:t>
      </w:r>
      <w:r>
        <w:rPr>
          <w:rFonts w:ascii="Times New Roman" w:hAnsi="Times New Roman"/>
          <w:i/>
          <w:sz w:val="20"/>
          <w:szCs w:val="20"/>
        </w:rPr>
        <w:t>6</w:t>
      </w:r>
      <w:r>
        <w:rPr>
          <w:rFonts w:ascii="Times New Roman" w:hAnsi="Times New Roman"/>
          <w:sz w:val="20"/>
          <w:szCs w:val="20"/>
        </w:rPr>
        <w:t>(1), 28999. https://doi.org/10.1038/srep28999</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MacMillan, H. A., Yerushalmi, G. Y., Jonusaite, S., Kelly, S. P., &amp; Donini, A. (2017). Thermal acclimation mitigates cold-induced paracellular leak from the </w:t>
      </w:r>
      <w:r>
        <w:rPr>
          <w:rFonts w:ascii="Times New Roman" w:hAnsi="Times New Roman"/>
          <w:i/>
          <w:iCs/>
          <w:sz w:val="20"/>
          <w:szCs w:val="20"/>
        </w:rPr>
        <w:t>Drosophila</w:t>
      </w:r>
      <w:r>
        <w:rPr>
          <w:rFonts w:ascii="Times New Roman" w:hAnsi="Times New Roman"/>
          <w:sz w:val="20"/>
          <w:szCs w:val="20"/>
        </w:rPr>
        <w:t xml:space="preserve"> gut. </w:t>
      </w:r>
      <w:r>
        <w:rPr>
          <w:rFonts w:ascii="Times New Roman" w:hAnsi="Times New Roman"/>
          <w:i/>
          <w:sz w:val="20"/>
          <w:szCs w:val="20"/>
        </w:rPr>
        <w:t>Scientific Reports</w:t>
      </w:r>
      <w:r>
        <w:rPr>
          <w:rFonts w:ascii="Times New Roman" w:hAnsi="Times New Roman"/>
          <w:sz w:val="20"/>
          <w:szCs w:val="20"/>
        </w:rPr>
        <w:t xml:space="preserve">, </w:t>
      </w:r>
      <w:r>
        <w:rPr>
          <w:rFonts w:ascii="Times New Roman" w:hAnsi="Times New Roman"/>
          <w:i/>
          <w:sz w:val="20"/>
          <w:szCs w:val="20"/>
        </w:rPr>
        <w:t>7</w:t>
      </w:r>
      <w:r>
        <w:rPr>
          <w:rFonts w:ascii="Times New Roman" w:hAnsi="Times New Roman"/>
          <w:sz w:val="20"/>
          <w:szCs w:val="20"/>
        </w:rPr>
        <w:t>(1), 8807. https://doi.org/10.1038/s41598-017-08926-7</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Magwene, P. M., Willis, J. H., &amp; Kelly, J. K. (2011). The Statistics of Bulk Segregant Analysis Using Next Generation Sequencing. </w:t>
      </w:r>
      <w:r>
        <w:rPr>
          <w:rFonts w:ascii="Times New Roman" w:hAnsi="Times New Roman"/>
          <w:i/>
          <w:sz w:val="20"/>
          <w:szCs w:val="20"/>
        </w:rPr>
        <w:t>PLoS Computational Biology</w:t>
      </w:r>
      <w:r>
        <w:rPr>
          <w:rFonts w:ascii="Times New Roman" w:hAnsi="Times New Roman"/>
          <w:sz w:val="20"/>
          <w:szCs w:val="20"/>
        </w:rPr>
        <w:t xml:space="preserve">, </w:t>
      </w:r>
      <w:r>
        <w:rPr>
          <w:rFonts w:ascii="Times New Roman" w:hAnsi="Times New Roman"/>
          <w:i/>
          <w:sz w:val="20"/>
          <w:szCs w:val="20"/>
        </w:rPr>
        <w:t>7</w:t>
      </w:r>
      <w:r>
        <w:rPr>
          <w:rFonts w:ascii="Times New Roman" w:hAnsi="Times New Roman"/>
          <w:sz w:val="20"/>
          <w:szCs w:val="20"/>
        </w:rPr>
        <w:t>(11), e1002255. https://doi.org/10.1371/journal.pcbi.1002255</w:t>
      </w:r>
    </w:p>
    <w:p>
      <w:pPr>
        <w:pStyle w:val="Normal"/>
        <w:bidi w:val="0"/>
        <w:spacing w:lineRule="auto" w:line="276" w:before="0" w:after="113"/>
        <w:ind w:left="425" w:right="0" w:hanging="425"/>
        <w:jc w:val="both"/>
        <w:rPr/>
      </w:pPr>
      <w:r>
        <w:rPr>
          <w:rStyle w:val="SourceText"/>
          <w:rFonts w:ascii="Times New Roman" w:hAnsi="Times New Roman"/>
          <w:sz w:val="20"/>
          <w:szCs w:val="20"/>
        </w:rPr>
        <w:t xml:space="preserve">Mansfeld, B. N., &amp; Grumet, R. (2018). QTLseqr: An R Package for Bulk Segregant Analysis with Next‐Generation Sequencing. </w:t>
      </w:r>
      <w:r>
        <w:rPr>
          <w:rStyle w:val="SourceText"/>
          <w:rFonts w:ascii="Times New Roman" w:hAnsi="Times New Roman"/>
          <w:i/>
          <w:sz w:val="20"/>
          <w:szCs w:val="20"/>
        </w:rPr>
        <w:t>The Plant Genome</w:t>
      </w:r>
      <w:r>
        <w:rPr>
          <w:rStyle w:val="SourceText"/>
          <w:rFonts w:ascii="Times New Roman" w:hAnsi="Times New Roman"/>
          <w:sz w:val="20"/>
          <w:szCs w:val="20"/>
        </w:rPr>
        <w:t xml:space="preserve">, </w:t>
      </w:r>
      <w:r>
        <w:rPr>
          <w:rStyle w:val="SourceText"/>
          <w:rFonts w:ascii="Times New Roman" w:hAnsi="Times New Roman"/>
          <w:i/>
          <w:sz w:val="20"/>
          <w:szCs w:val="20"/>
        </w:rPr>
        <w:t>11</w:t>
      </w:r>
      <w:r>
        <w:rPr>
          <w:rStyle w:val="SourceText"/>
          <w:rFonts w:ascii="Times New Roman" w:hAnsi="Times New Roman"/>
          <w:sz w:val="20"/>
          <w:szCs w:val="20"/>
        </w:rPr>
        <w:t>(2), 180006. https://doi.org/10.3835/plantgenome2018.01.0006</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Michelmore, R. W., Paran, I., &amp; Kesseli, R. V. (1991). Identification of markers linked to disease-resistance genes by bulked segregant analysis: a rapid method to detect markers in specific genomic regions by using segregating populations. </w:t>
      </w:r>
      <w:r>
        <w:rPr>
          <w:rFonts w:ascii="Times New Roman" w:hAnsi="Times New Roman"/>
          <w:i/>
          <w:sz w:val="20"/>
          <w:szCs w:val="20"/>
        </w:rPr>
        <w:t>Proceedings of the National Academy of Sciences</w:t>
      </w:r>
      <w:r>
        <w:rPr>
          <w:rFonts w:ascii="Times New Roman" w:hAnsi="Times New Roman"/>
          <w:sz w:val="20"/>
          <w:szCs w:val="20"/>
        </w:rPr>
        <w:t xml:space="preserve">, </w:t>
      </w:r>
      <w:r>
        <w:rPr>
          <w:rFonts w:ascii="Times New Roman" w:hAnsi="Times New Roman"/>
          <w:i/>
          <w:sz w:val="20"/>
          <w:szCs w:val="20"/>
        </w:rPr>
        <w:t>88</w:t>
      </w:r>
      <w:r>
        <w:rPr>
          <w:rFonts w:ascii="Times New Roman" w:hAnsi="Times New Roman"/>
          <w:sz w:val="20"/>
          <w:szCs w:val="20"/>
        </w:rPr>
        <w:t>(21), 9828–9832. https://doi.org/10.1073/pnas.88.21.9828</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Nilson, T. L., Sinclair, B. J., &amp; Roberts, S. P. (2006). The effects of carbon dioxide anesthesia and anoxia on rapid cold-hardening and chill coma recovery in </w:t>
      </w:r>
      <w:r>
        <w:rPr>
          <w:rFonts w:ascii="Times New Roman" w:hAnsi="Times New Roman"/>
          <w:i/>
          <w:iCs/>
          <w:sz w:val="20"/>
          <w:szCs w:val="20"/>
        </w:rPr>
        <w:t>Drosophila melanogaster</w:t>
      </w:r>
      <w:r>
        <w:rPr>
          <w:rFonts w:ascii="Times New Roman" w:hAnsi="Times New Roman"/>
          <w:sz w:val="20"/>
          <w:szCs w:val="20"/>
        </w:rPr>
        <w:t xml:space="preserve">. </w:t>
      </w:r>
      <w:r>
        <w:rPr>
          <w:rFonts w:ascii="Times New Roman" w:hAnsi="Times New Roman"/>
          <w:i/>
          <w:sz w:val="20"/>
          <w:szCs w:val="20"/>
        </w:rPr>
        <w:t>Journal of Insect Physiology</w:t>
      </w:r>
      <w:r>
        <w:rPr>
          <w:rFonts w:ascii="Times New Roman" w:hAnsi="Times New Roman"/>
          <w:sz w:val="20"/>
          <w:szCs w:val="20"/>
        </w:rPr>
        <w:t xml:space="preserve">, </w:t>
      </w:r>
      <w:r>
        <w:rPr>
          <w:rFonts w:ascii="Times New Roman" w:hAnsi="Times New Roman"/>
          <w:i/>
          <w:sz w:val="20"/>
          <w:szCs w:val="20"/>
        </w:rPr>
        <w:t>52</w:t>
      </w:r>
      <w:r>
        <w:rPr>
          <w:rFonts w:ascii="Times New Roman" w:hAnsi="Times New Roman"/>
          <w:sz w:val="20"/>
          <w:szCs w:val="20"/>
        </w:rPr>
        <w:t>(10), 1027–1033. https://doi.org/10.1016/j.jinsphys.2006.07.001</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Overgaard, J., &amp; MacMillan, H. A. (2017). The Integrative Physiology of Insect Chill Tolerance. </w:t>
      </w:r>
      <w:r>
        <w:rPr>
          <w:rFonts w:ascii="Times New Roman" w:hAnsi="Times New Roman"/>
          <w:i/>
          <w:sz w:val="20"/>
          <w:szCs w:val="20"/>
        </w:rPr>
        <w:t>Annual Review of Physiology</w:t>
      </w:r>
      <w:r>
        <w:rPr>
          <w:rFonts w:ascii="Times New Roman" w:hAnsi="Times New Roman"/>
          <w:sz w:val="20"/>
          <w:szCs w:val="20"/>
        </w:rPr>
        <w:t xml:space="preserve">, </w:t>
      </w:r>
      <w:r>
        <w:rPr>
          <w:rFonts w:ascii="Times New Roman" w:hAnsi="Times New Roman"/>
          <w:i/>
          <w:sz w:val="20"/>
          <w:szCs w:val="20"/>
        </w:rPr>
        <w:t>79</w:t>
      </w:r>
      <w:r>
        <w:rPr>
          <w:rFonts w:ascii="Times New Roman" w:hAnsi="Times New Roman"/>
          <w:sz w:val="20"/>
          <w:szCs w:val="20"/>
        </w:rPr>
        <w:t>(1), 187–208. https://doi.org/10.1146/annurev-physiol-022516-034142</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Overgaard, J., Gerber, L., &amp; Andersen, M. K. (2021). Osmoregulatory capacity at low temperature is critical for insect cold tolerance. </w:t>
      </w:r>
      <w:r>
        <w:rPr>
          <w:rFonts w:ascii="Times New Roman" w:hAnsi="Times New Roman"/>
          <w:i/>
          <w:sz w:val="20"/>
          <w:szCs w:val="20"/>
        </w:rPr>
        <w:t>Current Opinion in Insect Science</w:t>
      </w:r>
      <w:r>
        <w:rPr>
          <w:rFonts w:ascii="Times New Roman" w:hAnsi="Times New Roman"/>
          <w:sz w:val="20"/>
          <w:szCs w:val="20"/>
        </w:rPr>
        <w:t xml:space="preserve">, </w:t>
      </w:r>
      <w:r>
        <w:rPr>
          <w:rFonts w:ascii="Times New Roman" w:hAnsi="Times New Roman"/>
          <w:i/>
          <w:sz w:val="20"/>
          <w:szCs w:val="20"/>
        </w:rPr>
        <w:t>47</w:t>
      </w:r>
      <w:r>
        <w:rPr>
          <w:rFonts w:ascii="Times New Roman" w:hAnsi="Times New Roman"/>
          <w:sz w:val="20"/>
          <w:szCs w:val="20"/>
        </w:rPr>
        <w:t>, 38–45. https://doi.org/10.1016/j.cois.2021.02.015</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Parker, D. J., Envall, T., Ritchie, M. G., &amp; Kankare, M. (2021). Sex-specific responses to cold in a very cold-tolerant, northern </w:t>
      </w:r>
      <w:r>
        <w:rPr>
          <w:rFonts w:ascii="Times New Roman" w:hAnsi="Times New Roman"/>
          <w:i/>
          <w:iCs/>
          <w:sz w:val="20"/>
          <w:szCs w:val="20"/>
        </w:rPr>
        <w:t>Drosophila</w:t>
      </w:r>
      <w:r>
        <w:rPr>
          <w:rFonts w:ascii="Times New Roman" w:hAnsi="Times New Roman"/>
          <w:sz w:val="20"/>
          <w:szCs w:val="20"/>
        </w:rPr>
        <w:t xml:space="preserve"> species. </w:t>
      </w:r>
      <w:r>
        <w:rPr>
          <w:rFonts w:ascii="Times New Roman" w:hAnsi="Times New Roman"/>
          <w:i/>
          <w:sz w:val="20"/>
          <w:szCs w:val="20"/>
        </w:rPr>
        <w:t>Heredity</w:t>
      </w:r>
      <w:r>
        <w:rPr>
          <w:rFonts w:ascii="Times New Roman" w:hAnsi="Times New Roman"/>
          <w:sz w:val="20"/>
          <w:szCs w:val="20"/>
        </w:rPr>
        <w:t xml:space="preserve">, </w:t>
      </w:r>
      <w:r>
        <w:rPr>
          <w:rFonts w:ascii="Times New Roman" w:hAnsi="Times New Roman"/>
          <w:i/>
          <w:sz w:val="20"/>
          <w:szCs w:val="20"/>
        </w:rPr>
        <w:t>126</w:t>
      </w:r>
      <w:r>
        <w:rPr>
          <w:rFonts w:ascii="Times New Roman" w:hAnsi="Times New Roman"/>
          <w:sz w:val="20"/>
          <w:szCs w:val="20"/>
        </w:rPr>
        <w:t>(4), 695–705. https://doi.org/10.1038/s41437-020-00398-2</w:t>
      </w:r>
      <w:r>
        <w:rPr>
          <w:rFonts w:ascii="Times New Roman" w:hAnsi="Times New Roman"/>
          <w:sz w:val="20"/>
          <w:szCs w:val="20"/>
        </w:rPr>
        <w:commentReference w:id="1"/>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Parker, D. J., Vesala, L., Ritchie, M. G., Laiho, A., Hoikkala, A., &amp; Kankare, M. (2015). How consistent are the transcriptome changes associated with cold acclimation in two species of the </w:t>
      </w:r>
      <w:r>
        <w:rPr>
          <w:rFonts w:ascii="Times New Roman" w:hAnsi="Times New Roman"/>
          <w:i/>
          <w:iCs/>
          <w:sz w:val="20"/>
          <w:szCs w:val="20"/>
        </w:rPr>
        <w:t>Drosophila virilis</w:t>
      </w:r>
      <w:r>
        <w:rPr>
          <w:rFonts w:ascii="Times New Roman" w:hAnsi="Times New Roman"/>
          <w:sz w:val="20"/>
          <w:szCs w:val="20"/>
        </w:rPr>
        <w:t xml:space="preserve"> group? </w:t>
      </w:r>
      <w:r>
        <w:rPr>
          <w:rFonts w:ascii="Times New Roman" w:hAnsi="Times New Roman"/>
          <w:i/>
          <w:sz w:val="20"/>
          <w:szCs w:val="20"/>
        </w:rPr>
        <w:t>Heredity</w:t>
      </w:r>
      <w:r>
        <w:rPr>
          <w:rFonts w:ascii="Times New Roman" w:hAnsi="Times New Roman"/>
          <w:sz w:val="20"/>
          <w:szCs w:val="20"/>
        </w:rPr>
        <w:t xml:space="preserve">, </w:t>
      </w:r>
      <w:r>
        <w:rPr>
          <w:rFonts w:ascii="Times New Roman" w:hAnsi="Times New Roman"/>
          <w:i/>
          <w:sz w:val="20"/>
          <w:szCs w:val="20"/>
        </w:rPr>
        <w:t>115</w:t>
      </w:r>
      <w:r>
        <w:rPr>
          <w:rFonts w:ascii="Times New Roman" w:hAnsi="Times New Roman"/>
          <w:sz w:val="20"/>
          <w:szCs w:val="20"/>
        </w:rPr>
        <w:t>(1), 13–21. https://doi.org/10.1038/hdy.2015.6</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Pool, J. E. (2016). Genetic Mapping by Bulk Segregant Analysis in </w:t>
      </w:r>
      <w:r>
        <w:rPr>
          <w:rFonts w:ascii="Times New Roman" w:hAnsi="Times New Roman"/>
          <w:i/>
          <w:sz w:val="20"/>
          <w:szCs w:val="20"/>
        </w:rPr>
        <w:t>Drosophila</w:t>
      </w:r>
      <w:r>
        <w:rPr>
          <w:rFonts w:ascii="Times New Roman" w:hAnsi="Times New Roman"/>
          <w:sz w:val="20"/>
          <w:szCs w:val="20"/>
        </w:rPr>
        <w:t xml:space="preserve"> : Experimental Design and Simulation-Based Inference. </w:t>
      </w:r>
      <w:r>
        <w:rPr>
          <w:rFonts w:ascii="Times New Roman" w:hAnsi="Times New Roman"/>
          <w:i/>
          <w:sz w:val="20"/>
          <w:szCs w:val="20"/>
        </w:rPr>
        <w:t>Genetics</w:t>
      </w:r>
      <w:r>
        <w:rPr>
          <w:rFonts w:ascii="Times New Roman" w:hAnsi="Times New Roman"/>
          <w:sz w:val="20"/>
          <w:szCs w:val="20"/>
        </w:rPr>
        <w:t xml:space="preserve">, </w:t>
      </w:r>
      <w:r>
        <w:rPr>
          <w:rFonts w:ascii="Times New Roman" w:hAnsi="Times New Roman"/>
          <w:i/>
          <w:sz w:val="20"/>
          <w:szCs w:val="20"/>
        </w:rPr>
        <w:t>204</w:t>
      </w:r>
      <w:r>
        <w:rPr>
          <w:rFonts w:ascii="Times New Roman" w:hAnsi="Times New Roman"/>
          <w:sz w:val="20"/>
          <w:szCs w:val="20"/>
        </w:rPr>
        <w:t>(3), 1295–1306. https://doi.org/10.1534/genetics.116.192484</w:t>
      </w:r>
    </w:p>
    <w:p>
      <w:pPr>
        <w:pStyle w:val="PreformattedText"/>
        <w:bidi w:val="0"/>
        <w:spacing w:lineRule="auto" w:line="276" w:before="0" w:after="113"/>
        <w:ind w:left="425" w:right="0" w:hanging="425"/>
        <w:jc w:val="both"/>
        <w:rPr/>
      </w:pPr>
      <w:r>
        <w:rPr>
          <w:rStyle w:val="SourceText"/>
          <w:rFonts w:ascii="Times New Roman" w:hAnsi="Times New Roman"/>
          <w:sz w:val="20"/>
          <w:szCs w:val="20"/>
        </w:rPr>
        <w:t>R Core Team (2022). R: A language and environment for statistical computing. R Foundation for Statistical Computing, Vienna, Austria.URL https://www.R-project.org/</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Ring, R. A. (1982). Freezing-tolerant insects with low supercooling points. </w:t>
      </w:r>
      <w:r>
        <w:rPr>
          <w:rFonts w:ascii="Times New Roman" w:hAnsi="Times New Roman"/>
          <w:i/>
          <w:sz w:val="20"/>
          <w:szCs w:val="20"/>
        </w:rPr>
        <w:t>Comparative Biochemistry and Physiology Part A: Physiology</w:t>
      </w:r>
      <w:r>
        <w:rPr>
          <w:rFonts w:ascii="Times New Roman" w:hAnsi="Times New Roman"/>
          <w:sz w:val="20"/>
          <w:szCs w:val="20"/>
        </w:rPr>
        <w:t xml:space="preserve">, </w:t>
      </w:r>
      <w:r>
        <w:rPr>
          <w:rFonts w:ascii="Times New Roman" w:hAnsi="Times New Roman"/>
          <w:i/>
          <w:sz w:val="20"/>
          <w:szCs w:val="20"/>
        </w:rPr>
        <w:t>73</w:t>
      </w:r>
      <w:r>
        <w:rPr>
          <w:rFonts w:ascii="Times New Roman" w:hAnsi="Times New Roman"/>
          <w:sz w:val="20"/>
          <w:szCs w:val="20"/>
        </w:rPr>
        <w:t>(4), 605–612. https://doi.org/10.1016/0300-9629(82)90267-5</w:t>
      </w:r>
    </w:p>
    <w:p>
      <w:pPr>
        <w:pStyle w:val="Normal"/>
        <w:spacing w:lineRule="auto" w:line="276" w:before="0" w:after="113"/>
        <w:ind w:left="425" w:right="0" w:hanging="425"/>
        <w:jc w:val="both"/>
        <w:rPr/>
      </w:pPr>
      <w:r>
        <w:rPr>
          <w:rFonts w:eastAsia="Times New Roman" w:cs="Times New Roman" w:ascii="Times New Roman" w:hAnsi="Times New Roman"/>
          <w:i w:val="false"/>
          <w:iCs w:val="false"/>
          <w:color w:val="000000"/>
          <w:kern w:val="0"/>
          <w:sz w:val="20"/>
          <w:szCs w:val="20"/>
          <w:lang w:val="en-DE" w:eastAsia="en-US" w:bidi="ar-SA"/>
          <w14:ligatures w14:val="none"/>
        </w:rPr>
        <w:t xml:space="preserve">Schnorrer, F., Schönbauer, C., Langer, C. C. H., Dietzl, G., Novatchkova, M., Schernhuber, K., Fellner, M., Azaryan, A., Radolf, M., Stark, A., Keleman, K., &amp; Dickson, B. J. (2010). Systematic genetic analysis of muscle morphogenesis and function in </w:t>
      </w:r>
      <w:r>
        <w:rPr>
          <w:rFonts w:eastAsia="Times New Roman" w:cs="Times New Roman" w:ascii="Times New Roman" w:hAnsi="Times New Roman"/>
          <w:i/>
          <w:iCs/>
          <w:color w:val="000000"/>
          <w:kern w:val="0"/>
          <w:sz w:val="20"/>
          <w:szCs w:val="20"/>
          <w:lang w:val="en-DE" w:eastAsia="en-US" w:bidi="ar-SA"/>
          <w14:ligatures w14:val="none"/>
        </w:rPr>
        <w:t>Drosophila</w:t>
      </w:r>
      <w:r>
        <w:rPr>
          <w:rFonts w:eastAsia="Times New Roman" w:cs="Times New Roman" w:ascii="Times New Roman" w:hAnsi="Times New Roman"/>
          <w:i w:val="false"/>
          <w:iCs w:val="false"/>
          <w:color w:val="000000"/>
          <w:kern w:val="0"/>
          <w:sz w:val="20"/>
          <w:szCs w:val="20"/>
          <w:lang w:val="en-DE" w:eastAsia="en-US" w:bidi="ar-SA"/>
          <w14:ligatures w14:val="none"/>
        </w:rPr>
        <w:t xml:space="preserve">. </w:t>
      </w:r>
      <w:r>
        <w:rPr>
          <w:rFonts w:eastAsia="Times New Roman" w:cs="Times New Roman" w:ascii="Times New Roman" w:hAnsi="Times New Roman"/>
          <w:i/>
          <w:iCs/>
          <w:color w:val="000000"/>
          <w:kern w:val="0"/>
          <w:sz w:val="20"/>
          <w:szCs w:val="20"/>
          <w:lang w:val="en-DE" w:eastAsia="en-US" w:bidi="ar-SA"/>
          <w14:ligatures w14:val="none"/>
        </w:rPr>
        <w:t>Nature</w:t>
      </w:r>
      <w:r>
        <w:rPr>
          <w:rFonts w:eastAsia="Times New Roman" w:cs="Times New Roman" w:ascii="Times New Roman" w:hAnsi="Times New Roman"/>
          <w:i w:val="false"/>
          <w:iCs w:val="false"/>
          <w:color w:val="000000"/>
          <w:kern w:val="0"/>
          <w:sz w:val="20"/>
          <w:szCs w:val="20"/>
          <w:lang w:val="en-DE" w:eastAsia="en-US" w:bidi="ar-SA"/>
          <w14:ligatures w14:val="none"/>
        </w:rPr>
        <w:t>, 464(7286), 287–291. https://doi.org/10.1038/nature08799</w:t>
        <w:tab/>
        <w:tab/>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Sinclair, B.J. (1999). Insect cold tolerance: How many kinds of frozen? </w:t>
      </w:r>
      <w:r>
        <w:rPr>
          <w:rFonts w:ascii="Times New Roman" w:hAnsi="Times New Roman"/>
          <w:i/>
          <w:sz w:val="20"/>
          <w:szCs w:val="20"/>
        </w:rPr>
        <w:t>European Journal of Entomology</w:t>
      </w:r>
      <w:r>
        <w:rPr>
          <w:rFonts w:ascii="Times New Roman" w:hAnsi="Times New Roman"/>
          <w:sz w:val="20"/>
          <w:szCs w:val="20"/>
        </w:rPr>
        <w:t>, </w:t>
      </w:r>
      <w:r>
        <w:rPr>
          <w:rFonts w:ascii="Times New Roman" w:hAnsi="Times New Roman"/>
          <w:i/>
          <w:sz w:val="20"/>
          <w:szCs w:val="20"/>
        </w:rPr>
        <w:t>96</w:t>
      </w:r>
      <w:r>
        <w:rPr>
          <w:rFonts w:ascii="Times New Roman" w:hAnsi="Times New Roman"/>
          <w:sz w:val="20"/>
          <w:szCs w:val="20"/>
        </w:rPr>
        <w:t xml:space="preserve">(2), 157-164 </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Sisodia, S., &amp; Singh, B. N. (2010). Influence of developmental temperature on cold shock and chill coma recovery in </w:t>
      </w:r>
      <w:r>
        <w:rPr>
          <w:rFonts w:ascii="Times New Roman" w:hAnsi="Times New Roman"/>
          <w:i/>
          <w:iCs/>
          <w:sz w:val="20"/>
          <w:szCs w:val="20"/>
        </w:rPr>
        <w:t>Drosophila ananassae</w:t>
      </w:r>
      <w:r>
        <w:rPr>
          <w:rFonts w:ascii="Times New Roman" w:hAnsi="Times New Roman"/>
          <w:sz w:val="20"/>
          <w:szCs w:val="20"/>
        </w:rPr>
        <w:t xml:space="preserve">: Acclimation and latitudinal variations among Indian populations. </w:t>
      </w:r>
      <w:r>
        <w:rPr>
          <w:rFonts w:ascii="Times New Roman" w:hAnsi="Times New Roman"/>
          <w:i/>
          <w:sz w:val="20"/>
          <w:szCs w:val="20"/>
        </w:rPr>
        <w:t>Journal of Thermal Biology</w:t>
      </w:r>
      <w:r>
        <w:rPr>
          <w:rFonts w:ascii="Times New Roman" w:hAnsi="Times New Roman"/>
          <w:sz w:val="20"/>
          <w:szCs w:val="20"/>
        </w:rPr>
        <w:t xml:space="preserve">, </w:t>
      </w:r>
      <w:r>
        <w:rPr>
          <w:rFonts w:ascii="Times New Roman" w:hAnsi="Times New Roman"/>
          <w:i/>
          <w:sz w:val="20"/>
          <w:szCs w:val="20"/>
        </w:rPr>
        <w:t>35</w:t>
      </w:r>
      <w:r>
        <w:rPr>
          <w:rFonts w:ascii="Times New Roman" w:hAnsi="Times New Roman"/>
          <w:sz w:val="20"/>
          <w:szCs w:val="20"/>
        </w:rPr>
        <w:t>(3), 117–124. https://doi.org/10.1016/j.jtherbio.2010.01.001</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Sisodia, S., &amp; Singh, B. N. (2012). Experimental Evidence for Nutrition Regulated Stress Resistance in </w:t>
      </w:r>
      <w:r>
        <w:rPr>
          <w:rFonts w:ascii="Times New Roman" w:hAnsi="Times New Roman"/>
          <w:i/>
          <w:iCs/>
          <w:sz w:val="20"/>
          <w:szCs w:val="20"/>
        </w:rPr>
        <w:t>Drosophila ananassae</w:t>
      </w:r>
      <w:r>
        <w:rPr>
          <w:rFonts w:ascii="Times New Roman" w:hAnsi="Times New Roman"/>
          <w:sz w:val="20"/>
          <w:szCs w:val="20"/>
        </w:rPr>
        <w:t xml:space="preserve">. </w:t>
      </w:r>
      <w:r>
        <w:rPr>
          <w:rFonts w:ascii="Times New Roman" w:hAnsi="Times New Roman"/>
          <w:i/>
          <w:sz w:val="20"/>
          <w:szCs w:val="20"/>
        </w:rPr>
        <w:t>PLoS ONE</w:t>
      </w:r>
      <w:r>
        <w:rPr>
          <w:rFonts w:ascii="Times New Roman" w:hAnsi="Times New Roman"/>
          <w:sz w:val="20"/>
          <w:szCs w:val="20"/>
        </w:rPr>
        <w:t xml:space="preserve">, </w:t>
      </w:r>
      <w:r>
        <w:rPr>
          <w:rFonts w:ascii="Times New Roman" w:hAnsi="Times New Roman"/>
          <w:i/>
          <w:sz w:val="20"/>
          <w:szCs w:val="20"/>
        </w:rPr>
        <w:t>7</w:t>
      </w:r>
      <w:r>
        <w:rPr>
          <w:rFonts w:ascii="Times New Roman" w:hAnsi="Times New Roman"/>
          <w:sz w:val="20"/>
          <w:szCs w:val="20"/>
        </w:rPr>
        <w:t>(10), e46131. https://doi.org/10.1371/journal.pone.0046131</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Snoeck, S., Kurlovs, A. H., Bajda, S., Feyereisen, R., Greenhalgh, R., Villacis-Perez, E., Kosterlitz, O., Dermauw, W., Clark, R. M., &amp; Van Leeuwen, T. (2019). High-resolution QTL mapping in Tetranychus urticae reveals acaricide-specific responses and common target-site resistance after selection by different METI-I acaricides. </w:t>
      </w:r>
      <w:r>
        <w:rPr>
          <w:rFonts w:ascii="Times New Roman" w:hAnsi="Times New Roman"/>
          <w:i/>
          <w:sz w:val="20"/>
          <w:szCs w:val="20"/>
        </w:rPr>
        <w:t>Insect Biochemistry and Molecular Biology</w:t>
      </w:r>
      <w:r>
        <w:rPr>
          <w:rFonts w:ascii="Times New Roman" w:hAnsi="Times New Roman"/>
          <w:sz w:val="20"/>
          <w:szCs w:val="20"/>
        </w:rPr>
        <w:t xml:space="preserve">, </w:t>
      </w:r>
      <w:r>
        <w:rPr>
          <w:rFonts w:ascii="Times New Roman" w:hAnsi="Times New Roman"/>
          <w:i/>
          <w:sz w:val="20"/>
          <w:szCs w:val="20"/>
        </w:rPr>
        <w:t>110</w:t>
      </w:r>
      <w:r>
        <w:rPr>
          <w:rFonts w:ascii="Times New Roman" w:hAnsi="Times New Roman"/>
          <w:sz w:val="20"/>
          <w:szCs w:val="20"/>
        </w:rPr>
        <w:t>, 19–33. https://doi.org/10.1016/j.ibmb.2019.04.011</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Strachan, L. A., Tarnowski-Garner, H. E., Marshall, K. E., &amp; Sinclair, B. J. (2011). The Evolution of Cold Tolerance in </w:t>
      </w:r>
      <w:r>
        <w:rPr>
          <w:rFonts w:ascii="Times New Roman" w:hAnsi="Times New Roman"/>
          <w:i/>
          <w:sz w:val="20"/>
          <w:szCs w:val="20"/>
        </w:rPr>
        <w:t>Drosophila</w:t>
      </w:r>
      <w:r>
        <w:rPr>
          <w:rFonts w:ascii="Times New Roman" w:hAnsi="Times New Roman"/>
          <w:sz w:val="20"/>
          <w:szCs w:val="20"/>
        </w:rPr>
        <w:t xml:space="preserve"> Larvae. </w:t>
      </w:r>
      <w:r>
        <w:rPr>
          <w:rFonts w:ascii="Times New Roman" w:hAnsi="Times New Roman"/>
          <w:i/>
          <w:sz w:val="20"/>
          <w:szCs w:val="20"/>
        </w:rPr>
        <w:t>Physiological and Biochemical Zoology</w:t>
      </w:r>
      <w:r>
        <w:rPr>
          <w:rFonts w:ascii="Times New Roman" w:hAnsi="Times New Roman"/>
          <w:sz w:val="20"/>
          <w:szCs w:val="20"/>
        </w:rPr>
        <w:t xml:space="preserve">, </w:t>
      </w:r>
      <w:r>
        <w:rPr>
          <w:rFonts w:ascii="Times New Roman" w:hAnsi="Times New Roman"/>
          <w:i/>
          <w:sz w:val="20"/>
          <w:szCs w:val="20"/>
        </w:rPr>
        <w:t>84</w:t>
      </w:r>
      <w:r>
        <w:rPr>
          <w:rFonts w:ascii="Times New Roman" w:hAnsi="Times New Roman"/>
          <w:sz w:val="20"/>
          <w:szCs w:val="20"/>
        </w:rPr>
        <w:t>(1), 43–53. https://doi.org/10.1086/657147</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Takagi, H., Abe, A., Yoshida, K., Kosugi, S., Natsume, S., Mitsuoka, C., Uemura, A., Utsushi, H., Tamiru, M., Takuno, S., Innan, H., Cano, L. M., Kamoun, S., &amp; Terauchi, R. (2013). </w:t>
      </w:r>
      <w:r>
        <w:rPr>
          <w:rFonts w:ascii="Times New Roman" w:hAnsi="Times New Roman"/>
          <w:smallCaps/>
          <w:sz w:val="20"/>
          <w:szCs w:val="20"/>
        </w:rPr>
        <w:t>QTL</w:t>
      </w:r>
      <w:r>
        <w:rPr>
          <w:rFonts w:ascii="Times New Roman" w:hAnsi="Times New Roman"/>
          <w:sz w:val="20"/>
          <w:szCs w:val="20"/>
        </w:rPr>
        <w:t xml:space="preserve"> ‐seq: rapid mapping of quantitative trait loci in rice by whole genome resequencing of </w:t>
      </w:r>
      <w:r>
        <w:rPr>
          <w:rFonts w:ascii="Times New Roman" w:hAnsi="Times New Roman"/>
          <w:smallCaps/>
          <w:sz w:val="20"/>
          <w:szCs w:val="20"/>
        </w:rPr>
        <w:t>DNA</w:t>
      </w:r>
      <w:r>
        <w:rPr>
          <w:rFonts w:ascii="Times New Roman" w:hAnsi="Times New Roman"/>
          <w:sz w:val="20"/>
          <w:szCs w:val="20"/>
        </w:rPr>
        <w:t xml:space="preserve"> from two bulked populations. </w:t>
      </w:r>
      <w:r>
        <w:rPr>
          <w:rFonts w:ascii="Times New Roman" w:hAnsi="Times New Roman"/>
          <w:i/>
          <w:sz w:val="20"/>
          <w:szCs w:val="20"/>
        </w:rPr>
        <w:t>The Plant Journal</w:t>
      </w:r>
      <w:r>
        <w:rPr>
          <w:rFonts w:ascii="Times New Roman" w:hAnsi="Times New Roman"/>
          <w:sz w:val="20"/>
          <w:szCs w:val="20"/>
        </w:rPr>
        <w:t xml:space="preserve">, </w:t>
      </w:r>
      <w:r>
        <w:rPr>
          <w:rFonts w:ascii="Times New Roman" w:hAnsi="Times New Roman"/>
          <w:i/>
          <w:sz w:val="20"/>
          <w:szCs w:val="20"/>
        </w:rPr>
        <w:t>74</w:t>
      </w:r>
      <w:r>
        <w:rPr>
          <w:rFonts w:ascii="Times New Roman" w:hAnsi="Times New Roman"/>
          <w:sz w:val="20"/>
          <w:szCs w:val="20"/>
        </w:rPr>
        <w:t>(1), 174–183. https://doi.org/10.1111/tpj.12105</w:t>
      </w:r>
      <w:r>
        <w:rPr>
          <w:rFonts w:ascii="Times New Roman" w:hAnsi="Times New Roman"/>
          <w:sz w:val="20"/>
          <w:szCs w:val="20"/>
        </w:rPr>
        <w:commentReference w:id="2"/>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Teets, N. M., &amp; Denlinger, D. L. (2013). Physiological mechanisms of seasonal and rapid cold‐hardening in insects. </w:t>
      </w:r>
      <w:r>
        <w:rPr>
          <w:rFonts w:ascii="Times New Roman" w:hAnsi="Times New Roman"/>
          <w:i/>
          <w:sz w:val="20"/>
          <w:szCs w:val="20"/>
        </w:rPr>
        <w:t>Physiological Entomology</w:t>
      </w:r>
      <w:r>
        <w:rPr>
          <w:rFonts w:ascii="Times New Roman" w:hAnsi="Times New Roman"/>
          <w:sz w:val="20"/>
          <w:szCs w:val="20"/>
        </w:rPr>
        <w:t xml:space="preserve">, </w:t>
      </w:r>
      <w:r>
        <w:rPr>
          <w:rFonts w:ascii="Times New Roman" w:hAnsi="Times New Roman"/>
          <w:i/>
          <w:sz w:val="20"/>
          <w:szCs w:val="20"/>
        </w:rPr>
        <w:t>38</w:t>
      </w:r>
      <w:r>
        <w:rPr>
          <w:rFonts w:ascii="Times New Roman" w:hAnsi="Times New Roman"/>
          <w:sz w:val="20"/>
          <w:szCs w:val="20"/>
        </w:rPr>
        <w:t>(2), 105–116. https://doi.org/10.1111/phen.12019</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Teets, N. M., Elnitsky, M. A., Benoit, J. B., Lopez-Martinez, G., Denlinger, D. L., &amp; Lee, R. E. (2008). Rapid cold-hardening in larvae of the Antarctic midge </w:t>
      </w:r>
      <w:r>
        <w:rPr>
          <w:rFonts w:ascii="Times New Roman" w:hAnsi="Times New Roman"/>
          <w:i/>
          <w:sz w:val="20"/>
          <w:szCs w:val="20"/>
        </w:rPr>
        <w:t>Belgica antarctica:</w:t>
      </w:r>
      <w:r>
        <w:rPr>
          <w:rFonts w:ascii="Times New Roman" w:hAnsi="Times New Roman"/>
          <w:sz w:val="20"/>
          <w:szCs w:val="20"/>
        </w:rPr>
        <w:t xml:space="preserve"> cellular cold-sensing and a role for calcium. </w:t>
      </w:r>
      <w:r>
        <w:rPr>
          <w:rFonts w:ascii="Times New Roman" w:hAnsi="Times New Roman"/>
          <w:i/>
          <w:sz w:val="20"/>
          <w:szCs w:val="20"/>
        </w:rPr>
        <w:t>American Journal of Physiology-Regulatory, Integrative and Comparative Physiology</w:t>
      </w:r>
      <w:r>
        <w:rPr>
          <w:rFonts w:ascii="Times New Roman" w:hAnsi="Times New Roman"/>
          <w:sz w:val="20"/>
          <w:szCs w:val="20"/>
        </w:rPr>
        <w:t xml:space="preserve">, </w:t>
      </w:r>
      <w:r>
        <w:rPr>
          <w:rFonts w:ascii="Times New Roman" w:hAnsi="Times New Roman"/>
          <w:i/>
          <w:sz w:val="20"/>
          <w:szCs w:val="20"/>
        </w:rPr>
        <w:t>294</w:t>
      </w:r>
      <w:r>
        <w:rPr>
          <w:rFonts w:ascii="Times New Roman" w:hAnsi="Times New Roman"/>
          <w:sz w:val="20"/>
          <w:szCs w:val="20"/>
        </w:rPr>
        <w:t>(6), R1938–R1946. https://doi.org/10.1152/ajpregu.00459.2007</w:t>
      </w:r>
    </w:p>
    <w:p>
      <w:pPr>
        <w:pStyle w:val="TextBody"/>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b w:val="false"/>
          <w:i w:val="false"/>
          <w:caps w:val="false"/>
          <w:smallCaps w:val="false"/>
          <w:sz w:val="18"/>
          <w:szCs w:val="20"/>
        </w:rPr>
        <w:t>Teets, N. M., Kawarasaki, Y., Lee, R. E., &amp; Denlinger, D. L. (2012). Energetic consequences of repeated and prolonged dehydration in the Antarctic midge, Belgica antarctica. </w:t>
      </w:r>
      <w:r>
        <w:rPr>
          <w:rFonts w:ascii="Times New Roman" w:hAnsi="Times New Roman"/>
          <w:b w:val="false"/>
          <w:i/>
          <w:caps w:val="false"/>
          <w:smallCaps w:val="false"/>
          <w:sz w:val="18"/>
          <w:szCs w:val="20"/>
        </w:rPr>
        <w:t>Journal of Insect Physiology</w:t>
      </w:r>
      <w:r>
        <w:rPr>
          <w:rFonts w:ascii="Times New Roman" w:hAnsi="Times New Roman"/>
          <w:b w:val="false"/>
          <w:i w:val="false"/>
          <w:caps w:val="false"/>
          <w:smallCaps w:val="false"/>
          <w:sz w:val="18"/>
          <w:szCs w:val="20"/>
        </w:rPr>
        <w:t>, </w:t>
      </w:r>
      <w:r>
        <w:rPr>
          <w:rFonts w:ascii="Times New Roman" w:hAnsi="Times New Roman"/>
          <w:b w:val="false"/>
          <w:i/>
          <w:caps w:val="false"/>
          <w:smallCaps w:val="false"/>
          <w:sz w:val="18"/>
          <w:szCs w:val="20"/>
        </w:rPr>
        <w:t>58</w:t>
      </w:r>
      <w:r>
        <w:rPr>
          <w:rFonts w:ascii="Times New Roman" w:hAnsi="Times New Roman"/>
          <w:b w:val="false"/>
          <w:i w:val="false"/>
          <w:caps w:val="false"/>
          <w:smallCaps w:val="false"/>
          <w:sz w:val="18"/>
          <w:szCs w:val="20"/>
        </w:rPr>
        <w:t>(4), 498–505. https://doi.org/10.1016/j.jinsphys.2011.11.011</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Tobari, Y. N. (ed.), </w:t>
      </w:r>
      <w:r>
        <w:rPr>
          <w:rFonts w:ascii="Times New Roman" w:hAnsi="Times New Roman"/>
          <w:i/>
          <w:iCs/>
          <w:sz w:val="20"/>
          <w:szCs w:val="20"/>
        </w:rPr>
        <w:t>Drosophila ananassae</w:t>
      </w:r>
      <w:r>
        <w:rPr>
          <w:rFonts w:ascii="Times New Roman" w:hAnsi="Times New Roman"/>
          <w:sz w:val="20"/>
          <w:szCs w:val="20"/>
        </w:rPr>
        <w:t xml:space="preserve"> - Genetical and Biological Aspects, Japan Scientific Societies Press, Tokyo, 1993.</w:t>
      </w:r>
    </w:p>
    <w:p>
      <w:pPr>
        <w:pStyle w:val="Normal"/>
        <w:bidi w:val="0"/>
        <w:spacing w:lineRule="auto" w:line="276" w:before="0" w:after="113"/>
        <w:ind w:left="425" w:right="0" w:hanging="425"/>
        <w:jc w:val="both"/>
        <w:rPr/>
      </w:pPr>
      <w:r>
        <w:rPr>
          <w:rFonts w:eastAsia="Times New Roman" w:cs="Times New Roman" w:ascii="Times New Roman" w:hAnsi="Times New Roman"/>
          <w:strike w:val="false"/>
          <w:dstrike w:val="false"/>
          <w:color w:val="000000"/>
          <w:spacing w:val="0"/>
          <w:kern w:val="0"/>
          <w:sz w:val="20"/>
          <w:szCs w:val="20"/>
          <w:u w:val="none"/>
          <w:effect w:val="none"/>
          <w:lang w:val="en-DE" w:eastAsia="en-US" w:bidi="ar-SA"/>
          <w14:ligatures w14:val="none"/>
        </w:rPr>
        <w:t xml:space="preserve">Volk, T. (1992). A new member of the spectrin superfamily may participate in the formation of embryonic muscle attachments in Drosophila.  Development 116(3): 721–730. </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 xml:space="preserve">Von Heckel, K., Stephan, W., &amp; Hutter, S. (2016). Canalization of gene expression is a major signature of regulatory cold adaptation in temperate </w:t>
      </w:r>
      <w:r>
        <w:rPr>
          <w:rFonts w:ascii="Times New Roman" w:hAnsi="Times New Roman"/>
          <w:i/>
          <w:iCs/>
          <w:sz w:val="20"/>
          <w:szCs w:val="20"/>
        </w:rPr>
        <w:t>Drosophila melanogaster</w:t>
      </w:r>
      <w:r>
        <w:rPr>
          <w:rFonts w:ascii="Times New Roman" w:hAnsi="Times New Roman"/>
          <w:sz w:val="20"/>
          <w:szCs w:val="20"/>
        </w:rPr>
        <w:t xml:space="preserve">. </w:t>
      </w:r>
      <w:r>
        <w:rPr>
          <w:rFonts w:ascii="Times New Roman" w:hAnsi="Times New Roman"/>
          <w:i/>
          <w:sz w:val="20"/>
          <w:szCs w:val="20"/>
        </w:rPr>
        <w:t>BMC Genomics</w:t>
      </w:r>
      <w:r>
        <w:rPr>
          <w:rFonts w:ascii="Times New Roman" w:hAnsi="Times New Roman"/>
          <w:sz w:val="20"/>
          <w:szCs w:val="20"/>
        </w:rPr>
        <w:t xml:space="preserve">, </w:t>
      </w:r>
      <w:r>
        <w:rPr>
          <w:rFonts w:ascii="Times New Roman" w:hAnsi="Times New Roman"/>
          <w:i/>
          <w:sz w:val="20"/>
          <w:szCs w:val="20"/>
        </w:rPr>
        <w:t>17</w:t>
      </w:r>
      <w:r>
        <w:rPr>
          <w:rFonts w:ascii="Times New Roman" w:hAnsi="Times New Roman"/>
          <w:sz w:val="20"/>
          <w:szCs w:val="20"/>
        </w:rPr>
        <w:t>(1), 574. https://doi.org/10.1186/s12864-016-2866-0</w:t>
      </w:r>
    </w:p>
    <w:p>
      <w:pPr>
        <w:pStyle w:val="Normal"/>
        <w:bidi w:val="0"/>
        <w:spacing w:lineRule="auto" w:line="276" w:before="0" w:after="113"/>
        <w:ind w:left="425" w:right="0" w:hanging="425"/>
        <w:jc w:val="both"/>
        <w:rPr>
          <w:rFonts w:ascii="Times New Roman" w:hAnsi="Times New Roman"/>
          <w:sz w:val="20"/>
          <w:szCs w:val="20"/>
        </w:rPr>
      </w:pPr>
      <w:r>
        <w:rPr>
          <w:rFonts w:ascii="Times New Roman" w:hAnsi="Times New Roman"/>
          <w:b w:val="false"/>
          <w:i w:val="false"/>
          <w:caps w:val="false"/>
          <w:smallCaps w:val="false"/>
          <w:sz w:val="20"/>
          <w:szCs w:val="20"/>
        </w:rPr>
        <w:t xml:space="preserve">Vos, R. A., Van Der Veen-van Wijk, C. A. M., Schranz, M. E., Vrieling, K., Klinkhamer, P. G. L., &amp; Lens, F. (2022). Refining bulk segregant analyses: ontology-mediated discovery of flowering time genes in Brassica oleracea. </w:t>
      </w:r>
      <w:r>
        <w:rPr>
          <w:rFonts w:ascii="Times New Roman" w:hAnsi="Times New Roman"/>
          <w:b w:val="false"/>
          <w:i/>
          <w:caps w:val="false"/>
          <w:smallCaps w:val="false"/>
          <w:sz w:val="20"/>
          <w:szCs w:val="20"/>
        </w:rPr>
        <w:t>Plant Methods</w:t>
      </w:r>
      <w:r>
        <w:rPr>
          <w:rFonts w:ascii="Times New Roman" w:hAnsi="Times New Roman"/>
          <w:b w:val="false"/>
          <w:i w:val="false"/>
          <w:caps w:val="false"/>
          <w:smallCaps w:val="false"/>
          <w:sz w:val="20"/>
          <w:szCs w:val="20"/>
        </w:rPr>
        <w:t xml:space="preserve">, </w:t>
      </w:r>
      <w:r>
        <w:rPr>
          <w:rFonts w:ascii="Times New Roman" w:hAnsi="Times New Roman"/>
          <w:b w:val="false"/>
          <w:i/>
          <w:caps w:val="false"/>
          <w:smallCaps w:val="false"/>
          <w:sz w:val="20"/>
          <w:szCs w:val="20"/>
        </w:rPr>
        <w:t>18</w:t>
      </w:r>
      <w:r>
        <w:rPr>
          <w:rFonts w:ascii="Times New Roman" w:hAnsi="Times New Roman"/>
          <w:b w:val="false"/>
          <w:i w:val="false"/>
          <w:caps w:val="false"/>
          <w:smallCaps w:val="false"/>
          <w:sz w:val="20"/>
          <w:szCs w:val="20"/>
        </w:rPr>
        <w:t>(1), 92. https://doi.org/10.1186/s13007-022-00921-y</w:t>
      </w:r>
    </w:p>
    <w:p>
      <w:pPr>
        <w:pStyle w:val="Normal"/>
        <w:tabs>
          <w:tab w:val="clear" w:pos="720"/>
        </w:tabs>
        <w:bidi w:val="0"/>
        <w:spacing w:lineRule="auto" w:line="276" w:before="0" w:after="113"/>
        <w:ind w:left="425" w:right="0" w:hanging="425"/>
        <w:jc w:val="both"/>
        <w:rPr>
          <w:rFonts w:ascii="Times New Roman" w:hAnsi="Times New Roman"/>
          <w:sz w:val="20"/>
          <w:szCs w:val="20"/>
        </w:rPr>
      </w:pPr>
      <w:r>
        <w:rPr>
          <w:rFonts w:ascii="Times New Roman" w:hAnsi="Times New Roman"/>
          <w:sz w:val="18"/>
          <w:szCs w:val="20"/>
        </w:rPr>
        <w:t>Wang, J., Gao, G., Zhang, R., Dai, L., &amp; Chen, H. (2017). Metabolism and cold tolerance of </w:t>
      </w:r>
      <w:r>
        <w:rPr>
          <w:rFonts w:ascii="Times New Roman" w:hAnsi="Times New Roman"/>
          <w:b w:val="false"/>
          <w:sz w:val="18"/>
          <w:szCs w:val="20"/>
        </w:rPr>
        <w:t>C</w:t>
      </w:r>
      <w:r>
        <w:rPr>
          <w:rFonts w:ascii="Times New Roman" w:hAnsi="Times New Roman"/>
          <w:sz w:val="18"/>
          <w:szCs w:val="20"/>
        </w:rPr>
        <w:t> hinese white pine beetle </w:t>
      </w:r>
      <w:r>
        <w:rPr>
          <w:rFonts w:ascii="Times New Roman" w:hAnsi="Times New Roman"/>
          <w:b w:val="false"/>
          <w:i/>
          <w:sz w:val="18"/>
          <w:szCs w:val="20"/>
        </w:rPr>
        <w:t>D</w:t>
      </w:r>
      <w:r>
        <w:rPr>
          <w:rFonts w:ascii="Times New Roman" w:hAnsi="Times New Roman"/>
          <w:i/>
          <w:sz w:val="18"/>
          <w:szCs w:val="20"/>
        </w:rPr>
        <w:t>endroctonus armandi </w:t>
      </w:r>
      <w:r>
        <w:rPr>
          <w:rFonts w:ascii="Times New Roman" w:hAnsi="Times New Roman"/>
          <w:sz w:val="18"/>
          <w:szCs w:val="20"/>
        </w:rPr>
        <w:t>( </w:t>
      </w:r>
      <w:r>
        <w:rPr>
          <w:rFonts w:ascii="Times New Roman" w:hAnsi="Times New Roman"/>
          <w:b w:val="false"/>
          <w:sz w:val="18"/>
          <w:szCs w:val="20"/>
        </w:rPr>
        <w:t>C</w:t>
      </w:r>
      <w:r>
        <w:rPr>
          <w:rFonts w:ascii="Times New Roman" w:hAnsi="Times New Roman"/>
          <w:sz w:val="18"/>
          <w:szCs w:val="20"/>
        </w:rPr>
        <w:t> oleoptera: </w:t>
      </w:r>
      <w:r>
        <w:rPr>
          <w:rFonts w:ascii="Times New Roman" w:hAnsi="Times New Roman"/>
          <w:b w:val="false"/>
          <w:sz w:val="18"/>
          <w:szCs w:val="20"/>
        </w:rPr>
        <w:t>C</w:t>
      </w:r>
      <w:r>
        <w:rPr>
          <w:rFonts w:ascii="Times New Roman" w:hAnsi="Times New Roman"/>
          <w:sz w:val="18"/>
          <w:szCs w:val="20"/>
        </w:rPr>
        <w:t> urculionidae: </w:t>
      </w:r>
      <w:r>
        <w:rPr>
          <w:rFonts w:ascii="Times New Roman" w:hAnsi="Times New Roman"/>
          <w:b w:val="false"/>
          <w:sz w:val="18"/>
          <w:szCs w:val="20"/>
        </w:rPr>
        <w:t>S</w:t>
      </w:r>
      <w:r>
        <w:rPr>
          <w:rFonts w:ascii="Times New Roman" w:hAnsi="Times New Roman"/>
          <w:sz w:val="18"/>
          <w:szCs w:val="20"/>
        </w:rPr>
        <w:t> colytinae) during the overwintering period. </w:t>
      </w:r>
      <w:r>
        <w:rPr>
          <w:rFonts w:ascii="Times New Roman" w:hAnsi="Times New Roman"/>
          <w:i/>
          <w:sz w:val="18"/>
          <w:szCs w:val="20"/>
        </w:rPr>
        <w:t>Agricultural and Forest Entomology</w:t>
      </w:r>
      <w:r>
        <w:rPr>
          <w:rFonts w:ascii="Times New Roman" w:hAnsi="Times New Roman"/>
          <w:sz w:val="18"/>
          <w:szCs w:val="20"/>
        </w:rPr>
        <w:t>, </w:t>
      </w:r>
      <w:r>
        <w:rPr>
          <w:rFonts w:ascii="Times New Roman" w:hAnsi="Times New Roman"/>
          <w:i/>
          <w:sz w:val="18"/>
          <w:szCs w:val="20"/>
        </w:rPr>
        <w:t>19</w:t>
      </w:r>
      <w:r>
        <w:rPr>
          <w:rFonts w:ascii="Times New Roman" w:hAnsi="Times New Roman"/>
          <w:sz w:val="18"/>
          <w:szCs w:val="20"/>
        </w:rPr>
        <w:t>(1), 10–22. https://doi.org/10.1111/afe.12176</w:t>
      </w:r>
    </w:p>
    <w:p>
      <w:pPr>
        <w:pStyle w:val="Normal"/>
        <w:bidi w:val="0"/>
        <w:spacing w:lineRule="auto" w:line="276" w:before="0" w:after="113"/>
        <w:ind w:left="425" w:right="0" w:hanging="425"/>
        <w:jc w:val="both"/>
        <w:rPr/>
      </w:pPr>
      <w:r>
        <w:rPr>
          <w:rStyle w:val="SourceText"/>
          <w:rFonts w:ascii="Times New Roman" w:hAnsi="Times New Roman"/>
          <w:sz w:val="20"/>
          <w:szCs w:val="20"/>
        </w:rPr>
        <w:t xml:space="preserve">Wu, T., Hu, E., Xu, S., Chen, M., Guo, P., Dai, Z., Feng, T., Zhou, L., Tang, W., Zhan, L., Fu, X., Liu, S., Bo, X., &amp; Yu, G. (2021). clusterProfiler 4.0: A universal enrichment tool for interpreting omics data. </w:t>
      </w:r>
      <w:r>
        <w:rPr>
          <w:rStyle w:val="SourceText"/>
          <w:rFonts w:ascii="Times New Roman" w:hAnsi="Times New Roman"/>
          <w:i/>
          <w:sz w:val="20"/>
          <w:szCs w:val="20"/>
        </w:rPr>
        <w:t>The Innovation</w:t>
      </w:r>
      <w:r>
        <w:rPr>
          <w:rStyle w:val="SourceText"/>
          <w:rFonts w:ascii="Times New Roman" w:hAnsi="Times New Roman"/>
          <w:sz w:val="20"/>
          <w:szCs w:val="20"/>
        </w:rPr>
        <w:t xml:space="preserve">, </w:t>
      </w:r>
      <w:r>
        <w:rPr>
          <w:rStyle w:val="SourceText"/>
          <w:rFonts w:ascii="Times New Roman" w:hAnsi="Times New Roman"/>
          <w:i/>
          <w:sz w:val="20"/>
          <w:szCs w:val="20"/>
        </w:rPr>
        <w:t>2</w:t>
      </w:r>
      <w:r>
        <w:rPr>
          <w:rStyle w:val="SourceText"/>
          <w:rFonts w:ascii="Times New Roman" w:hAnsi="Times New Roman"/>
          <w:sz w:val="20"/>
          <w:szCs w:val="20"/>
        </w:rPr>
        <w:t>(3), 100141. https://doi.org/10.1016/j.xinn.2021.100141</w:t>
      </w:r>
    </w:p>
    <w:p>
      <w:pPr>
        <w:pStyle w:val="Normal"/>
        <w:bidi w:val="0"/>
        <w:spacing w:lineRule="auto" w:line="276" w:before="0" w:after="113"/>
        <w:ind w:left="425" w:right="0" w:hanging="425"/>
        <w:jc w:val="both"/>
        <w:rPr/>
      </w:pPr>
      <w:r>
        <w:rPr>
          <w:rFonts w:ascii="Times New Roman" w:hAnsi="Times New Roman"/>
          <w:sz w:val="20"/>
          <w:szCs w:val="20"/>
        </w:rPr>
        <w:t xml:space="preserve">Wybouw, N., Kosterlitz, O., Kurlovs, A. H., Bajda, S., Greenhalgh, R., Snoeck, S., Bui, H., Bryon, A., Dermauw, W., Van Leeuwen, T., &amp; Clark, R. M. (2019). Long-Term Population Studies Uncover the Genome Structure and Genetic Basis of Xenobiotic and Host Plant Adaptation in the Herbivore </w:t>
      </w:r>
      <w:r>
        <w:rPr>
          <w:rFonts w:ascii="Times New Roman" w:hAnsi="Times New Roman"/>
          <w:i/>
          <w:sz w:val="20"/>
          <w:szCs w:val="20"/>
        </w:rPr>
        <w:t>Tetranychus urticae</w:t>
      </w:r>
      <w:r>
        <w:rPr>
          <w:rFonts w:ascii="Times New Roman" w:hAnsi="Times New Roman"/>
          <w:sz w:val="20"/>
          <w:szCs w:val="20"/>
        </w:rPr>
        <w:t xml:space="preserve">. </w:t>
      </w:r>
      <w:r>
        <w:rPr>
          <w:rFonts w:ascii="Times New Roman" w:hAnsi="Times New Roman"/>
          <w:i/>
          <w:sz w:val="20"/>
          <w:szCs w:val="20"/>
        </w:rPr>
        <w:t>Genetics</w:t>
      </w:r>
      <w:r>
        <w:rPr>
          <w:rFonts w:ascii="Times New Roman" w:hAnsi="Times New Roman"/>
          <w:sz w:val="20"/>
          <w:szCs w:val="20"/>
        </w:rPr>
        <w:t xml:space="preserve">, </w:t>
      </w:r>
      <w:r>
        <w:rPr>
          <w:rFonts w:ascii="Times New Roman" w:hAnsi="Times New Roman"/>
          <w:i/>
          <w:sz w:val="20"/>
          <w:szCs w:val="20"/>
        </w:rPr>
        <w:t>211</w:t>
      </w:r>
      <w:hyperlink r:id="rId2">
        <w:r>
          <w:rPr>
            <w:rFonts w:ascii="Times New Roman" w:hAnsi="Times New Roman"/>
            <w:sz w:val="20"/>
            <w:szCs w:val="20"/>
          </w:rPr>
          <w:t>(4), 1409–1427. https://doi.org/10.1534/genetics.118.301803</w:t>
        </w:r>
      </w:hyperlink>
    </w:p>
    <w:p>
      <w:pPr>
        <w:pStyle w:val="Normal"/>
        <w:spacing w:lineRule="auto" w:line="276" w:before="0" w:after="113"/>
        <w:ind w:left="425" w:right="0" w:hanging="425"/>
        <w:jc w:val="both"/>
        <w:rPr>
          <w:rFonts w:ascii="Times New Roman" w:hAnsi="Times New Roman"/>
          <w:sz w:val="20"/>
          <w:szCs w:val="20"/>
        </w:rPr>
      </w:pPr>
      <w:r>
        <w:rPr>
          <w:rFonts w:ascii="Times New Roman" w:hAnsi="Times New Roman"/>
          <w:sz w:val="20"/>
          <w:szCs w:val="20"/>
        </w:rPr>
        <w:t>Yılmaz, V. M., Bao, Z., &amp; Grath, S. (202</w:t>
      </w:r>
      <w:r>
        <w:rPr>
          <w:rFonts w:ascii="Times New Roman" w:hAnsi="Times New Roman"/>
          <w:sz w:val="20"/>
          <w:szCs w:val="20"/>
        </w:rPr>
        <w:t>5</w:t>
      </w:r>
      <w:r>
        <w:rPr>
          <w:rFonts w:ascii="Times New Roman" w:hAnsi="Times New Roman"/>
          <w:sz w:val="20"/>
          <w:szCs w:val="20"/>
        </w:rPr>
        <w:t xml:space="preserve">). Navigating the Cold: Integrative Transcriptome Sequencing Approach Reveals Ionoregulatory and Whole-Body Responses to Cold Acclimation in </w:t>
      </w:r>
      <w:r>
        <w:rPr>
          <w:rFonts w:ascii="Times New Roman" w:hAnsi="Times New Roman"/>
          <w:i/>
          <w:iCs/>
          <w:sz w:val="20"/>
          <w:szCs w:val="20"/>
        </w:rPr>
        <w:t>Drosophila ananassae</w:t>
      </w:r>
      <w:r>
        <w:rPr>
          <w:rFonts w:ascii="Times New Roman" w:hAnsi="Times New Roman"/>
          <w:sz w:val="20"/>
          <w:szCs w:val="20"/>
        </w:rPr>
        <w:t xml:space="preserve">. </w:t>
      </w:r>
      <w:r>
        <w:rPr>
          <w:rFonts w:ascii="Times New Roman" w:hAnsi="Times New Roman"/>
          <w:i/>
          <w:iCs/>
          <w:sz w:val="20"/>
          <w:szCs w:val="20"/>
        </w:rPr>
        <w:t xml:space="preserve">Accepted for publication in Genome Biology and Evolution, available on </w:t>
      </w:r>
      <w:r>
        <w:rPr>
          <w:rFonts w:ascii="Times New Roman" w:hAnsi="Times New Roman"/>
          <w:i/>
          <w:iCs/>
          <w:sz w:val="20"/>
          <w:szCs w:val="20"/>
        </w:rPr>
        <w:t xml:space="preserve">bioRxiv </w:t>
      </w:r>
      <w:r>
        <w:rPr>
          <w:rFonts w:ascii="Times New Roman" w:hAnsi="Times New Roman"/>
          <w:i/>
          <w:iCs/>
          <w:sz w:val="20"/>
          <w:szCs w:val="20"/>
        </w:rPr>
        <w:t xml:space="preserve">under </w:t>
      </w:r>
      <w:r>
        <w:rPr>
          <w:rFonts w:ascii="Times New Roman" w:hAnsi="Times New Roman"/>
          <w:i/>
          <w:iCs/>
          <w:sz w:val="20"/>
          <w:szCs w:val="20"/>
        </w:rPr>
        <w:t>doi: 10.1101/2024.07.18.604044</w:t>
      </w:r>
    </w:p>
    <w:p>
      <w:pPr>
        <w:pStyle w:val="Normal"/>
        <w:bidi w:val="0"/>
        <w:spacing w:lineRule="auto" w:line="276" w:before="0" w:after="113"/>
        <w:ind w:left="425" w:right="0" w:hanging="425"/>
        <w:jc w:val="both"/>
        <w:rPr>
          <w:sz w:val="20"/>
        </w:rPr>
      </w:pPr>
      <w:r>
        <w:rPr>
          <w:rFonts w:ascii="Times New Roman" w:hAnsi="Times New Roman"/>
          <w:sz w:val="20"/>
          <w:szCs w:val="20"/>
        </w:rPr>
        <w:t xml:space="preserve">Yılmaz, V. M., Ramnarine, T. J. S., Königer, A., Mussgnug, S., &amp; Grath, S. (2023). Tropical super flies: Integrating </w:t>
      </w:r>
      <w:r>
        <w:rPr>
          <w:rFonts w:ascii="Times New Roman" w:hAnsi="Times New Roman"/>
          <w:i/>
          <w:iCs/>
          <w:sz w:val="20"/>
          <w:szCs w:val="20"/>
        </w:rPr>
        <w:t>Cas9</w:t>
      </w:r>
      <w:r>
        <w:rPr>
          <w:rFonts w:ascii="Times New Roman" w:hAnsi="Times New Roman"/>
          <w:sz w:val="20"/>
          <w:szCs w:val="20"/>
        </w:rPr>
        <w:t xml:space="preserve"> into </w:t>
      </w:r>
      <w:r>
        <w:rPr>
          <w:rFonts w:ascii="Times New Roman" w:hAnsi="Times New Roman"/>
          <w:i/>
          <w:iCs/>
          <w:sz w:val="20"/>
          <w:szCs w:val="20"/>
        </w:rPr>
        <w:t>Drosophila ananassae</w:t>
      </w:r>
      <w:r>
        <w:rPr>
          <w:rFonts w:ascii="Times New Roman" w:hAnsi="Times New Roman"/>
          <w:sz w:val="20"/>
          <w:szCs w:val="20"/>
        </w:rPr>
        <w:t xml:space="preserve"> and its phenotypic effects. </w:t>
      </w:r>
      <w:r>
        <w:rPr>
          <w:rFonts w:ascii="Times New Roman" w:hAnsi="Times New Roman"/>
          <w:i/>
          <w:iCs/>
          <w:sz w:val="20"/>
          <w:szCs w:val="20"/>
        </w:rPr>
        <w:t>Journal of Insect Physiology</w:t>
      </w:r>
      <w:r>
        <w:rPr>
          <w:rFonts w:ascii="Times New Roman" w:hAnsi="Times New Roman"/>
          <w:sz w:val="20"/>
          <w:szCs w:val="20"/>
        </w:rPr>
        <w:t xml:space="preserve">, </w:t>
      </w:r>
      <w:r>
        <w:rPr>
          <w:rFonts w:ascii="Times New Roman" w:hAnsi="Times New Roman"/>
          <w:i/>
          <w:iCs/>
          <w:sz w:val="20"/>
          <w:szCs w:val="20"/>
        </w:rPr>
        <w:t>147</w:t>
      </w:r>
      <w:r>
        <w:rPr>
          <w:rFonts w:ascii="Times New Roman" w:hAnsi="Times New Roman"/>
          <w:sz w:val="20"/>
          <w:szCs w:val="20"/>
        </w:rPr>
        <w:t>, 104516. https://doi.org/10.1016/j.jinsphys.2023.104516</w:t>
      </w:r>
      <w:r>
        <w:br w:type="page"/>
      </w:r>
    </w:p>
    <w:p>
      <w:pPr>
        <w:pStyle w:val="Heading1"/>
        <w:spacing w:lineRule="auto" w:line="276"/>
        <w:jc w:val="center"/>
        <w:rPr>
          <w:b w:val="false"/>
          <w:b w:val="false"/>
          <w:bCs w:val="false"/>
        </w:rPr>
      </w:pPr>
      <w:r>
        <w:rPr>
          <w:b w:val="false"/>
          <w:bCs w:val="false"/>
        </w:rPr>
        <w:t>Figures</w:t>
      </w:r>
    </w:p>
    <w:p>
      <w:pPr>
        <w:pStyle w:val="Normal"/>
        <w:spacing w:lineRule="auto" w:line="276"/>
        <w:jc w:val="left"/>
        <w:rPr/>
      </w:pPr>
      <w:r>
        <w:rPr/>
      </w:r>
    </w:p>
    <w:p>
      <w:pPr>
        <w:pStyle w:val="Normal"/>
        <w:spacing w:lineRule="auto" w:line="276"/>
        <w:rPr/>
      </w:pPr>
      <w:r>
        <w:rPr/>
        <w:drawing>
          <wp:inline distT="0" distB="0" distL="0" distR="0">
            <wp:extent cx="5760085" cy="359981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tretch>
                      <a:fillRect/>
                    </a:stretch>
                  </pic:blipFill>
                  <pic:spPr bwMode="auto">
                    <a:xfrm>
                      <a:off x="0" y="0"/>
                      <a:ext cx="5760085" cy="3599815"/>
                    </a:xfrm>
                    <a:prstGeom prst="rect">
                      <a:avLst/>
                    </a:prstGeom>
                  </pic:spPr>
                </pic:pic>
              </a:graphicData>
            </a:graphic>
          </wp:inline>
        </w:drawing>
      </w:r>
    </w:p>
    <w:p>
      <w:pPr>
        <w:pStyle w:val="Caption1"/>
        <w:spacing w:lineRule="auto" w:line="276"/>
        <w:jc w:val="both"/>
        <w:rPr>
          <w:sz w:val="20"/>
          <w:szCs w:val="20"/>
        </w:rPr>
      </w:pPr>
      <w:r>
        <w:rPr>
          <w:b/>
          <w:bCs/>
          <w:sz w:val="20"/>
          <w:szCs w:val="20"/>
        </w:rPr>
        <w:t>Figure 1:</w:t>
      </w:r>
      <w:r>
        <w:rPr>
          <w:sz w:val="20"/>
          <w:szCs w:val="20"/>
        </w:rPr>
        <w:t xml:space="preserve"> Chill coma recovery time (in minutes) of iso-female and recombinant inbred lines in female (left panel) and male (right panel) flies. The colors indicate the origin of the iso-female lines: Bangkok (purple), Kathmandu (blue), recombinant inbred lines (green). The black dots indicate outliers. Thirty flies were tested per sex and strain in groups of ten.</w:t>
      </w:r>
      <w:r>
        <w:br w:type="page"/>
      </w:r>
    </w:p>
    <w:p>
      <w:pPr>
        <w:pStyle w:val="Normal"/>
        <w:spacing w:lineRule="auto" w:line="276"/>
        <w:rPr/>
      </w:pPr>
      <w:r>
        <w:rPr/>
        <w:drawing>
          <wp:inline distT="0" distB="0" distL="0" distR="0">
            <wp:extent cx="5760085" cy="359981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5760085" cy="3599815"/>
                    </a:xfrm>
                    <a:prstGeom prst="rect">
                      <a:avLst/>
                    </a:prstGeom>
                  </pic:spPr>
                </pic:pic>
              </a:graphicData>
            </a:graphic>
          </wp:inline>
        </w:drawing>
      </w:r>
    </w:p>
    <w:p>
      <w:pPr>
        <w:pStyle w:val="Caption1"/>
        <w:spacing w:lineRule="auto" w:line="276" w:before="0" w:after="113"/>
        <w:jc w:val="both"/>
        <w:rPr>
          <w:sz w:val="20"/>
          <w:szCs w:val="20"/>
        </w:rPr>
      </w:pPr>
      <w:r>
        <w:rPr>
          <w:b/>
          <w:bCs/>
          <w:sz w:val="20"/>
          <w:szCs w:val="20"/>
        </w:rPr>
        <w:t>Figure 2:</w:t>
      </w:r>
      <w:r>
        <w:rPr>
          <w:sz w:val="20"/>
          <w:szCs w:val="20"/>
        </w:rPr>
        <w:t xml:space="preserve"> Percent mortality of iso-female and recombinant inbred lines in female (left panel) and male (right panel) flies measured after 8h cold shock followed by 2h recovery. The colors indicate the origin of the iso-female lines: Bangkok (purple), Kathmandu (blue), recombinant inbred lines (green). The dots indicate mortality rate in three replicates.</w:t>
      </w:r>
      <w:r>
        <w:br w:type="page"/>
      </w:r>
    </w:p>
    <w:p>
      <w:pPr>
        <w:pStyle w:val="Normal"/>
        <w:spacing w:lineRule="auto" w:line="276"/>
        <w:rPr/>
      </w:pPr>
      <w:r>
        <w:rPr/>
        <mc:AlternateContent>
          <mc:Choice Requires="wpg">
            <w:drawing>
              <wp:anchor behindDoc="0" distT="0" distB="0" distL="0" distR="0" simplePos="0" locked="0" layoutInCell="1" allowOverlap="1" relativeHeight="2" wp14:anchorId="66290D86">
                <wp:simplePos x="0" y="0"/>
                <wp:positionH relativeFrom="column">
                  <wp:posOffset>0</wp:posOffset>
                </wp:positionH>
                <wp:positionV relativeFrom="paragraph">
                  <wp:posOffset>635</wp:posOffset>
                </wp:positionV>
                <wp:extent cx="441960" cy="4057650"/>
                <wp:effectExtent l="0" t="0" r="0" b="0"/>
                <wp:wrapNone/>
                <wp:docPr id="3" name="Group 3"/>
                <a:graphic xmlns:a="http://schemas.openxmlformats.org/drawingml/2006/main">
                  <a:graphicData uri="http://schemas.microsoft.com/office/word/2010/wordprocessingGroup">
                    <wpg:wgp>
                      <wpg:cNvGrpSpPr/>
                      <wpg:grpSpPr>
                        <a:xfrm>
                          <a:off x="0" y="0"/>
                          <a:ext cx="441360" cy="4056840"/>
                        </a:xfrm>
                      </wpg:grpSpPr>
                      <wps:wsp>
                        <wps:cNvSpPr/>
                        <wps:spPr>
                          <a:xfrm>
                            <a:off x="0" y="0"/>
                            <a:ext cx="441360" cy="252720"/>
                          </a:xfrm>
                          <a:prstGeom prst="rect">
                            <a:avLst/>
                          </a:prstGeom>
                          <a:noFill/>
                          <a:ln w="6480">
                            <a:noFill/>
                          </a:ln>
                        </wps:spPr>
                        <wps:style>
                          <a:lnRef idx="0"/>
                          <a:fillRef idx="0"/>
                          <a:effectRef idx="0"/>
                          <a:fontRef idx="minor"/>
                        </wps:style>
                        <wps:txbx>
                          <w:txbxContent>
                            <w:p>
                              <w:pPr>
                                <w:overflowPunct w:val="false"/>
                                <w:spacing w:before="0" w:after="0" w:lineRule="auto" w:line="240"/>
                                <w:jc w:val="left"/>
                                <w:rPr/>
                              </w:pPr>
                              <w:r>
                                <w:rPr>
                                  <w:kern w:val="2"/>
                                  <w:smallCaps w:val="false"/>
                                  <w:caps w:val="false"/>
                                  <w:iCs w:val="false"/>
                                  <w:bCs/>
                                  <w:szCs w:val="24"/>
                                  <w:spacing w:val="0"/>
                                  <w:vertAlign w:val="baseline"/>
                                  <w:position w:val="0"/>
                                  <w:sz w:val="24"/>
                                  <w:i w:val="false"/>
                                  <w:dstrike w:val="false"/>
                                  <w:strike w:val="false"/>
                                  <w:u w:val="none"/>
                                  <w:b/>
                                  <w:sz w:val="24"/>
                                  <w:rFonts w:cs="" w:eastAsia="Calibri" w:cstheme="minorBidi" w:eastAsiaTheme="minorHAnsi" w:ascii="Calibri" w:hAnsi="Calibri"/>
                                  <w:color w:val="000000"/>
                                  <w14:ligatures w14:val="standardContextual"/>
                                </w:rPr>
                                <w:t>a)</w:t>
                              </w:r>
                            </w:p>
                          </w:txbxContent>
                        </wps:txbx>
                        <wps:bodyPr lIns="90000" rIns="90000" tIns="45000" bIns="45000">
                          <a:noAutofit/>
                        </wps:bodyPr>
                      </wps:wsp>
                      <wps:wsp>
                        <wps:cNvSpPr/>
                        <wps:spPr>
                          <a:xfrm>
                            <a:off x="0" y="3769920"/>
                            <a:ext cx="440640" cy="286920"/>
                          </a:xfrm>
                          <a:prstGeom prst="rect">
                            <a:avLst/>
                          </a:prstGeom>
                          <a:noFill/>
                          <a:ln w="6480">
                            <a:noFill/>
                          </a:ln>
                        </wps:spPr>
                        <wps:style>
                          <a:lnRef idx="0"/>
                          <a:fillRef idx="0"/>
                          <a:effectRef idx="0"/>
                          <a:fontRef idx="minor"/>
                        </wps:style>
                        <wps:txbx>
                          <w:txbxContent>
                            <w:p>
                              <w:pPr>
                                <w:overflowPunct w:val="false"/>
                                <w:spacing w:before="0" w:after="0" w:lineRule="auto" w:line="240"/>
                                <w:jc w:val="left"/>
                                <w:rPr/>
                              </w:pPr>
                              <w:r>
                                <w:rPr>
                                  <w:kern w:val="2"/>
                                  <w:smallCaps w:val="false"/>
                                  <w:caps w:val="false"/>
                                  <w:iCs w:val="false"/>
                                  <w:bCs/>
                                  <w:szCs w:val="24"/>
                                  <w:spacing w:val="0"/>
                                  <w:vertAlign w:val="baseline"/>
                                  <w:position w:val="0"/>
                                  <w:sz w:val="24"/>
                                  <w:i w:val="false"/>
                                  <w:dstrike w:val="false"/>
                                  <w:strike w:val="false"/>
                                  <w:u w:val="none"/>
                                  <w:b/>
                                  <w:sz w:val="24"/>
                                  <w:rFonts w:cs="" w:eastAsia="Calibri" w:cstheme="minorBidi" w:eastAsiaTheme="minorHAnsi" w:ascii="Calibri" w:hAnsi="Calibri"/>
                                  <w:color w:val="000000"/>
                                  <w14:ligatures w14:val="standardContextual"/>
                                </w:rPr>
                                <w:t>b)</w:t>
                              </w:r>
                            </w:p>
                          </w:txbxContent>
                        </wps:txbx>
                        <wps:bodyPr lIns="90000" rIns="90000" tIns="45000" bIns="45000">
                          <a:noAutofit/>
                        </wps:bodyPr>
                      </wps:wsp>
                    </wpg:wgp>
                  </a:graphicData>
                </a:graphic>
              </wp:anchor>
            </w:drawing>
          </mc:Choice>
          <mc:Fallback>
            <w:pict>
              <v:group id="shape_0" alt="Group 3" style="position:absolute;margin-left:0pt;margin-top:0.05pt;width:34.75pt;height:319.45pt" coordorigin="0,1" coordsize="695,6389">
                <v:rect id="shape_0" stroked="f" style="position:absolute;left:0;top:1;width:694;height:397">
                  <v:textbox>
                    <w:txbxContent>
                      <w:p>
                        <w:pPr>
                          <w:overflowPunct w:val="false"/>
                          <w:spacing w:before="0" w:after="0" w:lineRule="auto" w:line="240"/>
                          <w:jc w:val="left"/>
                          <w:rPr/>
                        </w:pPr>
                        <w:r>
                          <w:rPr>
                            <w:kern w:val="2"/>
                            <w:smallCaps w:val="false"/>
                            <w:caps w:val="false"/>
                            <w:iCs w:val="false"/>
                            <w:bCs/>
                            <w:szCs w:val="24"/>
                            <w:spacing w:val="0"/>
                            <w:vertAlign w:val="baseline"/>
                            <w:position w:val="0"/>
                            <w:sz w:val="24"/>
                            <w:i w:val="false"/>
                            <w:dstrike w:val="false"/>
                            <w:strike w:val="false"/>
                            <w:u w:val="none"/>
                            <w:b/>
                            <w:sz w:val="24"/>
                            <w:rFonts w:cs="" w:eastAsia="Calibri" w:cstheme="minorBidi" w:eastAsiaTheme="minorHAnsi" w:ascii="Calibri" w:hAnsi="Calibri"/>
                            <w:color w:val="000000"/>
                            <w14:ligatures w14:val="standardContextual"/>
                          </w:rPr>
                          <w:t>a)</w:t>
                        </w:r>
                      </w:p>
                    </w:txbxContent>
                  </v:textbox>
                  <w10:wrap type="square"/>
                  <v:fill o:detectmouseclick="t" on="false"/>
                  <v:stroke color="#3465a4" weight="6480" joinstyle="round" endcap="flat"/>
                </v:rect>
                <v:rect id="shape_0" stroked="f" style="position:absolute;left:0;top:5938;width:693;height:451">
                  <v:textbox>
                    <w:txbxContent>
                      <w:p>
                        <w:pPr>
                          <w:overflowPunct w:val="false"/>
                          <w:spacing w:before="0" w:after="0" w:lineRule="auto" w:line="240"/>
                          <w:jc w:val="left"/>
                          <w:rPr/>
                        </w:pPr>
                        <w:r>
                          <w:rPr>
                            <w:kern w:val="2"/>
                            <w:smallCaps w:val="false"/>
                            <w:caps w:val="false"/>
                            <w:iCs w:val="false"/>
                            <w:bCs/>
                            <w:szCs w:val="24"/>
                            <w:spacing w:val="0"/>
                            <w:vertAlign w:val="baseline"/>
                            <w:position w:val="0"/>
                            <w:sz w:val="24"/>
                            <w:i w:val="false"/>
                            <w:dstrike w:val="false"/>
                            <w:strike w:val="false"/>
                            <w:u w:val="none"/>
                            <w:b/>
                            <w:sz w:val="24"/>
                            <w:rFonts w:cs="" w:eastAsia="Calibri" w:cstheme="minorBidi" w:eastAsiaTheme="minorHAnsi" w:ascii="Calibri" w:hAnsi="Calibri"/>
                            <w:color w:val="000000"/>
                            <w14:ligatures w14:val="standardContextual"/>
                          </w:rPr>
                          <w:t>b)</w:t>
                        </w:r>
                      </w:p>
                    </w:txbxContent>
                  </v:textbox>
                  <w10:wrap type="square"/>
                  <v:fill o:detectmouseclick="t" on="false"/>
                  <v:stroke color="#3465a4" weight="6480" joinstyle="round" endcap="flat"/>
                </v:rect>
              </v:group>
            </w:pict>
          </mc:Fallback>
        </mc:AlternateContent>
        <w:drawing>
          <wp:inline distT="0" distB="0" distL="0" distR="0">
            <wp:extent cx="5943600" cy="371475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943600" cy="3714750"/>
                    </a:xfrm>
                    <a:prstGeom prst="rect">
                      <a:avLst/>
                    </a:prstGeom>
                  </pic:spPr>
                </pic:pic>
              </a:graphicData>
            </a:graphic>
          </wp:inline>
        </w:drawing>
      </w:r>
    </w:p>
    <w:p>
      <w:pPr>
        <w:pStyle w:val="Normal"/>
        <w:spacing w:lineRule="auto" w:line="276"/>
        <w:rPr/>
      </w:pPr>
      <w:r>
        <w:rPr/>
        <w:drawing>
          <wp:inline distT="0" distB="0" distL="0" distR="0">
            <wp:extent cx="5943600" cy="371475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943600" cy="3714750"/>
                    </a:xfrm>
                    <a:prstGeom prst="rect">
                      <a:avLst/>
                    </a:prstGeom>
                  </pic:spPr>
                </pic:pic>
              </a:graphicData>
            </a:graphic>
          </wp:inline>
        </w:drawing>
      </w:r>
    </w:p>
    <w:p>
      <w:pPr>
        <w:pStyle w:val="Caption1"/>
        <w:spacing w:lineRule="auto" w:line="276" w:before="0" w:after="113"/>
        <w:jc w:val="both"/>
        <w:rPr>
          <w:sz w:val="20"/>
          <w:szCs w:val="20"/>
        </w:rPr>
      </w:pPr>
      <w:r>
        <w:rPr>
          <w:b/>
          <w:bCs/>
          <w:sz w:val="20"/>
          <w:szCs w:val="20"/>
        </w:rPr>
        <w:t>Figure 3:</w:t>
      </w:r>
      <w:r>
        <w:rPr>
          <w:sz w:val="20"/>
          <w:szCs w:val="20"/>
        </w:rPr>
        <w:t xml:space="preserve"> QTL-Seq analysis. </w:t>
      </w:r>
      <w:r>
        <w:rPr>
          <w:b/>
          <w:bCs/>
          <w:sz w:val="20"/>
          <w:szCs w:val="20"/>
        </w:rPr>
        <w:t>A)</w:t>
      </w:r>
      <w:r>
        <w:rPr>
          <w:sz w:val="20"/>
          <w:szCs w:val="20"/>
        </w:rPr>
        <w:t xml:space="preserve"> SNP density across genome within 1 Mb windows. </w:t>
      </w:r>
      <w:r>
        <w:rPr>
          <w:b/>
          <w:bCs/>
          <w:sz w:val="20"/>
          <w:szCs w:val="20"/>
        </w:rPr>
        <w:t>B)</w:t>
      </w:r>
      <w:r>
        <w:rPr>
          <w:sz w:val="20"/>
          <w:szCs w:val="20"/>
        </w:rPr>
        <w:t xml:space="preserve"> ∆SNP-index plot across the genome. Confidence intervals (CI) shown in grey (95%) and red (99%). Significant QTLs were determined using 99% CI.</w:t>
      </w:r>
    </w:p>
    <w:p>
      <w:pPr>
        <w:pStyle w:val="Normal"/>
        <w:spacing w:lineRule="auto" w:line="276"/>
        <w:rPr/>
      </w:pPr>
      <w:r>
        <w:rPr/>
        <w:drawing>
          <wp:inline distT="0" distB="0" distL="0" distR="0">
            <wp:extent cx="5943600" cy="3714750"/>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943600" cy="3714750"/>
                    </a:xfrm>
                    <a:prstGeom prst="rect">
                      <a:avLst/>
                    </a:prstGeom>
                  </pic:spPr>
                </pic:pic>
              </a:graphicData>
            </a:graphic>
          </wp:inline>
        </w:drawing>
      </w:r>
    </w:p>
    <w:p>
      <w:pPr>
        <w:pStyle w:val="Normal"/>
        <w:spacing w:lineRule="auto" w:line="276" w:before="0" w:after="113"/>
        <w:jc w:val="both"/>
        <w:rPr>
          <w:sz w:val="20"/>
          <w:szCs w:val="20"/>
        </w:rPr>
      </w:pPr>
      <w:r>
        <w:rPr>
          <w:b/>
          <w:bCs/>
          <w:sz w:val="20"/>
          <w:szCs w:val="20"/>
        </w:rPr>
        <w:t>Figure 4:</w:t>
      </w:r>
      <w:r>
        <w:rPr>
          <w:sz w:val="20"/>
          <w:szCs w:val="20"/>
        </w:rPr>
        <w:t xml:space="preserve"> Gene ontology enrichment analysis for genes within the significant QTL regions. Biological processes shown in red, cellular components shown in blue and molecular functions shown in yellow.</w:t>
      </w:r>
      <w:r>
        <w:br w:type="page"/>
      </w:r>
    </w:p>
    <w:p>
      <w:pPr>
        <w:pStyle w:val="Heading1"/>
        <w:spacing w:lineRule="auto" w:line="276" w:before="0" w:after="113"/>
        <w:rPr>
          <w:b w:val="false"/>
          <w:b w:val="false"/>
          <w:bCs w:val="false"/>
        </w:rPr>
      </w:pPr>
      <w:r>
        <w:rPr>
          <w:b w:val="false"/>
          <w:bCs w:val="false"/>
        </w:rPr>
        <w:t>Supplementary Tables</w:t>
      </w:r>
    </w:p>
    <w:p>
      <w:pPr>
        <w:pStyle w:val="Caption1"/>
        <w:spacing w:lineRule="auto" w:line="276" w:before="0" w:after="113"/>
        <w:rPr>
          <w:sz w:val="20"/>
          <w:szCs w:val="20"/>
        </w:rPr>
      </w:pPr>
      <w:r>
        <w:rPr>
          <w:b/>
          <w:bCs/>
          <w:sz w:val="20"/>
          <w:szCs w:val="20"/>
        </w:rPr>
        <w:t>Table S1:</w:t>
      </w:r>
      <w:r>
        <w:rPr>
          <w:sz w:val="20"/>
          <w:szCs w:val="20"/>
        </w:rPr>
        <w:t xml:space="preserve"> Mean chill coma recovery time (CCRT) and standard deviation of female and male flies of strains. RIL-founder strains are shown in red.</w:t>
      </w:r>
    </w:p>
    <w:tbl>
      <w:tblPr>
        <w:tblStyle w:val="TableGrid"/>
        <w:tblW w:w="9360" w:type="dxa"/>
        <w:jc w:val="center"/>
        <w:tblInd w:w="0" w:type="dxa"/>
        <w:tblCellMar>
          <w:top w:w="0" w:type="dxa"/>
          <w:left w:w="108" w:type="dxa"/>
          <w:bottom w:w="0" w:type="dxa"/>
          <w:right w:w="108" w:type="dxa"/>
        </w:tblCellMar>
        <w:tblLook w:val="04a0" w:noHBand="0" w:noVBand="1" w:firstColumn="1" w:lastRow="0" w:lastColumn="0" w:firstRow="1"/>
      </w:tblPr>
      <w:tblGrid>
        <w:gridCol w:w="1809"/>
        <w:gridCol w:w="1877"/>
        <w:gridCol w:w="1899"/>
        <w:gridCol w:w="1857"/>
        <w:gridCol w:w="1918"/>
      </w:tblGrid>
      <w:tr>
        <w:trPr/>
        <w:tc>
          <w:tcPr>
            <w:tcW w:w="1809" w:type="dxa"/>
            <w:vMerge w:val="restart"/>
            <w:tcBorders>
              <w:top w:val="nil"/>
              <w:left w:val="nil"/>
              <w:bottom w:val="nil"/>
              <w:right w:val="nil"/>
            </w:tcBorders>
            <w:vAlign w:val="bottom"/>
          </w:tcPr>
          <w:p>
            <w:pPr>
              <w:pStyle w:val="Normal"/>
              <w:spacing w:lineRule="auto" w:line="276"/>
              <w:rPr/>
            </w:pPr>
            <w:r>
              <w:rPr>
                <w:b/>
                <w:bCs/>
              </w:rPr>
              <w:t>Line</w:t>
            </w:r>
          </w:p>
        </w:tc>
        <w:tc>
          <w:tcPr>
            <w:tcW w:w="3776" w:type="dxa"/>
            <w:gridSpan w:val="2"/>
            <w:tcBorders>
              <w:top w:val="nil"/>
              <w:left w:val="nil"/>
              <w:bottom w:val="nil"/>
              <w:right w:val="nil"/>
            </w:tcBorders>
            <w:vAlign w:val="center"/>
          </w:tcPr>
          <w:p>
            <w:pPr>
              <w:pStyle w:val="Normal"/>
              <w:spacing w:lineRule="auto" w:line="276"/>
              <w:jc w:val="center"/>
              <w:rPr/>
            </w:pPr>
            <w:r>
              <w:rPr>
                <w:b/>
                <w:bCs/>
              </w:rPr>
              <w:t>Females</w:t>
            </w:r>
          </w:p>
        </w:tc>
        <w:tc>
          <w:tcPr>
            <w:tcW w:w="3775" w:type="dxa"/>
            <w:gridSpan w:val="2"/>
            <w:tcBorders>
              <w:top w:val="nil"/>
              <w:left w:val="nil"/>
              <w:bottom w:val="nil"/>
              <w:right w:val="nil"/>
            </w:tcBorders>
          </w:tcPr>
          <w:p>
            <w:pPr>
              <w:pStyle w:val="Normal"/>
              <w:spacing w:lineRule="auto" w:line="276"/>
              <w:jc w:val="center"/>
              <w:rPr/>
            </w:pPr>
            <w:r>
              <w:rPr>
                <w:b/>
                <w:bCs/>
              </w:rPr>
              <w:t>Males</w:t>
            </w:r>
          </w:p>
        </w:tc>
      </w:tr>
      <w:tr>
        <w:trPr/>
        <w:tc>
          <w:tcPr>
            <w:tcW w:w="1809" w:type="dxa"/>
            <w:vMerge w:val="continue"/>
            <w:tcBorders>
              <w:top w:val="nil"/>
              <w:left w:val="nil"/>
              <w:right w:val="nil"/>
            </w:tcBorders>
            <w:vAlign w:val="center"/>
          </w:tcPr>
          <w:p>
            <w:pPr>
              <w:pStyle w:val="Normal"/>
              <w:spacing w:lineRule="auto" w:line="276"/>
              <w:rPr>
                <w:b/>
                <w:b/>
                <w:bCs/>
              </w:rPr>
            </w:pPr>
            <w:r>
              <w:rPr>
                <w:b/>
                <w:bCs/>
              </w:rPr>
            </w:r>
          </w:p>
        </w:tc>
        <w:tc>
          <w:tcPr>
            <w:tcW w:w="1877" w:type="dxa"/>
            <w:tcBorders>
              <w:top w:val="nil"/>
              <w:left w:val="nil"/>
              <w:right w:val="nil"/>
            </w:tcBorders>
            <w:vAlign w:val="center"/>
          </w:tcPr>
          <w:p>
            <w:pPr>
              <w:pStyle w:val="Normal"/>
              <w:spacing w:lineRule="auto" w:line="276"/>
              <w:jc w:val="center"/>
              <w:rPr/>
            </w:pPr>
            <w:r>
              <w:rPr>
                <w:b/>
                <w:bCs/>
              </w:rPr>
              <w:t>Mean CCRT (min)</w:t>
            </w:r>
          </w:p>
        </w:tc>
        <w:tc>
          <w:tcPr>
            <w:tcW w:w="1899" w:type="dxa"/>
            <w:tcBorders>
              <w:top w:val="nil"/>
              <w:left w:val="nil"/>
              <w:right w:val="nil"/>
            </w:tcBorders>
          </w:tcPr>
          <w:p>
            <w:pPr>
              <w:pStyle w:val="Normal"/>
              <w:spacing w:lineRule="auto" w:line="276"/>
              <w:jc w:val="center"/>
              <w:rPr/>
            </w:pPr>
            <w:r>
              <w:rPr>
                <w:b/>
                <w:bCs/>
              </w:rPr>
              <w:t>St Dev</w:t>
            </w:r>
          </w:p>
        </w:tc>
        <w:tc>
          <w:tcPr>
            <w:tcW w:w="1857" w:type="dxa"/>
            <w:tcBorders>
              <w:top w:val="nil"/>
              <w:left w:val="nil"/>
              <w:right w:val="nil"/>
            </w:tcBorders>
          </w:tcPr>
          <w:p>
            <w:pPr>
              <w:pStyle w:val="Normal"/>
              <w:spacing w:lineRule="auto" w:line="276"/>
              <w:jc w:val="center"/>
              <w:rPr/>
            </w:pPr>
            <w:r>
              <w:rPr>
                <w:b/>
                <w:bCs/>
              </w:rPr>
              <w:t>Mean CCRT (min)</w:t>
            </w:r>
          </w:p>
        </w:tc>
        <w:tc>
          <w:tcPr>
            <w:tcW w:w="1918" w:type="dxa"/>
            <w:tcBorders>
              <w:top w:val="nil"/>
              <w:left w:val="nil"/>
              <w:right w:val="nil"/>
            </w:tcBorders>
            <w:vAlign w:val="center"/>
          </w:tcPr>
          <w:p>
            <w:pPr>
              <w:pStyle w:val="Normal"/>
              <w:spacing w:lineRule="auto" w:line="276"/>
              <w:jc w:val="center"/>
              <w:rPr/>
            </w:pPr>
            <w:r>
              <w:rPr>
                <w:b/>
                <w:bCs/>
              </w:rPr>
              <w:t>St Dev</w:t>
            </w:r>
          </w:p>
        </w:tc>
      </w:tr>
      <w:tr>
        <w:trPr/>
        <w:tc>
          <w:tcPr>
            <w:tcW w:w="1809" w:type="dxa"/>
            <w:tcBorders>
              <w:left w:val="nil"/>
              <w:bottom w:val="nil"/>
              <w:right w:val="nil"/>
            </w:tcBorders>
            <w:vAlign w:val="center"/>
          </w:tcPr>
          <w:p>
            <w:pPr>
              <w:pStyle w:val="Normal"/>
              <w:spacing w:lineRule="auto" w:line="276"/>
              <w:rPr/>
            </w:pPr>
            <w:r>
              <w:rPr>
                <w:color w:val="000000"/>
              </w:rPr>
              <w:t>BKK5</w:t>
            </w:r>
          </w:p>
        </w:tc>
        <w:tc>
          <w:tcPr>
            <w:tcW w:w="1877" w:type="dxa"/>
            <w:tcBorders>
              <w:left w:val="nil"/>
              <w:bottom w:val="nil"/>
              <w:right w:val="nil"/>
            </w:tcBorders>
            <w:vAlign w:val="center"/>
          </w:tcPr>
          <w:p>
            <w:pPr>
              <w:pStyle w:val="Normal"/>
              <w:spacing w:lineRule="auto" w:line="276"/>
              <w:jc w:val="center"/>
              <w:rPr/>
            </w:pPr>
            <w:r>
              <w:rPr>
                <w:color w:val="000000"/>
              </w:rPr>
              <w:t>41.68966</w:t>
            </w:r>
          </w:p>
        </w:tc>
        <w:tc>
          <w:tcPr>
            <w:tcW w:w="1899" w:type="dxa"/>
            <w:tcBorders>
              <w:left w:val="nil"/>
              <w:bottom w:val="nil"/>
              <w:right w:val="nil"/>
            </w:tcBorders>
            <w:vAlign w:val="center"/>
          </w:tcPr>
          <w:p>
            <w:pPr>
              <w:pStyle w:val="Normal"/>
              <w:spacing w:lineRule="auto" w:line="276"/>
              <w:jc w:val="center"/>
              <w:rPr/>
            </w:pPr>
            <w:r>
              <w:rPr>
                <w:color w:val="000000"/>
              </w:rPr>
              <w:t>21.118887</w:t>
            </w:r>
          </w:p>
        </w:tc>
        <w:tc>
          <w:tcPr>
            <w:tcW w:w="1857" w:type="dxa"/>
            <w:tcBorders>
              <w:left w:val="nil"/>
              <w:bottom w:val="nil"/>
              <w:right w:val="nil"/>
            </w:tcBorders>
            <w:vAlign w:val="center"/>
          </w:tcPr>
          <w:p>
            <w:pPr>
              <w:pStyle w:val="Normal"/>
              <w:spacing w:lineRule="auto" w:line="276"/>
              <w:jc w:val="center"/>
              <w:rPr/>
            </w:pPr>
            <w:r>
              <w:rPr>
                <w:color w:val="000000"/>
              </w:rPr>
              <w:t>47.03333</w:t>
            </w:r>
          </w:p>
        </w:tc>
        <w:tc>
          <w:tcPr>
            <w:tcW w:w="1918" w:type="dxa"/>
            <w:tcBorders>
              <w:left w:val="nil"/>
              <w:bottom w:val="nil"/>
              <w:right w:val="nil"/>
            </w:tcBorders>
            <w:vAlign w:val="center"/>
          </w:tcPr>
          <w:p>
            <w:pPr>
              <w:pStyle w:val="Normal"/>
              <w:spacing w:lineRule="auto" w:line="276"/>
              <w:jc w:val="center"/>
              <w:rPr/>
            </w:pPr>
            <w:r>
              <w:rPr>
                <w:color w:val="000000"/>
              </w:rPr>
              <w:t>18.659348</w:t>
            </w:r>
          </w:p>
        </w:tc>
      </w:tr>
      <w:tr>
        <w:trPr/>
        <w:tc>
          <w:tcPr>
            <w:tcW w:w="1809" w:type="dxa"/>
            <w:tcBorders>
              <w:top w:val="nil"/>
              <w:left w:val="nil"/>
              <w:bottom w:val="nil"/>
              <w:right w:val="nil"/>
            </w:tcBorders>
            <w:vAlign w:val="center"/>
          </w:tcPr>
          <w:p>
            <w:pPr>
              <w:pStyle w:val="Normal"/>
              <w:spacing w:lineRule="auto" w:line="276"/>
              <w:rPr/>
            </w:pPr>
            <w:r>
              <w:rPr>
                <w:color w:val="000000"/>
              </w:rPr>
              <w:t>BKK6</w:t>
            </w:r>
          </w:p>
        </w:tc>
        <w:tc>
          <w:tcPr>
            <w:tcW w:w="1877" w:type="dxa"/>
            <w:tcBorders>
              <w:top w:val="nil"/>
              <w:left w:val="nil"/>
              <w:bottom w:val="nil"/>
              <w:right w:val="nil"/>
            </w:tcBorders>
            <w:vAlign w:val="center"/>
          </w:tcPr>
          <w:p>
            <w:pPr>
              <w:pStyle w:val="Normal"/>
              <w:spacing w:lineRule="auto" w:line="276"/>
              <w:jc w:val="center"/>
              <w:rPr/>
            </w:pPr>
            <w:r>
              <w:rPr>
                <w:color w:val="000000"/>
              </w:rPr>
              <w:t>32.40000</w:t>
            </w:r>
          </w:p>
        </w:tc>
        <w:tc>
          <w:tcPr>
            <w:tcW w:w="1899" w:type="dxa"/>
            <w:tcBorders>
              <w:top w:val="nil"/>
              <w:left w:val="nil"/>
              <w:bottom w:val="nil"/>
              <w:right w:val="nil"/>
            </w:tcBorders>
            <w:vAlign w:val="center"/>
          </w:tcPr>
          <w:p>
            <w:pPr>
              <w:pStyle w:val="Normal"/>
              <w:spacing w:lineRule="auto" w:line="276"/>
              <w:jc w:val="center"/>
              <w:rPr/>
            </w:pPr>
            <w:r>
              <w:rPr>
                <w:color w:val="000000"/>
              </w:rPr>
              <w:t>25.685901</w:t>
            </w:r>
          </w:p>
        </w:tc>
        <w:tc>
          <w:tcPr>
            <w:tcW w:w="1857" w:type="dxa"/>
            <w:tcBorders>
              <w:top w:val="nil"/>
              <w:left w:val="nil"/>
              <w:bottom w:val="nil"/>
              <w:right w:val="nil"/>
            </w:tcBorders>
            <w:vAlign w:val="center"/>
          </w:tcPr>
          <w:p>
            <w:pPr>
              <w:pStyle w:val="Normal"/>
              <w:spacing w:lineRule="auto" w:line="276"/>
              <w:jc w:val="center"/>
              <w:rPr/>
            </w:pPr>
            <w:r>
              <w:rPr>
                <w:color w:val="000000"/>
              </w:rPr>
              <w:t>46.48276</w:t>
            </w:r>
          </w:p>
        </w:tc>
        <w:tc>
          <w:tcPr>
            <w:tcW w:w="1918" w:type="dxa"/>
            <w:tcBorders>
              <w:top w:val="nil"/>
              <w:left w:val="nil"/>
              <w:bottom w:val="nil"/>
              <w:right w:val="nil"/>
            </w:tcBorders>
            <w:vAlign w:val="center"/>
          </w:tcPr>
          <w:p>
            <w:pPr>
              <w:pStyle w:val="Normal"/>
              <w:spacing w:lineRule="auto" w:line="276"/>
              <w:jc w:val="center"/>
              <w:rPr/>
            </w:pPr>
            <w:r>
              <w:rPr>
                <w:color w:val="000000"/>
              </w:rPr>
              <w:t>17.072578</w:t>
            </w:r>
          </w:p>
        </w:tc>
      </w:tr>
      <w:tr>
        <w:trPr/>
        <w:tc>
          <w:tcPr>
            <w:tcW w:w="1809" w:type="dxa"/>
            <w:tcBorders>
              <w:top w:val="nil"/>
              <w:left w:val="nil"/>
              <w:bottom w:val="nil"/>
              <w:right w:val="nil"/>
            </w:tcBorders>
            <w:vAlign w:val="center"/>
          </w:tcPr>
          <w:p>
            <w:pPr>
              <w:pStyle w:val="Normal"/>
              <w:spacing w:lineRule="auto" w:line="276"/>
              <w:rPr/>
            </w:pPr>
            <w:r>
              <w:rPr>
                <w:color w:val="000000"/>
              </w:rPr>
              <w:t>BKK10</w:t>
            </w:r>
          </w:p>
        </w:tc>
        <w:tc>
          <w:tcPr>
            <w:tcW w:w="1877" w:type="dxa"/>
            <w:tcBorders>
              <w:top w:val="nil"/>
              <w:left w:val="nil"/>
              <w:bottom w:val="nil"/>
              <w:right w:val="nil"/>
            </w:tcBorders>
            <w:vAlign w:val="center"/>
          </w:tcPr>
          <w:p>
            <w:pPr>
              <w:pStyle w:val="Normal"/>
              <w:spacing w:lineRule="auto" w:line="276"/>
              <w:jc w:val="center"/>
              <w:rPr/>
            </w:pPr>
            <w:r>
              <w:rPr>
                <w:color w:val="000000"/>
              </w:rPr>
              <w:t>43.36667</w:t>
            </w:r>
          </w:p>
        </w:tc>
        <w:tc>
          <w:tcPr>
            <w:tcW w:w="1899" w:type="dxa"/>
            <w:tcBorders>
              <w:top w:val="nil"/>
              <w:left w:val="nil"/>
              <w:bottom w:val="nil"/>
              <w:right w:val="nil"/>
            </w:tcBorders>
            <w:vAlign w:val="center"/>
          </w:tcPr>
          <w:p>
            <w:pPr>
              <w:pStyle w:val="Normal"/>
              <w:spacing w:lineRule="auto" w:line="276"/>
              <w:jc w:val="center"/>
              <w:rPr/>
            </w:pPr>
            <w:r>
              <w:rPr>
                <w:color w:val="000000"/>
              </w:rPr>
              <w:t>13.329985</w:t>
            </w:r>
          </w:p>
        </w:tc>
        <w:tc>
          <w:tcPr>
            <w:tcW w:w="1857" w:type="dxa"/>
            <w:tcBorders>
              <w:top w:val="nil"/>
              <w:left w:val="nil"/>
              <w:bottom w:val="nil"/>
              <w:right w:val="nil"/>
            </w:tcBorders>
            <w:vAlign w:val="center"/>
          </w:tcPr>
          <w:p>
            <w:pPr>
              <w:pStyle w:val="Normal"/>
              <w:spacing w:lineRule="auto" w:line="276"/>
              <w:jc w:val="center"/>
              <w:rPr/>
            </w:pPr>
            <w:r>
              <w:rPr>
                <w:color w:val="000000"/>
              </w:rPr>
              <w:t>34.20000</w:t>
            </w:r>
          </w:p>
        </w:tc>
        <w:tc>
          <w:tcPr>
            <w:tcW w:w="1918" w:type="dxa"/>
            <w:tcBorders>
              <w:top w:val="nil"/>
              <w:left w:val="nil"/>
              <w:bottom w:val="nil"/>
              <w:right w:val="nil"/>
            </w:tcBorders>
            <w:vAlign w:val="center"/>
          </w:tcPr>
          <w:p>
            <w:pPr>
              <w:pStyle w:val="Normal"/>
              <w:spacing w:lineRule="auto" w:line="276"/>
              <w:jc w:val="center"/>
              <w:rPr/>
            </w:pPr>
            <w:r>
              <w:rPr>
                <w:color w:val="000000"/>
              </w:rPr>
              <w:t>8.331080</w:t>
            </w:r>
          </w:p>
        </w:tc>
      </w:tr>
      <w:tr>
        <w:trPr/>
        <w:tc>
          <w:tcPr>
            <w:tcW w:w="1809" w:type="dxa"/>
            <w:tcBorders>
              <w:top w:val="nil"/>
              <w:left w:val="nil"/>
              <w:bottom w:val="nil"/>
              <w:right w:val="nil"/>
            </w:tcBorders>
            <w:vAlign w:val="center"/>
          </w:tcPr>
          <w:p>
            <w:pPr>
              <w:pStyle w:val="Normal"/>
              <w:spacing w:lineRule="auto" w:line="276"/>
              <w:rPr/>
            </w:pPr>
            <w:r>
              <w:rPr>
                <w:color w:val="FF0000"/>
              </w:rPr>
              <w:t>BKK12</w:t>
            </w:r>
          </w:p>
        </w:tc>
        <w:tc>
          <w:tcPr>
            <w:tcW w:w="1877" w:type="dxa"/>
            <w:tcBorders>
              <w:top w:val="nil"/>
              <w:left w:val="nil"/>
              <w:bottom w:val="nil"/>
              <w:right w:val="nil"/>
            </w:tcBorders>
            <w:vAlign w:val="center"/>
          </w:tcPr>
          <w:p>
            <w:pPr>
              <w:pStyle w:val="Normal"/>
              <w:spacing w:lineRule="auto" w:line="276"/>
              <w:jc w:val="center"/>
              <w:rPr/>
            </w:pPr>
            <w:r>
              <w:rPr>
                <w:color w:val="FF0000"/>
              </w:rPr>
              <w:t>47.36667</w:t>
            </w:r>
          </w:p>
        </w:tc>
        <w:tc>
          <w:tcPr>
            <w:tcW w:w="1899" w:type="dxa"/>
            <w:tcBorders>
              <w:top w:val="nil"/>
              <w:left w:val="nil"/>
              <w:bottom w:val="nil"/>
              <w:right w:val="nil"/>
            </w:tcBorders>
            <w:vAlign w:val="center"/>
          </w:tcPr>
          <w:p>
            <w:pPr>
              <w:pStyle w:val="Normal"/>
              <w:spacing w:lineRule="auto" w:line="276"/>
              <w:jc w:val="center"/>
              <w:rPr/>
            </w:pPr>
            <w:r>
              <w:rPr>
                <w:color w:val="FF0000"/>
              </w:rPr>
              <w:t>13.110889</w:t>
            </w:r>
          </w:p>
        </w:tc>
        <w:tc>
          <w:tcPr>
            <w:tcW w:w="1857" w:type="dxa"/>
            <w:tcBorders>
              <w:top w:val="nil"/>
              <w:left w:val="nil"/>
              <w:bottom w:val="nil"/>
              <w:right w:val="nil"/>
            </w:tcBorders>
            <w:vAlign w:val="center"/>
          </w:tcPr>
          <w:p>
            <w:pPr>
              <w:pStyle w:val="Normal"/>
              <w:spacing w:lineRule="auto" w:line="276"/>
              <w:jc w:val="center"/>
              <w:rPr/>
            </w:pPr>
            <w:r>
              <w:rPr>
                <w:color w:val="FF0000"/>
              </w:rPr>
              <w:t>47.13333</w:t>
            </w:r>
          </w:p>
        </w:tc>
        <w:tc>
          <w:tcPr>
            <w:tcW w:w="1918" w:type="dxa"/>
            <w:tcBorders>
              <w:top w:val="nil"/>
              <w:left w:val="nil"/>
              <w:bottom w:val="nil"/>
              <w:right w:val="nil"/>
            </w:tcBorders>
            <w:vAlign w:val="center"/>
          </w:tcPr>
          <w:p>
            <w:pPr>
              <w:pStyle w:val="Normal"/>
              <w:spacing w:lineRule="auto" w:line="276"/>
              <w:jc w:val="center"/>
              <w:rPr/>
            </w:pPr>
            <w:r>
              <w:rPr>
                <w:color w:val="FF0000"/>
              </w:rPr>
              <w:t>12.681057</w:t>
            </w:r>
          </w:p>
        </w:tc>
      </w:tr>
      <w:tr>
        <w:trPr/>
        <w:tc>
          <w:tcPr>
            <w:tcW w:w="1809" w:type="dxa"/>
            <w:tcBorders>
              <w:top w:val="nil"/>
              <w:left w:val="nil"/>
              <w:bottom w:val="nil"/>
              <w:right w:val="nil"/>
            </w:tcBorders>
            <w:vAlign w:val="center"/>
          </w:tcPr>
          <w:p>
            <w:pPr>
              <w:pStyle w:val="Normal"/>
              <w:spacing w:lineRule="auto" w:line="276"/>
              <w:rPr/>
            </w:pPr>
            <w:r>
              <w:rPr>
                <w:color w:val="FF0000"/>
              </w:rPr>
              <w:t>BKK13</w:t>
            </w:r>
          </w:p>
        </w:tc>
        <w:tc>
          <w:tcPr>
            <w:tcW w:w="1877" w:type="dxa"/>
            <w:tcBorders>
              <w:top w:val="nil"/>
              <w:left w:val="nil"/>
              <w:bottom w:val="nil"/>
              <w:right w:val="nil"/>
            </w:tcBorders>
            <w:vAlign w:val="center"/>
          </w:tcPr>
          <w:p>
            <w:pPr>
              <w:pStyle w:val="Normal"/>
              <w:spacing w:lineRule="auto" w:line="276"/>
              <w:jc w:val="center"/>
              <w:rPr/>
            </w:pPr>
            <w:r>
              <w:rPr>
                <w:color w:val="FF0000"/>
              </w:rPr>
              <w:t>77.63333</w:t>
            </w:r>
          </w:p>
        </w:tc>
        <w:tc>
          <w:tcPr>
            <w:tcW w:w="1899" w:type="dxa"/>
            <w:tcBorders>
              <w:top w:val="nil"/>
              <w:left w:val="nil"/>
              <w:bottom w:val="nil"/>
              <w:right w:val="nil"/>
            </w:tcBorders>
            <w:vAlign w:val="center"/>
          </w:tcPr>
          <w:p>
            <w:pPr>
              <w:pStyle w:val="Normal"/>
              <w:spacing w:lineRule="auto" w:line="276"/>
              <w:jc w:val="center"/>
              <w:rPr/>
            </w:pPr>
            <w:r>
              <w:rPr>
                <w:color w:val="FF0000"/>
              </w:rPr>
              <w:t>13.327398</w:t>
            </w:r>
          </w:p>
        </w:tc>
        <w:tc>
          <w:tcPr>
            <w:tcW w:w="1857" w:type="dxa"/>
            <w:tcBorders>
              <w:top w:val="nil"/>
              <w:left w:val="nil"/>
              <w:bottom w:val="nil"/>
              <w:right w:val="nil"/>
            </w:tcBorders>
            <w:vAlign w:val="center"/>
          </w:tcPr>
          <w:p>
            <w:pPr>
              <w:pStyle w:val="Normal"/>
              <w:spacing w:lineRule="auto" w:line="276"/>
              <w:jc w:val="center"/>
              <w:rPr/>
            </w:pPr>
            <w:r>
              <w:rPr>
                <w:color w:val="FF0000"/>
              </w:rPr>
              <w:t>66.20000</w:t>
            </w:r>
          </w:p>
        </w:tc>
        <w:tc>
          <w:tcPr>
            <w:tcW w:w="1918" w:type="dxa"/>
            <w:tcBorders>
              <w:top w:val="nil"/>
              <w:left w:val="nil"/>
              <w:bottom w:val="nil"/>
              <w:right w:val="nil"/>
            </w:tcBorders>
            <w:vAlign w:val="center"/>
          </w:tcPr>
          <w:p>
            <w:pPr>
              <w:pStyle w:val="Normal"/>
              <w:spacing w:lineRule="auto" w:line="276"/>
              <w:jc w:val="center"/>
              <w:rPr/>
            </w:pPr>
            <w:r>
              <w:rPr>
                <w:color w:val="FF0000"/>
              </w:rPr>
              <w:t>16.922542</w:t>
            </w:r>
          </w:p>
        </w:tc>
      </w:tr>
      <w:tr>
        <w:trPr/>
        <w:tc>
          <w:tcPr>
            <w:tcW w:w="1809" w:type="dxa"/>
            <w:tcBorders>
              <w:top w:val="nil"/>
              <w:left w:val="nil"/>
              <w:bottom w:val="nil"/>
              <w:right w:val="nil"/>
            </w:tcBorders>
            <w:vAlign w:val="center"/>
          </w:tcPr>
          <w:p>
            <w:pPr>
              <w:pStyle w:val="Normal"/>
              <w:spacing w:lineRule="auto" w:line="276"/>
              <w:rPr/>
            </w:pPr>
            <w:r>
              <w:rPr>
                <w:color w:val="000000"/>
              </w:rPr>
              <w:t>BKK16</w:t>
            </w:r>
          </w:p>
        </w:tc>
        <w:tc>
          <w:tcPr>
            <w:tcW w:w="1877" w:type="dxa"/>
            <w:tcBorders>
              <w:top w:val="nil"/>
              <w:left w:val="nil"/>
              <w:bottom w:val="nil"/>
              <w:right w:val="nil"/>
            </w:tcBorders>
            <w:vAlign w:val="center"/>
          </w:tcPr>
          <w:p>
            <w:pPr>
              <w:pStyle w:val="Normal"/>
              <w:spacing w:lineRule="auto" w:line="276"/>
              <w:jc w:val="center"/>
              <w:rPr/>
            </w:pPr>
            <w:r>
              <w:rPr>
                <w:color w:val="000000"/>
              </w:rPr>
              <w:t>66.06667</w:t>
            </w:r>
          </w:p>
        </w:tc>
        <w:tc>
          <w:tcPr>
            <w:tcW w:w="1899" w:type="dxa"/>
            <w:tcBorders>
              <w:top w:val="nil"/>
              <w:left w:val="nil"/>
              <w:bottom w:val="nil"/>
              <w:right w:val="nil"/>
            </w:tcBorders>
            <w:vAlign w:val="center"/>
          </w:tcPr>
          <w:p>
            <w:pPr>
              <w:pStyle w:val="Normal"/>
              <w:spacing w:lineRule="auto" w:line="276"/>
              <w:jc w:val="center"/>
              <w:rPr/>
            </w:pPr>
            <w:r>
              <w:rPr>
                <w:color w:val="000000"/>
              </w:rPr>
              <w:t>23.094907</w:t>
            </w:r>
          </w:p>
        </w:tc>
        <w:tc>
          <w:tcPr>
            <w:tcW w:w="1857" w:type="dxa"/>
            <w:tcBorders>
              <w:top w:val="nil"/>
              <w:left w:val="nil"/>
              <w:bottom w:val="nil"/>
              <w:right w:val="nil"/>
            </w:tcBorders>
            <w:vAlign w:val="center"/>
          </w:tcPr>
          <w:p>
            <w:pPr>
              <w:pStyle w:val="Normal"/>
              <w:spacing w:lineRule="auto" w:line="276"/>
              <w:jc w:val="center"/>
              <w:rPr/>
            </w:pPr>
            <w:r>
              <w:rPr>
                <w:color w:val="000000"/>
              </w:rPr>
              <w:t>61.41379</w:t>
            </w:r>
          </w:p>
        </w:tc>
        <w:tc>
          <w:tcPr>
            <w:tcW w:w="1918" w:type="dxa"/>
            <w:tcBorders>
              <w:top w:val="nil"/>
              <w:left w:val="nil"/>
              <w:bottom w:val="nil"/>
              <w:right w:val="nil"/>
            </w:tcBorders>
            <w:vAlign w:val="center"/>
          </w:tcPr>
          <w:p>
            <w:pPr>
              <w:pStyle w:val="Normal"/>
              <w:spacing w:lineRule="auto" w:line="276"/>
              <w:jc w:val="center"/>
              <w:rPr/>
            </w:pPr>
            <w:r>
              <w:rPr>
                <w:color w:val="000000"/>
              </w:rPr>
              <w:t>18.298160</w:t>
            </w:r>
          </w:p>
        </w:tc>
      </w:tr>
      <w:tr>
        <w:trPr/>
        <w:tc>
          <w:tcPr>
            <w:tcW w:w="1809" w:type="dxa"/>
            <w:tcBorders>
              <w:top w:val="nil"/>
              <w:left w:val="nil"/>
              <w:bottom w:val="nil"/>
              <w:right w:val="nil"/>
            </w:tcBorders>
            <w:vAlign w:val="center"/>
          </w:tcPr>
          <w:p>
            <w:pPr>
              <w:pStyle w:val="Normal"/>
              <w:spacing w:lineRule="auto" w:line="276"/>
              <w:rPr/>
            </w:pPr>
            <w:r>
              <w:rPr>
                <w:color w:val="000000"/>
              </w:rPr>
              <w:t>BKK17</w:t>
            </w:r>
          </w:p>
        </w:tc>
        <w:tc>
          <w:tcPr>
            <w:tcW w:w="1877" w:type="dxa"/>
            <w:tcBorders>
              <w:top w:val="nil"/>
              <w:left w:val="nil"/>
              <w:bottom w:val="nil"/>
              <w:right w:val="nil"/>
            </w:tcBorders>
            <w:vAlign w:val="center"/>
          </w:tcPr>
          <w:p>
            <w:pPr>
              <w:pStyle w:val="Normal"/>
              <w:spacing w:lineRule="auto" w:line="276"/>
              <w:jc w:val="center"/>
              <w:rPr/>
            </w:pPr>
            <w:r>
              <w:rPr>
                <w:color w:val="000000"/>
              </w:rPr>
              <w:t>61.33333</w:t>
            </w:r>
          </w:p>
        </w:tc>
        <w:tc>
          <w:tcPr>
            <w:tcW w:w="1899" w:type="dxa"/>
            <w:tcBorders>
              <w:top w:val="nil"/>
              <w:left w:val="nil"/>
              <w:bottom w:val="nil"/>
              <w:right w:val="nil"/>
            </w:tcBorders>
            <w:vAlign w:val="center"/>
          </w:tcPr>
          <w:p>
            <w:pPr>
              <w:pStyle w:val="Normal"/>
              <w:spacing w:lineRule="auto" w:line="276"/>
              <w:jc w:val="center"/>
              <w:rPr/>
            </w:pPr>
            <w:r>
              <w:rPr>
                <w:color w:val="000000"/>
              </w:rPr>
              <w:t>19.740267</w:t>
            </w:r>
          </w:p>
        </w:tc>
        <w:tc>
          <w:tcPr>
            <w:tcW w:w="1857" w:type="dxa"/>
            <w:tcBorders>
              <w:top w:val="nil"/>
              <w:left w:val="nil"/>
              <w:bottom w:val="nil"/>
              <w:right w:val="nil"/>
            </w:tcBorders>
            <w:vAlign w:val="center"/>
          </w:tcPr>
          <w:p>
            <w:pPr>
              <w:pStyle w:val="Normal"/>
              <w:spacing w:lineRule="auto" w:line="276"/>
              <w:jc w:val="center"/>
              <w:rPr/>
            </w:pPr>
            <w:r>
              <w:rPr>
                <w:color w:val="000000"/>
              </w:rPr>
              <w:t>60.06667</w:t>
            </w:r>
          </w:p>
        </w:tc>
        <w:tc>
          <w:tcPr>
            <w:tcW w:w="1918" w:type="dxa"/>
            <w:tcBorders>
              <w:top w:val="nil"/>
              <w:left w:val="nil"/>
              <w:bottom w:val="nil"/>
              <w:right w:val="nil"/>
            </w:tcBorders>
            <w:vAlign w:val="center"/>
          </w:tcPr>
          <w:p>
            <w:pPr>
              <w:pStyle w:val="Normal"/>
              <w:spacing w:lineRule="auto" w:line="276"/>
              <w:jc w:val="center"/>
              <w:rPr/>
            </w:pPr>
            <w:r>
              <w:rPr>
                <w:color w:val="000000"/>
              </w:rPr>
              <w:t>19.351438</w:t>
            </w:r>
          </w:p>
        </w:tc>
      </w:tr>
      <w:tr>
        <w:trPr/>
        <w:tc>
          <w:tcPr>
            <w:tcW w:w="1809" w:type="dxa"/>
            <w:tcBorders>
              <w:top w:val="nil"/>
              <w:left w:val="nil"/>
              <w:bottom w:val="nil"/>
              <w:right w:val="nil"/>
            </w:tcBorders>
            <w:vAlign w:val="center"/>
          </w:tcPr>
          <w:p>
            <w:pPr>
              <w:pStyle w:val="Normal"/>
              <w:spacing w:lineRule="auto" w:line="276"/>
              <w:rPr/>
            </w:pPr>
            <w:r>
              <w:rPr>
                <w:color w:val="000000"/>
              </w:rPr>
              <w:t>BKK18</w:t>
            </w:r>
          </w:p>
        </w:tc>
        <w:tc>
          <w:tcPr>
            <w:tcW w:w="1877" w:type="dxa"/>
            <w:tcBorders>
              <w:top w:val="nil"/>
              <w:left w:val="nil"/>
              <w:bottom w:val="nil"/>
              <w:right w:val="nil"/>
            </w:tcBorders>
            <w:vAlign w:val="center"/>
          </w:tcPr>
          <w:p>
            <w:pPr>
              <w:pStyle w:val="Normal"/>
              <w:spacing w:lineRule="auto" w:line="276"/>
              <w:jc w:val="center"/>
              <w:rPr/>
            </w:pPr>
            <w:r>
              <w:rPr>
                <w:color w:val="000000"/>
              </w:rPr>
              <w:t>49.56667</w:t>
            </w:r>
          </w:p>
        </w:tc>
        <w:tc>
          <w:tcPr>
            <w:tcW w:w="1899" w:type="dxa"/>
            <w:tcBorders>
              <w:top w:val="nil"/>
              <w:left w:val="nil"/>
              <w:bottom w:val="nil"/>
              <w:right w:val="nil"/>
            </w:tcBorders>
            <w:vAlign w:val="center"/>
          </w:tcPr>
          <w:p>
            <w:pPr>
              <w:pStyle w:val="Normal"/>
              <w:spacing w:lineRule="auto" w:line="276"/>
              <w:jc w:val="center"/>
              <w:rPr/>
            </w:pPr>
            <w:r>
              <w:rPr>
                <w:color w:val="000000"/>
              </w:rPr>
              <w:t>24.012473</w:t>
            </w:r>
          </w:p>
        </w:tc>
        <w:tc>
          <w:tcPr>
            <w:tcW w:w="1857" w:type="dxa"/>
            <w:tcBorders>
              <w:top w:val="nil"/>
              <w:left w:val="nil"/>
              <w:bottom w:val="nil"/>
              <w:right w:val="nil"/>
            </w:tcBorders>
            <w:vAlign w:val="center"/>
          </w:tcPr>
          <w:p>
            <w:pPr>
              <w:pStyle w:val="Normal"/>
              <w:spacing w:lineRule="auto" w:line="276"/>
              <w:jc w:val="center"/>
              <w:rPr/>
            </w:pPr>
            <w:r>
              <w:rPr>
                <w:color w:val="000000"/>
              </w:rPr>
              <w:t>45.93333</w:t>
            </w:r>
          </w:p>
        </w:tc>
        <w:tc>
          <w:tcPr>
            <w:tcW w:w="1918" w:type="dxa"/>
            <w:tcBorders>
              <w:top w:val="nil"/>
              <w:left w:val="nil"/>
              <w:bottom w:val="nil"/>
              <w:right w:val="nil"/>
            </w:tcBorders>
            <w:vAlign w:val="center"/>
          </w:tcPr>
          <w:p>
            <w:pPr>
              <w:pStyle w:val="Normal"/>
              <w:spacing w:lineRule="auto" w:line="276"/>
              <w:jc w:val="center"/>
              <w:rPr/>
            </w:pPr>
            <w:r>
              <w:rPr>
                <w:color w:val="000000"/>
              </w:rPr>
              <w:t>19.692346</w:t>
            </w:r>
          </w:p>
        </w:tc>
      </w:tr>
      <w:tr>
        <w:trPr/>
        <w:tc>
          <w:tcPr>
            <w:tcW w:w="1809" w:type="dxa"/>
            <w:tcBorders>
              <w:top w:val="nil"/>
              <w:left w:val="nil"/>
              <w:bottom w:val="nil"/>
              <w:right w:val="nil"/>
            </w:tcBorders>
            <w:vAlign w:val="center"/>
          </w:tcPr>
          <w:p>
            <w:pPr>
              <w:pStyle w:val="Normal"/>
              <w:spacing w:lineRule="auto" w:line="276"/>
              <w:rPr/>
            </w:pPr>
            <w:r>
              <w:rPr>
                <w:color w:val="000000"/>
              </w:rPr>
              <w:t>KATH14</w:t>
            </w:r>
          </w:p>
        </w:tc>
        <w:tc>
          <w:tcPr>
            <w:tcW w:w="1877" w:type="dxa"/>
            <w:tcBorders>
              <w:top w:val="nil"/>
              <w:left w:val="nil"/>
              <w:bottom w:val="nil"/>
              <w:right w:val="nil"/>
            </w:tcBorders>
            <w:vAlign w:val="center"/>
          </w:tcPr>
          <w:p>
            <w:pPr>
              <w:pStyle w:val="Normal"/>
              <w:spacing w:lineRule="auto" w:line="276"/>
              <w:jc w:val="center"/>
              <w:rPr/>
            </w:pPr>
            <w:r>
              <w:rPr>
                <w:color w:val="000000"/>
              </w:rPr>
              <w:t>47.46667</w:t>
            </w:r>
          </w:p>
        </w:tc>
        <w:tc>
          <w:tcPr>
            <w:tcW w:w="1899" w:type="dxa"/>
            <w:tcBorders>
              <w:top w:val="nil"/>
              <w:left w:val="nil"/>
              <w:bottom w:val="nil"/>
              <w:right w:val="nil"/>
            </w:tcBorders>
            <w:vAlign w:val="center"/>
          </w:tcPr>
          <w:p>
            <w:pPr>
              <w:pStyle w:val="Normal"/>
              <w:spacing w:lineRule="auto" w:line="276"/>
              <w:jc w:val="center"/>
              <w:rPr/>
            </w:pPr>
            <w:r>
              <w:rPr>
                <w:color w:val="000000"/>
              </w:rPr>
              <w:t>8.923944</w:t>
            </w:r>
          </w:p>
        </w:tc>
        <w:tc>
          <w:tcPr>
            <w:tcW w:w="1857" w:type="dxa"/>
            <w:tcBorders>
              <w:top w:val="nil"/>
              <w:left w:val="nil"/>
              <w:bottom w:val="nil"/>
              <w:right w:val="nil"/>
            </w:tcBorders>
            <w:vAlign w:val="center"/>
          </w:tcPr>
          <w:p>
            <w:pPr>
              <w:pStyle w:val="Normal"/>
              <w:spacing w:lineRule="auto" w:line="276"/>
              <w:jc w:val="center"/>
              <w:rPr/>
            </w:pPr>
            <w:r>
              <w:rPr>
                <w:color w:val="000000"/>
              </w:rPr>
              <w:t>46.73333</w:t>
            </w:r>
          </w:p>
        </w:tc>
        <w:tc>
          <w:tcPr>
            <w:tcW w:w="1918" w:type="dxa"/>
            <w:tcBorders>
              <w:top w:val="nil"/>
              <w:left w:val="nil"/>
              <w:bottom w:val="nil"/>
              <w:right w:val="nil"/>
            </w:tcBorders>
            <w:vAlign w:val="center"/>
          </w:tcPr>
          <w:p>
            <w:pPr>
              <w:pStyle w:val="Normal"/>
              <w:spacing w:lineRule="auto" w:line="276"/>
              <w:jc w:val="center"/>
              <w:rPr/>
            </w:pPr>
            <w:r>
              <w:rPr>
                <w:color w:val="000000"/>
              </w:rPr>
              <w:t>14.342926</w:t>
            </w:r>
          </w:p>
        </w:tc>
      </w:tr>
      <w:tr>
        <w:trPr/>
        <w:tc>
          <w:tcPr>
            <w:tcW w:w="1809" w:type="dxa"/>
            <w:tcBorders>
              <w:top w:val="nil"/>
              <w:left w:val="nil"/>
              <w:bottom w:val="nil"/>
              <w:right w:val="nil"/>
            </w:tcBorders>
            <w:vAlign w:val="center"/>
          </w:tcPr>
          <w:p>
            <w:pPr>
              <w:pStyle w:val="Normal"/>
              <w:spacing w:lineRule="auto" w:line="276"/>
              <w:rPr/>
            </w:pPr>
            <w:r>
              <w:rPr>
                <w:color w:val="000000"/>
              </w:rPr>
              <w:t>KATH19</w:t>
            </w:r>
          </w:p>
        </w:tc>
        <w:tc>
          <w:tcPr>
            <w:tcW w:w="1877" w:type="dxa"/>
            <w:tcBorders>
              <w:top w:val="nil"/>
              <w:left w:val="nil"/>
              <w:bottom w:val="nil"/>
              <w:right w:val="nil"/>
            </w:tcBorders>
            <w:vAlign w:val="center"/>
          </w:tcPr>
          <w:p>
            <w:pPr>
              <w:pStyle w:val="Normal"/>
              <w:spacing w:lineRule="auto" w:line="276"/>
              <w:jc w:val="center"/>
              <w:rPr/>
            </w:pPr>
            <w:r>
              <w:rPr>
                <w:color w:val="000000"/>
              </w:rPr>
              <w:t>60.93333</w:t>
            </w:r>
          </w:p>
        </w:tc>
        <w:tc>
          <w:tcPr>
            <w:tcW w:w="1899" w:type="dxa"/>
            <w:tcBorders>
              <w:top w:val="nil"/>
              <w:left w:val="nil"/>
              <w:bottom w:val="nil"/>
              <w:right w:val="nil"/>
            </w:tcBorders>
            <w:vAlign w:val="center"/>
          </w:tcPr>
          <w:p>
            <w:pPr>
              <w:pStyle w:val="Normal"/>
              <w:spacing w:lineRule="auto" w:line="276"/>
              <w:jc w:val="center"/>
              <w:rPr/>
            </w:pPr>
            <w:r>
              <w:rPr>
                <w:color w:val="000000"/>
              </w:rPr>
              <w:t>10.136766</w:t>
            </w:r>
          </w:p>
        </w:tc>
        <w:tc>
          <w:tcPr>
            <w:tcW w:w="1857" w:type="dxa"/>
            <w:tcBorders>
              <w:top w:val="nil"/>
              <w:left w:val="nil"/>
              <w:bottom w:val="nil"/>
              <w:right w:val="nil"/>
            </w:tcBorders>
            <w:vAlign w:val="center"/>
          </w:tcPr>
          <w:p>
            <w:pPr>
              <w:pStyle w:val="Normal"/>
              <w:spacing w:lineRule="auto" w:line="276"/>
              <w:jc w:val="center"/>
              <w:rPr/>
            </w:pPr>
            <w:r>
              <w:rPr>
                <w:color w:val="000000"/>
              </w:rPr>
              <w:t>65.66667</w:t>
            </w:r>
          </w:p>
        </w:tc>
        <w:tc>
          <w:tcPr>
            <w:tcW w:w="1918" w:type="dxa"/>
            <w:tcBorders>
              <w:top w:val="nil"/>
              <w:left w:val="nil"/>
              <w:bottom w:val="nil"/>
              <w:right w:val="nil"/>
            </w:tcBorders>
            <w:vAlign w:val="center"/>
          </w:tcPr>
          <w:p>
            <w:pPr>
              <w:pStyle w:val="Normal"/>
              <w:spacing w:lineRule="auto" w:line="276"/>
              <w:jc w:val="center"/>
              <w:rPr/>
            </w:pPr>
            <w:r>
              <w:rPr>
                <w:color w:val="000000"/>
              </w:rPr>
              <w:t>8.856454</w:t>
            </w:r>
          </w:p>
        </w:tc>
      </w:tr>
      <w:tr>
        <w:trPr/>
        <w:tc>
          <w:tcPr>
            <w:tcW w:w="1809" w:type="dxa"/>
            <w:tcBorders>
              <w:top w:val="nil"/>
              <w:left w:val="nil"/>
              <w:bottom w:val="nil"/>
              <w:right w:val="nil"/>
            </w:tcBorders>
            <w:vAlign w:val="center"/>
          </w:tcPr>
          <w:p>
            <w:pPr>
              <w:pStyle w:val="Normal"/>
              <w:spacing w:lineRule="auto" w:line="276"/>
              <w:rPr/>
            </w:pPr>
            <w:r>
              <w:rPr>
                <w:color w:val="000000"/>
              </w:rPr>
              <w:t>KATH23</w:t>
            </w:r>
          </w:p>
        </w:tc>
        <w:tc>
          <w:tcPr>
            <w:tcW w:w="1877" w:type="dxa"/>
            <w:tcBorders>
              <w:top w:val="nil"/>
              <w:left w:val="nil"/>
              <w:bottom w:val="nil"/>
              <w:right w:val="nil"/>
            </w:tcBorders>
            <w:vAlign w:val="center"/>
          </w:tcPr>
          <w:p>
            <w:pPr>
              <w:pStyle w:val="Normal"/>
              <w:spacing w:lineRule="auto" w:line="276"/>
              <w:jc w:val="center"/>
              <w:rPr/>
            </w:pPr>
            <w:r>
              <w:rPr>
                <w:color w:val="000000"/>
              </w:rPr>
              <w:t>60.33333</w:t>
            </w:r>
          </w:p>
        </w:tc>
        <w:tc>
          <w:tcPr>
            <w:tcW w:w="1899" w:type="dxa"/>
            <w:tcBorders>
              <w:top w:val="nil"/>
              <w:left w:val="nil"/>
              <w:bottom w:val="nil"/>
              <w:right w:val="nil"/>
            </w:tcBorders>
            <w:vAlign w:val="center"/>
          </w:tcPr>
          <w:p>
            <w:pPr>
              <w:pStyle w:val="Normal"/>
              <w:spacing w:lineRule="auto" w:line="276"/>
              <w:jc w:val="center"/>
              <w:rPr/>
            </w:pPr>
            <w:r>
              <w:rPr>
                <w:color w:val="000000"/>
              </w:rPr>
              <w:t>11.117967</w:t>
            </w:r>
          </w:p>
        </w:tc>
        <w:tc>
          <w:tcPr>
            <w:tcW w:w="1857" w:type="dxa"/>
            <w:tcBorders>
              <w:top w:val="nil"/>
              <w:left w:val="nil"/>
              <w:bottom w:val="nil"/>
              <w:right w:val="nil"/>
            </w:tcBorders>
            <w:vAlign w:val="center"/>
          </w:tcPr>
          <w:p>
            <w:pPr>
              <w:pStyle w:val="Normal"/>
              <w:spacing w:lineRule="auto" w:line="276"/>
              <w:jc w:val="center"/>
              <w:rPr/>
            </w:pPr>
            <w:r>
              <w:rPr>
                <w:color w:val="000000"/>
              </w:rPr>
              <w:t>50.70000</w:t>
            </w:r>
          </w:p>
        </w:tc>
        <w:tc>
          <w:tcPr>
            <w:tcW w:w="1918" w:type="dxa"/>
            <w:tcBorders>
              <w:top w:val="nil"/>
              <w:left w:val="nil"/>
              <w:bottom w:val="nil"/>
              <w:right w:val="nil"/>
            </w:tcBorders>
            <w:vAlign w:val="center"/>
          </w:tcPr>
          <w:p>
            <w:pPr>
              <w:pStyle w:val="Normal"/>
              <w:spacing w:lineRule="auto" w:line="276"/>
              <w:jc w:val="center"/>
              <w:rPr/>
            </w:pPr>
            <w:r>
              <w:rPr>
                <w:color w:val="000000"/>
              </w:rPr>
              <w:t>15.170639</w:t>
            </w:r>
          </w:p>
        </w:tc>
      </w:tr>
      <w:tr>
        <w:trPr/>
        <w:tc>
          <w:tcPr>
            <w:tcW w:w="1809" w:type="dxa"/>
            <w:tcBorders>
              <w:top w:val="nil"/>
              <w:left w:val="nil"/>
              <w:bottom w:val="nil"/>
              <w:right w:val="nil"/>
            </w:tcBorders>
            <w:vAlign w:val="center"/>
          </w:tcPr>
          <w:p>
            <w:pPr>
              <w:pStyle w:val="Normal"/>
              <w:spacing w:lineRule="auto" w:line="276"/>
              <w:rPr/>
            </w:pPr>
            <w:r>
              <w:rPr>
                <w:color w:val="000000"/>
              </w:rPr>
              <w:t>RIL7</w:t>
            </w:r>
          </w:p>
        </w:tc>
        <w:tc>
          <w:tcPr>
            <w:tcW w:w="1877" w:type="dxa"/>
            <w:tcBorders>
              <w:top w:val="nil"/>
              <w:left w:val="nil"/>
              <w:bottom w:val="nil"/>
              <w:right w:val="nil"/>
            </w:tcBorders>
            <w:vAlign w:val="center"/>
          </w:tcPr>
          <w:p>
            <w:pPr>
              <w:pStyle w:val="Normal"/>
              <w:spacing w:lineRule="auto" w:line="276"/>
              <w:jc w:val="center"/>
              <w:rPr/>
            </w:pPr>
            <w:r>
              <w:rPr>
                <w:color w:val="000000"/>
              </w:rPr>
              <w:t>61.03333</w:t>
            </w:r>
          </w:p>
        </w:tc>
        <w:tc>
          <w:tcPr>
            <w:tcW w:w="1899" w:type="dxa"/>
            <w:tcBorders>
              <w:top w:val="nil"/>
              <w:left w:val="nil"/>
              <w:bottom w:val="nil"/>
              <w:right w:val="nil"/>
            </w:tcBorders>
            <w:vAlign w:val="center"/>
          </w:tcPr>
          <w:p>
            <w:pPr>
              <w:pStyle w:val="Normal"/>
              <w:spacing w:lineRule="auto" w:line="276"/>
              <w:jc w:val="center"/>
              <w:rPr/>
            </w:pPr>
            <w:r>
              <w:rPr>
                <w:color w:val="000000"/>
              </w:rPr>
              <w:t>19.336375</w:t>
            </w:r>
          </w:p>
        </w:tc>
        <w:tc>
          <w:tcPr>
            <w:tcW w:w="1857" w:type="dxa"/>
            <w:tcBorders>
              <w:top w:val="nil"/>
              <w:left w:val="nil"/>
              <w:bottom w:val="nil"/>
              <w:right w:val="nil"/>
            </w:tcBorders>
            <w:vAlign w:val="center"/>
          </w:tcPr>
          <w:p>
            <w:pPr>
              <w:pStyle w:val="Normal"/>
              <w:spacing w:lineRule="auto" w:line="276"/>
              <w:jc w:val="center"/>
              <w:rPr/>
            </w:pPr>
            <w:r>
              <w:rPr>
                <w:color w:val="000000"/>
              </w:rPr>
              <w:t>54.50000</w:t>
            </w:r>
          </w:p>
        </w:tc>
        <w:tc>
          <w:tcPr>
            <w:tcW w:w="1918" w:type="dxa"/>
            <w:tcBorders>
              <w:top w:val="nil"/>
              <w:left w:val="nil"/>
              <w:bottom w:val="nil"/>
              <w:right w:val="nil"/>
            </w:tcBorders>
            <w:vAlign w:val="center"/>
          </w:tcPr>
          <w:p>
            <w:pPr>
              <w:pStyle w:val="Normal"/>
              <w:spacing w:lineRule="auto" w:line="276"/>
              <w:jc w:val="center"/>
              <w:rPr/>
            </w:pPr>
            <w:r>
              <w:rPr>
                <w:color w:val="000000"/>
              </w:rPr>
              <w:t>15.440096</w:t>
            </w:r>
          </w:p>
        </w:tc>
      </w:tr>
      <w:tr>
        <w:trPr/>
        <w:tc>
          <w:tcPr>
            <w:tcW w:w="1809" w:type="dxa"/>
            <w:tcBorders>
              <w:top w:val="nil"/>
              <w:left w:val="nil"/>
              <w:bottom w:val="nil"/>
              <w:right w:val="nil"/>
            </w:tcBorders>
            <w:vAlign w:val="center"/>
          </w:tcPr>
          <w:p>
            <w:pPr>
              <w:pStyle w:val="Normal"/>
              <w:spacing w:lineRule="auto" w:line="276"/>
              <w:rPr/>
            </w:pPr>
            <w:r>
              <w:rPr>
                <w:color w:val="000000"/>
              </w:rPr>
              <w:t>RIL14</w:t>
            </w:r>
          </w:p>
        </w:tc>
        <w:tc>
          <w:tcPr>
            <w:tcW w:w="1877" w:type="dxa"/>
            <w:tcBorders>
              <w:top w:val="nil"/>
              <w:left w:val="nil"/>
              <w:bottom w:val="nil"/>
              <w:right w:val="nil"/>
            </w:tcBorders>
            <w:vAlign w:val="center"/>
          </w:tcPr>
          <w:p>
            <w:pPr>
              <w:pStyle w:val="Normal"/>
              <w:spacing w:lineRule="auto" w:line="276"/>
              <w:jc w:val="center"/>
              <w:rPr/>
            </w:pPr>
            <w:r>
              <w:rPr>
                <w:color w:val="000000"/>
              </w:rPr>
              <w:t>64.40000</w:t>
            </w:r>
          </w:p>
        </w:tc>
        <w:tc>
          <w:tcPr>
            <w:tcW w:w="1899" w:type="dxa"/>
            <w:tcBorders>
              <w:top w:val="nil"/>
              <w:left w:val="nil"/>
              <w:bottom w:val="nil"/>
              <w:right w:val="nil"/>
            </w:tcBorders>
            <w:vAlign w:val="center"/>
          </w:tcPr>
          <w:p>
            <w:pPr>
              <w:pStyle w:val="Normal"/>
              <w:spacing w:lineRule="auto" w:line="276"/>
              <w:jc w:val="center"/>
              <w:rPr/>
            </w:pPr>
            <w:r>
              <w:rPr>
                <w:color w:val="000000"/>
              </w:rPr>
              <w:t>15.004827</w:t>
            </w:r>
          </w:p>
        </w:tc>
        <w:tc>
          <w:tcPr>
            <w:tcW w:w="1857" w:type="dxa"/>
            <w:tcBorders>
              <w:top w:val="nil"/>
              <w:left w:val="nil"/>
              <w:bottom w:val="nil"/>
              <w:right w:val="nil"/>
            </w:tcBorders>
            <w:vAlign w:val="center"/>
          </w:tcPr>
          <w:p>
            <w:pPr>
              <w:pStyle w:val="Normal"/>
              <w:spacing w:lineRule="auto" w:line="276"/>
              <w:jc w:val="center"/>
              <w:rPr/>
            </w:pPr>
            <w:r>
              <w:rPr>
                <w:color w:val="000000"/>
              </w:rPr>
              <w:t>36.60000</w:t>
            </w:r>
          </w:p>
        </w:tc>
        <w:tc>
          <w:tcPr>
            <w:tcW w:w="1918" w:type="dxa"/>
            <w:tcBorders>
              <w:top w:val="nil"/>
              <w:left w:val="nil"/>
              <w:bottom w:val="nil"/>
              <w:right w:val="nil"/>
            </w:tcBorders>
            <w:vAlign w:val="center"/>
          </w:tcPr>
          <w:p>
            <w:pPr>
              <w:pStyle w:val="Normal"/>
              <w:spacing w:lineRule="auto" w:line="276"/>
              <w:jc w:val="center"/>
              <w:rPr/>
            </w:pPr>
            <w:r>
              <w:rPr>
                <w:color w:val="000000"/>
              </w:rPr>
              <w:t>20.249478</w:t>
            </w:r>
          </w:p>
        </w:tc>
      </w:tr>
      <w:tr>
        <w:trPr/>
        <w:tc>
          <w:tcPr>
            <w:tcW w:w="1809" w:type="dxa"/>
            <w:tcBorders>
              <w:top w:val="nil"/>
              <w:left w:val="nil"/>
              <w:bottom w:val="nil"/>
              <w:right w:val="nil"/>
            </w:tcBorders>
            <w:vAlign w:val="center"/>
          </w:tcPr>
          <w:p>
            <w:pPr>
              <w:pStyle w:val="Normal"/>
              <w:spacing w:lineRule="auto" w:line="276"/>
              <w:rPr/>
            </w:pPr>
            <w:r>
              <w:rPr>
                <w:color w:val="000000"/>
              </w:rPr>
              <w:t>RIL15</w:t>
            </w:r>
          </w:p>
        </w:tc>
        <w:tc>
          <w:tcPr>
            <w:tcW w:w="1877" w:type="dxa"/>
            <w:tcBorders>
              <w:top w:val="nil"/>
              <w:left w:val="nil"/>
              <w:bottom w:val="nil"/>
              <w:right w:val="nil"/>
            </w:tcBorders>
            <w:vAlign w:val="center"/>
          </w:tcPr>
          <w:p>
            <w:pPr>
              <w:pStyle w:val="Normal"/>
              <w:spacing w:lineRule="auto" w:line="276"/>
              <w:jc w:val="center"/>
              <w:rPr/>
            </w:pPr>
            <w:r>
              <w:rPr>
                <w:color w:val="000000"/>
              </w:rPr>
              <w:t>57.20000</w:t>
            </w:r>
          </w:p>
        </w:tc>
        <w:tc>
          <w:tcPr>
            <w:tcW w:w="1899" w:type="dxa"/>
            <w:tcBorders>
              <w:top w:val="nil"/>
              <w:left w:val="nil"/>
              <w:bottom w:val="nil"/>
              <w:right w:val="nil"/>
            </w:tcBorders>
            <w:vAlign w:val="center"/>
          </w:tcPr>
          <w:p>
            <w:pPr>
              <w:pStyle w:val="Normal"/>
              <w:spacing w:lineRule="auto" w:line="276"/>
              <w:jc w:val="center"/>
              <w:rPr/>
            </w:pPr>
            <w:r>
              <w:rPr>
                <w:color w:val="000000"/>
              </w:rPr>
              <w:t>17.856516</w:t>
            </w:r>
          </w:p>
        </w:tc>
        <w:tc>
          <w:tcPr>
            <w:tcW w:w="1857" w:type="dxa"/>
            <w:tcBorders>
              <w:top w:val="nil"/>
              <w:left w:val="nil"/>
              <w:bottom w:val="nil"/>
              <w:right w:val="nil"/>
            </w:tcBorders>
            <w:vAlign w:val="center"/>
          </w:tcPr>
          <w:p>
            <w:pPr>
              <w:pStyle w:val="Normal"/>
              <w:spacing w:lineRule="auto" w:line="276"/>
              <w:jc w:val="center"/>
              <w:rPr/>
            </w:pPr>
            <w:r>
              <w:rPr>
                <w:color w:val="000000"/>
              </w:rPr>
              <w:t>43.73333</w:t>
            </w:r>
          </w:p>
        </w:tc>
        <w:tc>
          <w:tcPr>
            <w:tcW w:w="1918" w:type="dxa"/>
            <w:tcBorders>
              <w:top w:val="nil"/>
              <w:left w:val="nil"/>
              <w:bottom w:val="nil"/>
              <w:right w:val="nil"/>
            </w:tcBorders>
            <w:vAlign w:val="center"/>
          </w:tcPr>
          <w:p>
            <w:pPr>
              <w:pStyle w:val="Normal"/>
              <w:spacing w:lineRule="auto" w:line="276"/>
              <w:jc w:val="center"/>
              <w:rPr/>
            </w:pPr>
            <w:r>
              <w:rPr>
                <w:color w:val="000000"/>
              </w:rPr>
              <w:t>9.677323</w:t>
            </w:r>
          </w:p>
        </w:tc>
      </w:tr>
      <w:tr>
        <w:trPr/>
        <w:tc>
          <w:tcPr>
            <w:tcW w:w="1809" w:type="dxa"/>
            <w:tcBorders>
              <w:top w:val="nil"/>
              <w:left w:val="nil"/>
              <w:bottom w:val="nil"/>
              <w:right w:val="nil"/>
            </w:tcBorders>
            <w:vAlign w:val="center"/>
          </w:tcPr>
          <w:p>
            <w:pPr>
              <w:pStyle w:val="Normal"/>
              <w:spacing w:lineRule="auto" w:line="276"/>
              <w:rPr/>
            </w:pPr>
            <w:r>
              <w:rPr>
                <w:color w:val="000000"/>
              </w:rPr>
              <w:t>RIL20</w:t>
            </w:r>
          </w:p>
        </w:tc>
        <w:tc>
          <w:tcPr>
            <w:tcW w:w="1877" w:type="dxa"/>
            <w:tcBorders>
              <w:top w:val="nil"/>
              <w:left w:val="nil"/>
              <w:bottom w:val="nil"/>
              <w:right w:val="nil"/>
            </w:tcBorders>
            <w:vAlign w:val="center"/>
          </w:tcPr>
          <w:p>
            <w:pPr>
              <w:pStyle w:val="Normal"/>
              <w:spacing w:lineRule="auto" w:line="276"/>
              <w:jc w:val="center"/>
              <w:rPr/>
            </w:pPr>
            <w:r>
              <w:rPr>
                <w:color w:val="000000"/>
              </w:rPr>
              <w:t>51.50000</w:t>
            </w:r>
          </w:p>
        </w:tc>
        <w:tc>
          <w:tcPr>
            <w:tcW w:w="1899" w:type="dxa"/>
            <w:tcBorders>
              <w:top w:val="nil"/>
              <w:left w:val="nil"/>
              <w:bottom w:val="nil"/>
              <w:right w:val="nil"/>
            </w:tcBorders>
            <w:vAlign w:val="center"/>
          </w:tcPr>
          <w:p>
            <w:pPr>
              <w:pStyle w:val="Normal"/>
              <w:spacing w:lineRule="auto" w:line="276"/>
              <w:jc w:val="center"/>
              <w:rPr/>
            </w:pPr>
            <w:r>
              <w:rPr>
                <w:color w:val="000000"/>
              </w:rPr>
              <w:t>19.530259</w:t>
            </w:r>
          </w:p>
        </w:tc>
        <w:tc>
          <w:tcPr>
            <w:tcW w:w="1857" w:type="dxa"/>
            <w:tcBorders>
              <w:top w:val="nil"/>
              <w:left w:val="nil"/>
              <w:bottom w:val="nil"/>
              <w:right w:val="nil"/>
            </w:tcBorders>
            <w:vAlign w:val="center"/>
          </w:tcPr>
          <w:p>
            <w:pPr>
              <w:pStyle w:val="Normal"/>
              <w:spacing w:lineRule="auto" w:line="276"/>
              <w:jc w:val="center"/>
              <w:rPr/>
            </w:pPr>
            <w:r>
              <w:rPr>
                <w:color w:val="000000"/>
              </w:rPr>
              <w:t>48.50000</w:t>
            </w:r>
          </w:p>
        </w:tc>
        <w:tc>
          <w:tcPr>
            <w:tcW w:w="1918" w:type="dxa"/>
            <w:tcBorders>
              <w:top w:val="nil"/>
              <w:left w:val="nil"/>
              <w:bottom w:val="nil"/>
              <w:right w:val="nil"/>
            </w:tcBorders>
            <w:vAlign w:val="center"/>
          </w:tcPr>
          <w:p>
            <w:pPr>
              <w:pStyle w:val="Normal"/>
              <w:spacing w:lineRule="auto" w:line="276"/>
              <w:jc w:val="center"/>
              <w:rPr/>
            </w:pPr>
            <w:r>
              <w:rPr>
                <w:color w:val="000000"/>
              </w:rPr>
              <w:t>23.836729</w:t>
            </w:r>
          </w:p>
        </w:tc>
      </w:tr>
      <w:tr>
        <w:trPr/>
        <w:tc>
          <w:tcPr>
            <w:tcW w:w="1809" w:type="dxa"/>
            <w:tcBorders>
              <w:top w:val="nil"/>
              <w:left w:val="nil"/>
              <w:bottom w:val="nil"/>
              <w:right w:val="nil"/>
            </w:tcBorders>
            <w:vAlign w:val="center"/>
          </w:tcPr>
          <w:p>
            <w:pPr>
              <w:pStyle w:val="Normal"/>
              <w:spacing w:lineRule="auto" w:line="276"/>
              <w:rPr/>
            </w:pPr>
            <w:r>
              <w:rPr>
                <w:color w:val="000000"/>
              </w:rPr>
              <w:t>RIL22</w:t>
            </w:r>
          </w:p>
        </w:tc>
        <w:tc>
          <w:tcPr>
            <w:tcW w:w="1877" w:type="dxa"/>
            <w:tcBorders>
              <w:top w:val="nil"/>
              <w:left w:val="nil"/>
              <w:bottom w:val="nil"/>
              <w:right w:val="nil"/>
            </w:tcBorders>
            <w:vAlign w:val="center"/>
          </w:tcPr>
          <w:p>
            <w:pPr>
              <w:pStyle w:val="Normal"/>
              <w:spacing w:lineRule="auto" w:line="276"/>
              <w:jc w:val="center"/>
              <w:rPr/>
            </w:pPr>
            <w:r>
              <w:rPr>
                <w:color w:val="000000"/>
              </w:rPr>
              <w:t>45.86667</w:t>
            </w:r>
          </w:p>
        </w:tc>
        <w:tc>
          <w:tcPr>
            <w:tcW w:w="1899" w:type="dxa"/>
            <w:tcBorders>
              <w:top w:val="nil"/>
              <w:left w:val="nil"/>
              <w:bottom w:val="nil"/>
              <w:right w:val="nil"/>
            </w:tcBorders>
            <w:vAlign w:val="center"/>
          </w:tcPr>
          <w:p>
            <w:pPr>
              <w:pStyle w:val="Normal"/>
              <w:spacing w:lineRule="auto" w:line="276"/>
              <w:jc w:val="center"/>
              <w:rPr/>
            </w:pPr>
            <w:r>
              <w:rPr>
                <w:color w:val="000000"/>
              </w:rPr>
              <w:t>13.793385</w:t>
            </w:r>
          </w:p>
        </w:tc>
        <w:tc>
          <w:tcPr>
            <w:tcW w:w="1857" w:type="dxa"/>
            <w:tcBorders>
              <w:top w:val="nil"/>
              <w:left w:val="nil"/>
              <w:bottom w:val="nil"/>
              <w:right w:val="nil"/>
            </w:tcBorders>
            <w:vAlign w:val="center"/>
          </w:tcPr>
          <w:p>
            <w:pPr>
              <w:pStyle w:val="Normal"/>
              <w:spacing w:lineRule="auto" w:line="276"/>
              <w:jc w:val="center"/>
              <w:rPr/>
            </w:pPr>
            <w:r>
              <w:rPr>
                <w:color w:val="000000"/>
              </w:rPr>
              <w:t>39.30000</w:t>
            </w:r>
          </w:p>
        </w:tc>
        <w:tc>
          <w:tcPr>
            <w:tcW w:w="1918" w:type="dxa"/>
            <w:tcBorders>
              <w:top w:val="nil"/>
              <w:left w:val="nil"/>
              <w:bottom w:val="nil"/>
              <w:right w:val="nil"/>
            </w:tcBorders>
            <w:vAlign w:val="center"/>
          </w:tcPr>
          <w:p>
            <w:pPr>
              <w:pStyle w:val="Normal"/>
              <w:spacing w:lineRule="auto" w:line="276"/>
              <w:jc w:val="center"/>
              <w:rPr/>
            </w:pPr>
            <w:r>
              <w:rPr>
                <w:color w:val="000000"/>
              </w:rPr>
              <w:t>19.818400</w:t>
            </w:r>
          </w:p>
        </w:tc>
      </w:tr>
      <w:tr>
        <w:trPr/>
        <w:tc>
          <w:tcPr>
            <w:tcW w:w="1809" w:type="dxa"/>
            <w:tcBorders>
              <w:top w:val="nil"/>
              <w:left w:val="nil"/>
              <w:bottom w:val="nil"/>
              <w:right w:val="nil"/>
            </w:tcBorders>
            <w:vAlign w:val="center"/>
          </w:tcPr>
          <w:p>
            <w:pPr>
              <w:pStyle w:val="Normal"/>
              <w:spacing w:lineRule="auto" w:line="276"/>
              <w:rPr/>
            </w:pPr>
            <w:r>
              <w:rPr>
                <w:color w:val="000000"/>
              </w:rPr>
              <w:t>RIL23</w:t>
            </w:r>
          </w:p>
        </w:tc>
        <w:tc>
          <w:tcPr>
            <w:tcW w:w="1877" w:type="dxa"/>
            <w:tcBorders>
              <w:top w:val="nil"/>
              <w:left w:val="nil"/>
              <w:bottom w:val="nil"/>
              <w:right w:val="nil"/>
            </w:tcBorders>
            <w:vAlign w:val="center"/>
          </w:tcPr>
          <w:p>
            <w:pPr>
              <w:pStyle w:val="Normal"/>
              <w:spacing w:lineRule="auto" w:line="276"/>
              <w:jc w:val="center"/>
              <w:rPr/>
            </w:pPr>
            <w:r>
              <w:rPr>
                <w:color w:val="000000"/>
              </w:rPr>
              <w:t>44.20000</w:t>
            </w:r>
          </w:p>
        </w:tc>
        <w:tc>
          <w:tcPr>
            <w:tcW w:w="1899" w:type="dxa"/>
            <w:tcBorders>
              <w:top w:val="nil"/>
              <w:left w:val="nil"/>
              <w:bottom w:val="nil"/>
              <w:right w:val="nil"/>
            </w:tcBorders>
            <w:vAlign w:val="center"/>
          </w:tcPr>
          <w:p>
            <w:pPr>
              <w:pStyle w:val="Normal"/>
              <w:spacing w:lineRule="auto" w:line="276"/>
              <w:jc w:val="center"/>
              <w:rPr/>
            </w:pPr>
            <w:r>
              <w:rPr>
                <w:color w:val="000000"/>
              </w:rPr>
              <w:t>17.983517</w:t>
            </w:r>
          </w:p>
        </w:tc>
        <w:tc>
          <w:tcPr>
            <w:tcW w:w="1857" w:type="dxa"/>
            <w:tcBorders>
              <w:top w:val="nil"/>
              <w:left w:val="nil"/>
              <w:bottom w:val="nil"/>
              <w:right w:val="nil"/>
            </w:tcBorders>
            <w:vAlign w:val="center"/>
          </w:tcPr>
          <w:p>
            <w:pPr>
              <w:pStyle w:val="Normal"/>
              <w:spacing w:lineRule="auto" w:line="276"/>
              <w:jc w:val="center"/>
              <w:rPr/>
            </w:pPr>
            <w:r>
              <w:rPr>
                <w:color w:val="000000"/>
              </w:rPr>
              <w:t>46.13333</w:t>
            </w:r>
          </w:p>
        </w:tc>
        <w:tc>
          <w:tcPr>
            <w:tcW w:w="1918" w:type="dxa"/>
            <w:tcBorders>
              <w:top w:val="nil"/>
              <w:left w:val="nil"/>
              <w:bottom w:val="nil"/>
              <w:right w:val="nil"/>
            </w:tcBorders>
            <w:vAlign w:val="center"/>
          </w:tcPr>
          <w:p>
            <w:pPr>
              <w:pStyle w:val="Normal"/>
              <w:spacing w:lineRule="auto" w:line="276"/>
              <w:jc w:val="center"/>
              <w:rPr/>
            </w:pPr>
            <w:r>
              <w:rPr>
                <w:color w:val="000000"/>
              </w:rPr>
              <w:t>17.930389</w:t>
            </w:r>
          </w:p>
        </w:tc>
      </w:tr>
      <w:tr>
        <w:trPr/>
        <w:tc>
          <w:tcPr>
            <w:tcW w:w="1809" w:type="dxa"/>
            <w:tcBorders>
              <w:top w:val="nil"/>
              <w:left w:val="nil"/>
              <w:bottom w:val="nil"/>
              <w:right w:val="nil"/>
            </w:tcBorders>
            <w:vAlign w:val="center"/>
          </w:tcPr>
          <w:p>
            <w:pPr>
              <w:pStyle w:val="Normal"/>
              <w:spacing w:lineRule="auto" w:line="276"/>
              <w:rPr/>
            </w:pPr>
            <w:r>
              <w:rPr>
                <w:color w:val="000000"/>
              </w:rPr>
              <w:t>RIL25</w:t>
            </w:r>
          </w:p>
        </w:tc>
        <w:tc>
          <w:tcPr>
            <w:tcW w:w="1877" w:type="dxa"/>
            <w:tcBorders>
              <w:top w:val="nil"/>
              <w:left w:val="nil"/>
              <w:bottom w:val="nil"/>
              <w:right w:val="nil"/>
            </w:tcBorders>
            <w:vAlign w:val="center"/>
          </w:tcPr>
          <w:p>
            <w:pPr>
              <w:pStyle w:val="Normal"/>
              <w:spacing w:lineRule="auto" w:line="276"/>
              <w:jc w:val="center"/>
              <w:rPr/>
            </w:pPr>
            <w:r>
              <w:rPr>
                <w:color w:val="000000"/>
              </w:rPr>
              <w:t>49.06667</w:t>
            </w:r>
          </w:p>
        </w:tc>
        <w:tc>
          <w:tcPr>
            <w:tcW w:w="1899" w:type="dxa"/>
            <w:tcBorders>
              <w:top w:val="nil"/>
              <w:left w:val="nil"/>
              <w:bottom w:val="nil"/>
              <w:right w:val="nil"/>
            </w:tcBorders>
            <w:vAlign w:val="center"/>
          </w:tcPr>
          <w:p>
            <w:pPr>
              <w:pStyle w:val="Normal"/>
              <w:spacing w:lineRule="auto" w:line="276"/>
              <w:jc w:val="center"/>
              <w:rPr/>
            </w:pPr>
            <w:r>
              <w:rPr>
                <w:color w:val="000000"/>
              </w:rPr>
              <w:t>20.282374</w:t>
            </w:r>
          </w:p>
        </w:tc>
        <w:tc>
          <w:tcPr>
            <w:tcW w:w="1857" w:type="dxa"/>
            <w:tcBorders>
              <w:top w:val="nil"/>
              <w:left w:val="nil"/>
              <w:bottom w:val="nil"/>
              <w:right w:val="nil"/>
            </w:tcBorders>
            <w:vAlign w:val="center"/>
          </w:tcPr>
          <w:p>
            <w:pPr>
              <w:pStyle w:val="Normal"/>
              <w:spacing w:lineRule="auto" w:line="276"/>
              <w:jc w:val="center"/>
              <w:rPr/>
            </w:pPr>
            <w:r>
              <w:rPr>
                <w:color w:val="000000"/>
              </w:rPr>
              <w:t>42.31034</w:t>
            </w:r>
          </w:p>
        </w:tc>
        <w:tc>
          <w:tcPr>
            <w:tcW w:w="1918" w:type="dxa"/>
            <w:tcBorders>
              <w:top w:val="nil"/>
              <w:left w:val="nil"/>
              <w:bottom w:val="nil"/>
              <w:right w:val="nil"/>
            </w:tcBorders>
            <w:vAlign w:val="center"/>
          </w:tcPr>
          <w:p>
            <w:pPr>
              <w:pStyle w:val="Normal"/>
              <w:spacing w:lineRule="auto" w:line="276"/>
              <w:jc w:val="center"/>
              <w:rPr/>
            </w:pPr>
            <w:r>
              <w:rPr>
                <w:color w:val="000000"/>
              </w:rPr>
              <w:t>15.196577</w:t>
            </w:r>
          </w:p>
        </w:tc>
      </w:tr>
      <w:tr>
        <w:trPr/>
        <w:tc>
          <w:tcPr>
            <w:tcW w:w="1809" w:type="dxa"/>
            <w:tcBorders>
              <w:top w:val="nil"/>
              <w:left w:val="nil"/>
              <w:bottom w:val="nil"/>
              <w:right w:val="nil"/>
            </w:tcBorders>
            <w:vAlign w:val="center"/>
          </w:tcPr>
          <w:p>
            <w:pPr>
              <w:pStyle w:val="Normal"/>
              <w:spacing w:lineRule="auto" w:line="276"/>
              <w:rPr/>
            </w:pPr>
            <w:r>
              <w:rPr>
                <w:color w:val="000000"/>
              </w:rPr>
              <w:t>RIL30</w:t>
            </w:r>
          </w:p>
        </w:tc>
        <w:tc>
          <w:tcPr>
            <w:tcW w:w="1877" w:type="dxa"/>
            <w:tcBorders>
              <w:top w:val="nil"/>
              <w:left w:val="nil"/>
              <w:bottom w:val="nil"/>
              <w:right w:val="nil"/>
            </w:tcBorders>
            <w:vAlign w:val="center"/>
          </w:tcPr>
          <w:p>
            <w:pPr>
              <w:pStyle w:val="Normal"/>
              <w:spacing w:lineRule="auto" w:line="276"/>
              <w:jc w:val="center"/>
              <w:rPr/>
            </w:pPr>
            <w:r>
              <w:rPr>
                <w:color w:val="000000"/>
              </w:rPr>
              <w:t>53.36667</w:t>
            </w:r>
          </w:p>
        </w:tc>
        <w:tc>
          <w:tcPr>
            <w:tcW w:w="1899" w:type="dxa"/>
            <w:tcBorders>
              <w:top w:val="nil"/>
              <w:left w:val="nil"/>
              <w:bottom w:val="nil"/>
              <w:right w:val="nil"/>
            </w:tcBorders>
            <w:vAlign w:val="center"/>
          </w:tcPr>
          <w:p>
            <w:pPr>
              <w:pStyle w:val="Normal"/>
              <w:spacing w:lineRule="auto" w:line="276"/>
              <w:jc w:val="center"/>
              <w:rPr/>
            </w:pPr>
            <w:r>
              <w:rPr>
                <w:color w:val="000000"/>
              </w:rPr>
              <w:t>21.504584</w:t>
            </w:r>
          </w:p>
        </w:tc>
        <w:tc>
          <w:tcPr>
            <w:tcW w:w="1857" w:type="dxa"/>
            <w:tcBorders>
              <w:top w:val="nil"/>
              <w:left w:val="nil"/>
              <w:bottom w:val="nil"/>
              <w:right w:val="nil"/>
            </w:tcBorders>
            <w:vAlign w:val="center"/>
          </w:tcPr>
          <w:p>
            <w:pPr>
              <w:pStyle w:val="Normal"/>
              <w:spacing w:lineRule="auto" w:line="276"/>
              <w:jc w:val="center"/>
              <w:rPr/>
            </w:pPr>
            <w:r>
              <w:rPr>
                <w:color w:val="000000"/>
              </w:rPr>
              <w:t>49.36667</w:t>
            </w:r>
          </w:p>
        </w:tc>
        <w:tc>
          <w:tcPr>
            <w:tcW w:w="1918" w:type="dxa"/>
            <w:tcBorders>
              <w:top w:val="nil"/>
              <w:left w:val="nil"/>
              <w:bottom w:val="nil"/>
              <w:right w:val="nil"/>
            </w:tcBorders>
            <w:vAlign w:val="center"/>
          </w:tcPr>
          <w:p>
            <w:pPr>
              <w:pStyle w:val="Normal"/>
              <w:spacing w:lineRule="auto" w:line="276"/>
              <w:jc w:val="center"/>
              <w:rPr/>
            </w:pPr>
            <w:r>
              <w:rPr>
                <w:color w:val="000000"/>
              </w:rPr>
              <w:t>20.472830</w:t>
            </w:r>
          </w:p>
        </w:tc>
      </w:tr>
      <w:tr>
        <w:trPr/>
        <w:tc>
          <w:tcPr>
            <w:tcW w:w="1809" w:type="dxa"/>
            <w:tcBorders>
              <w:top w:val="nil"/>
              <w:left w:val="nil"/>
              <w:bottom w:val="nil"/>
              <w:right w:val="nil"/>
            </w:tcBorders>
            <w:vAlign w:val="center"/>
          </w:tcPr>
          <w:p>
            <w:pPr>
              <w:pStyle w:val="Normal"/>
              <w:spacing w:lineRule="auto" w:line="276"/>
              <w:rPr/>
            </w:pPr>
            <w:r>
              <w:rPr>
                <w:color w:val="000000"/>
              </w:rPr>
              <w:t>RIL41</w:t>
            </w:r>
          </w:p>
        </w:tc>
        <w:tc>
          <w:tcPr>
            <w:tcW w:w="1877" w:type="dxa"/>
            <w:tcBorders>
              <w:top w:val="nil"/>
              <w:left w:val="nil"/>
              <w:bottom w:val="nil"/>
              <w:right w:val="nil"/>
            </w:tcBorders>
            <w:vAlign w:val="center"/>
          </w:tcPr>
          <w:p>
            <w:pPr>
              <w:pStyle w:val="Normal"/>
              <w:spacing w:lineRule="auto" w:line="276"/>
              <w:jc w:val="center"/>
              <w:rPr/>
            </w:pPr>
            <w:r>
              <w:rPr>
                <w:color w:val="000000"/>
              </w:rPr>
              <w:t>48.16667</w:t>
            </w:r>
          </w:p>
        </w:tc>
        <w:tc>
          <w:tcPr>
            <w:tcW w:w="1899" w:type="dxa"/>
            <w:tcBorders>
              <w:top w:val="nil"/>
              <w:left w:val="nil"/>
              <w:bottom w:val="nil"/>
              <w:right w:val="nil"/>
            </w:tcBorders>
            <w:vAlign w:val="center"/>
          </w:tcPr>
          <w:p>
            <w:pPr>
              <w:pStyle w:val="Normal"/>
              <w:spacing w:lineRule="auto" w:line="276"/>
              <w:jc w:val="center"/>
              <w:rPr/>
            </w:pPr>
            <w:r>
              <w:rPr>
                <w:color w:val="000000"/>
              </w:rPr>
              <w:t>22.087730</w:t>
            </w:r>
          </w:p>
        </w:tc>
        <w:tc>
          <w:tcPr>
            <w:tcW w:w="1857" w:type="dxa"/>
            <w:tcBorders>
              <w:top w:val="nil"/>
              <w:left w:val="nil"/>
              <w:bottom w:val="nil"/>
              <w:right w:val="nil"/>
            </w:tcBorders>
            <w:vAlign w:val="center"/>
          </w:tcPr>
          <w:p>
            <w:pPr>
              <w:pStyle w:val="Normal"/>
              <w:spacing w:lineRule="auto" w:line="276"/>
              <w:jc w:val="center"/>
              <w:rPr/>
            </w:pPr>
            <w:r>
              <w:rPr>
                <w:color w:val="000000"/>
              </w:rPr>
              <w:t>51.41379</w:t>
            </w:r>
          </w:p>
        </w:tc>
        <w:tc>
          <w:tcPr>
            <w:tcW w:w="1918" w:type="dxa"/>
            <w:tcBorders>
              <w:top w:val="nil"/>
              <w:left w:val="nil"/>
              <w:bottom w:val="nil"/>
              <w:right w:val="nil"/>
            </w:tcBorders>
            <w:vAlign w:val="center"/>
          </w:tcPr>
          <w:p>
            <w:pPr>
              <w:pStyle w:val="Normal"/>
              <w:spacing w:lineRule="auto" w:line="276"/>
              <w:jc w:val="center"/>
              <w:rPr/>
            </w:pPr>
            <w:r>
              <w:rPr>
                <w:color w:val="000000"/>
              </w:rPr>
              <w:t>14.266638</w:t>
            </w:r>
          </w:p>
        </w:tc>
      </w:tr>
      <w:tr>
        <w:trPr/>
        <w:tc>
          <w:tcPr>
            <w:tcW w:w="1809" w:type="dxa"/>
            <w:tcBorders>
              <w:top w:val="nil"/>
              <w:left w:val="nil"/>
              <w:bottom w:val="nil"/>
              <w:right w:val="nil"/>
            </w:tcBorders>
            <w:vAlign w:val="center"/>
          </w:tcPr>
          <w:p>
            <w:pPr>
              <w:pStyle w:val="Normal"/>
              <w:spacing w:lineRule="auto" w:line="276"/>
              <w:rPr/>
            </w:pPr>
            <w:r>
              <w:rPr>
                <w:color w:val="000000"/>
              </w:rPr>
              <w:t>RIL47</w:t>
            </w:r>
          </w:p>
        </w:tc>
        <w:tc>
          <w:tcPr>
            <w:tcW w:w="1877" w:type="dxa"/>
            <w:tcBorders>
              <w:top w:val="nil"/>
              <w:left w:val="nil"/>
              <w:bottom w:val="nil"/>
              <w:right w:val="nil"/>
            </w:tcBorders>
            <w:vAlign w:val="center"/>
          </w:tcPr>
          <w:p>
            <w:pPr>
              <w:pStyle w:val="Normal"/>
              <w:spacing w:lineRule="auto" w:line="276"/>
              <w:jc w:val="center"/>
              <w:rPr/>
            </w:pPr>
            <w:r>
              <w:rPr>
                <w:color w:val="000000"/>
              </w:rPr>
              <w:t>59.96667</w:t>
            </w:r>
          </w:p>
        </w:tc>
        <w:tc>
          <w:tcPr>
            <w:tcW w:w="1899" w:type="dxa"/>
            <w:tcBorders>
              <w:top w:val="nil"/>
              <w:left w:val="nil"/>
              <w:bottom w:val="nil"/>
              <w:right w:val="nil"/>
            </w:tcBorders>
            <w:vAlign w:val="center"/>
          </w:tcPr>
          <w:p>
            <w:pPr>
              <w:pStyle w:val="Normal"/>
              <w:spacing w:lineRule="auto" w:line="276"/>
              <w:jc w:val="center"/>
              <w:rPr/>
            </w:pPr>
            <w:r>
              <w:rPr>
                <w:color w:val="000000"/>
              </w:rPr>
              <w:t>17.901037</w:t>
            </w:r>
          </w:p>
        </w:tc>
        <w:tc>
          <w:tcPr>
            <w:tcW w:w="1857" w:type="dxa"/>
            <w:tcBorders>
              <w:top w:val="nil"/>
              <w:left w:val="nil"/>
              <w:bottom w:val="nil"/>
              <w:right w:val="nil"/>
            </w:tcBorders>
            <w:vAlign w:val="center"/>
          </w:tcPr>
          <w:p>
            <w:pPr>
              <w:pStyle w:val="Normal"/>
              <w:spacing w:lineRule="auto" w:line="276"/>
              <w:jc w:val="center"/>
              <w:rPr/>
            </w:pPr>
            <w:r>
              <w:rPr>
                <w:color w:val="000000"/>
              </w:rPr>
              <w:t>51.25000</w:t>
            </w:r>
          </w:p>
        </w:tc>
        <w:tc>
          <w:tcPr>
            <w:tcW w:w="1918" w:type="dxa"/>
            <w:tcBorders>
              <w:top w:val="nil"/>
              <w:left w:val="nil"/>
              <w:bottom w:val="nil"/>
              <w:right w:val="nil"/>
            </w:tcBorders>
            <w:vAlign w:val="center"/>
          </w:tcPr>
          <w:p>
            <w:pPr>
              <w:pStyle w:val="Normal"/>
              <w:spacing w:lineRule="auto" w:line="276"/>
              <w:jc w:val="center"/>
              <w:rPr/>
            </w:pPr>
            <w:r>
              <w:rPr>
                <w:color w:val="000000"/>
              </w:rPr>
              <w:t>14.940933</w:t>
            </w:r>
          </w:p>
        </w:tc>
      </w:tr>
      <w:tr>
        <w:trPr/>
        <w:tc>
          <w:tcPr>
            <w:tcW w:w="1809" w:type="dxa"/>
            <w:tcBorders>
              <w:top w:val="nil"/>
              <w:left w:val="nil"/>
              <w:bottom w:val="nil"/>
              <w:right w:val="nil"/>
            </w:tcBorders>
            <w:vAlign w:val="center"/>
          </w:tcPr>
          <w:p>
            <w:pPr>
              <w:pStyle w:val="Normal"/>
              <w:spacing w:lineRule="auto" w:line="276"/>
              <w:rPr/>
            </w:pPr>
            <w:r>
              <w:rPr>
                <w:color w:val="000000"/>
              </w:rPr>
              <w:t>RIL50</w:t>
            </w:r>
          </w:p>
        </w:tc>
        <w:tc>
          <w:tcPr>
            <w:tcW w:w="1877" w:type="dxa"/>
            <w:tcBorders>
              <w:top w:val="nil"/>
              <w:left w:val="nil"/>
              <w:bottom w:val="nil"/>
              <w:right w:val="nil"/>
            </w:tcBorders>
            <w:vAlign w:val="center"/>
          </w:tcPr>
          <w:p>
            <w:pPr>
              <w:pStyle w:val="Normal"/>
              <w:spacing w:lineRule="auto" w:line="276"/>
              <w:jc w:val="center"/>
              <w:rPr/>
            </w:pPr>
            <w:r>
              <w:rPr>
                <w:color w:val="000000"/>
              </w:rPr>
              <w:t>48.83333</w:t>
            </w:r>
          </w:p>
        </w:tc>
        <w:tc>
          <w:tcPr>
            <w:tcW w:w="1899" w:type="dxa"/>
            <w:tcBorders>
              <w:top w:val="nil"/>
              <w:left w:val="nil"/>
              <w:bottom w:val="nil"/>
              <w:right w:val="nil"/>
            </w:tcBorders>
            <w:vAlign w:val="center"/>
          </w:tcPr>
          <w:p>
            <w:pPr>
              <w:pStyle w:val="Normal"/>
              <w:spacing w:lineRule="auto" w:line="276"/>
              <w:jc w:val="center"/>
              <w:rPr/>
            </w:pPr>
            <w:r>
              <w:rPr>
                <w:color w:val="000000"/>
              </w:rPr>
              <w:t>24.280094</w:t>
            </w:r>
          </w:p>
        </w:tc>
        <w:tc>
          <w:tcPr>
            <w:tcW w:w="1857" w:type="dxa"/>
            <w:tcBorders>
              <w:top w:val="nil"/>
              <w:left w:val="nil"/>
              <w:bottom w:val="nil"/>
              <w:right w:val="nil"/>
            </w:tcBorders>
            <w:vAlign w:val="center"/>
          </w:tcPr>
          <w:p>
            <w:pPr>
              <w:pStyle w:val="Normal"/>
              <w:spacing w:lineRule="auto" w:line="276"/>
              <w:jc w:val="center"/>
              <w:rPr/>
            </w:pPr>
            <w:r>
              <w:rPr>
                <w:color w:val="000000"/>
              </w:rPr>
              <w:t>52.35714</w:t>
            </w:r>
          </w:p>
        </w:tc>
        <w:tc>
          <w:tcPr>
            <w:tcW w:w="1918" w:type="dxa"/>
            <w:tcBorders>
              <w:top w:val="nil"/>
              <w:left w:val="nil"/>
              <w:bottom w:val="nil"/>
              <w:right w:val="nil"/>
            </w:tcBorders>
            <w:vAlign w:val="center"/>
          </w:tcPr>
          <w:p>
            <w:pPr>
              <w:pStyle w:val="Normal"/>
              <w:spacing w:lineRule="auto" w:line="276"/>
              <w:jc w:val="center"/>
              <w:rPr/>
            </w:pPr>
            <w:r>
              <w:rPr>
                <w:color w:val="000000"/>
              </w:rPr>
              <w:t>26.087054</w:t>
            </w:r>
          </w:p>
        </w:tc>
      </w:tr>
      <w:tr>
        <w:trPr/>
        <w:tc>
          <w:tcPr>
            <w:tcW w:w="1809" w:type="dxa"/>
            <w:tcBorders>
              <w:top w:val="nil"/>
              <w:left w:val="nil"/>
              <w:bottom w:val="nil"/>
              <w:right w:val="nil"/>
            </w:tcBorders>
            <w:vAlign w:val="center"/>
          </w:tcPr>
          <w:p>
            <w:pPr>
              <w:pStyle w:val="Normal"/>
              <w:spacing w:lineRule="auto" w:line="276"/>
              <w:rPr/>
            </w:pPr>
            <w:r>
              <w:rPr>
                <w:color w:val="000000"/>
              </w:rPr>
              <w:t>RIL57</w:t>
            </w:r>
          </w:p>
        </w:tc>
        <w:tc>
          <w:tcPr>
            <w:tcW w:w="1877" w:type="dxa"/>
            <w:tcBorders>
              <w:top w:val="nil"/>
              <w:left w:val="nil"/>
              <w:bottom w:val="nil"/>
              <w:right w:val="nil"/>
            </w:tcBorders>
            <w:vAlign w:val="center"/>
          </w:tcPr>
          <w:p>
            <w:pPr>
              <w:pStyle w:val="Normal"/>
              <w:spacing w:lineRule="auto" w:line="276"/>
              <w:jc w:val="center"/>
              <w:rPr/>
            </w:pPr>
            <w:r>
              <w:rPr>
                <w:color w:val="000000"/>
              </w:rPr>
              <w:t>35.00000</w:t>
            </w:r>
          </w:p>
        </w:tc>
        <w:tc>
          <w:tcPr>
            <w:tcW w:w="1899" w:type="dxa"/>
            <w:tcBorders>
              <w:top w:val="nil"/>
              <w:left w:val="nil"/>
              <w:bottom w:val="nil"/>
              <w:right w:val="nil"/>
            </w:tcBorders>
            <w:vAlign w:val="center"/>
          </w:tcPr>
          <w:p>
            <w:pPr>
              <w:pStyle w:val="Normal"/>
              <w:spacing w:lineRule="auto" w:line="276"/>
              <w:jc w:val="center"/>
              <w:rPr/>
            </w:pPr>
            <w:r>
              <w:rPr>
                <w:color w:val="000000"/>
              </w:rPr>
              <w:t>15.058507</w:t>
            </w:r>
          </w:p>
        </w:tc>
        <w:tc>
          <w:tcPr>
            <w:tcW w:w="1857" w:type="dxa"/>
            <w:tcBorders>
              <w:top w:val="nil"/>
              <w:left w:val="nil"/>
              <w:bottom w:val="nil"/>
              <w:right w:val="nil"/>
            </w:tcBorders>
            <w:vAlign w:val="center"/>
          </w:tcPr>
          <w:p>
            <w:pPr>
              <w:pStyle w:val="Normal"/>
              <w:spacing w:lineRule="auto" w:line="276"/>
              <w:jc w:val="center"/>
              <w:rPr/>
            </w:pPr>
            <w:r>
              <w:rPr>
                <w:color w:val="000000"/>
              </w:rPr>
              <w:t>28.00000</w:t>
            </w:r>
          </w:p>
        </w:tc>
        <w:tc>
          <w:tcPr>
            <w:tcW w:w="1918" w:type="dxa"/>
            <w:tcBorders>
              <w:top w:val="nil"/>
              <w:left w:val="nil"/>
              <w:bottom w:val="nil"/>
              <w:right w:val="nil"/>
            </w:tcBorders>
            <w:vAlign w:val="center"/>
          </w:tcPr>
          <w:p>
            <w:pPr>
              <w:pStyle w:val="Normal"/>
              <w:spacing w:lineRule="auto" w:line="276"/>
              <w:jc w:val="center"/>
              <w:rPr/>
            </w:pPr>
            <w:r>
              <w:rPr>
                <w:color w:val="000000"/>
              </w:rPr>
              <w:t>8.878490</w:t>
            </w:r>
          </w:p>
        </w:tc>
      </w:tr>
      <w:tr>
        <w:trPr/>
        <w:tc>
          <w:tcPr>
            <w:tcW w:w="1809" w:type="dxa"/>
            <w:tcBorders>
              <w:top w:val="nil"/>
              <w:left w:val="nil"/>
              <w:bottom w:val="nil"/>
              <w:right w:val="nil"/>
            </w:tcBorders>
            <w:vAlign w:val="center"/>
          </w:tcPr>
          <w:p>
            <w:pPr>
              <w:pStyle w:val="Normal"/>
              <w:spacing w:lineRule="auto" w:line="276"/>
              <w:rPr/>
            </w:pPr>
            <w:r>
              <w:rPr>
                <w:color w:val="000000"/>
              </w:rPr>
              <w:t>RIL58</w:t>
            </w:r>
          </w:p>
        </w:tc>
        <w:tc>
          <w:tcPr>
            <w:tcW w:w="1877" w:type="dxa"/>
            <w:tcBorders>
              <w:top w:val="nil"/>
              <w:left w:val="nil"/>
              <w:bottom w:val="nil"/>
              <w:right w:val="nil"/>
            </w:tcBorders>
            <w:vAlign w:val="center"/>
          </w:tcPr>
          <w:p>
            <w:pPr>
              <w:pStyle w:val="Normal"/>
              <w:spacing w:lineRule="auto" w:line="276"/>
              <w:jc w:val="center"/>
              <w:rPr/>
            </w:pPr>
            <w:r>
              <w:rPr>
                <w:color w:val="000000"/>
              </w:rPr>
              <w:t>68.10714</w:t>
            </w:r>
          </w:p>
        </w:tc>
        <w:tc>
          <w:tcPr>
            <w:tcW w:w="1899" w:type="dxa"/>
            <w:tcBorders>
              <w:top w:val="nil"/>
              <w:left w:val="nil"/>
              <w:bottom w:val="nil"/>
              <w:right w:val="nil"/>
            </w:tcBorders>
            <w:vAlign w:val="center"/>
          </w:tcPr>
          <w:p>
            <w:pPr>
              <w:pStyle w:val="Normal"/>
              <w:spacing w:lineRule="auto" w:line="276"/>
              <w:jc w:val="center"/>
              <w:rPr/>
            </w:pPr>
            <w:r>
              <w:rPr>
                <w:color w:val="000000"/>
              </w:rPr>
              <w:t>18.174747</w:t>
            </w:r>
          </w:p>
        </w:tc>
        <w:tc>
          <w:tcPr>
            <w:tcW w:w="1857" w:type="dxa"/>
            <w:tcBorders>
              <w:top w:val="nil"/>
              <w:left w:val="nil"/>
              <w:bottom w:val="nil"/>
              <w:right w:val="nil"/>
            </w:tcBorders>
            <w:vAlign w:val="center"/>
          </w:tcPr>
          <w:p>
            <w:pPr>
              <w:pStyle w:val="Normal"/>
              <w:spacing w:lineRule="auto" w:line="276"/>
              <w:jc w:val="center"/>
              <w:rPr/>
            </w:pPr>
            <w:r>
              <w:rPr>
                <w:color w:val="000000"/>
              </w:rPr>
              <w:t>59.33333</w:t>
            </w:r>
          </w:p>
        </w:tc>
        <w:tc>
          <w:tcPr>
            <w:tcW w:w="1918" w:type="dxa"/>
            <w:tcBorders>
              <w:top w:val="nil"/>
              <w:left w:val="nil"/>
              <w:bottom w:val="nil"/>
              <w:right w:val="nil"/>
            </w:tcBorders>
            <w:vAlign w:val="center"/>
          </w:tcPr>
          <w:p>
            <w:pPr>
              <w:pStyle w:val="Normal"/>
              <w:spacing w:lineRule="auto" w:line="276"/>
              <w:jc w:val="center"/>
              <w:rPr/>
            </w:pPr>
            <w:r>
              <w:rPr>
                <w:color w:val="000000"/>
              </w:rPr>
              <w:t>18.775136</w:t>
            </w:r>
          </w:p>
        </w:tc>
      </w:tr>
      <w:tr>
        <w:trPr/>
        <w:tc>
          <w:tcPr>
            <w:tcW w:w="1809" w:type="dxa"/>
            <w:tcBorders>
              <w:top w:val="nil"/>
              <w:left w:val="nil"/>
              <w:bottom w:val="nil"/>
              <w:right w:val="nil"/>
            </w:tcBorders>
            <w:vAlign w:val="center"/>
          </w:tcPr>
          <w:p>
            <w:pPr>
              <w:pStyle w:val="Normal"/>
              <w:spacing w:lineRule="auto" w:line="276"/>
              <w:rPr/>
            </w:pPr>
            <w:r>
              <w:rPr>
                <w:color w:val="000000"/>
              </w:rPr>
              <w:t>RIL80</w:t>
            </w:r>
          </w:p>
        </w:tc>
        <w:tc>
          <w:tcPr>
            <w:tcW w:w="1877" w:type="dxa"/>
            <w:tcBorders>
              <w:top w:val="nil"/>
              <w:left w:val="nil"/>
              <w:bottom w:val="nil"/>
              <w:right w:val="nil"/>
            </w:tcBorders>
            <w:vAlign w:val="center"/>
          </w:tcPr>
          <w:p>
            <w:pPr>
              <w:pStyle w:val="Normal"/>
              <w:spacing w:lineRule="auto" w:line="276"/>
              <w:jc w:val="center"/>
              <w:rPr/>
            </w:pPr>
            <w:r>
              <w:rPr>
                <w:color w:val="000000"/>
              </w:rPr>
              <w:t>82.56667</w:t>
            </w:r>
          </w:p>
        </w:tc>
        <w:tc>
          <w:tcPr>
            <w:tcW w:w="1899" w:type="dxa"/>
            <w:tcBorders>
              <w:top w:val="nil"/>
              <w:left w:val="nil"/>
              <w:bottom w:val="nil"/>
              <w:right w:val="nil"/>
            </w:tcBorders>
            <w:vAlign w:val="center"/>
          </w:tcPr>
          <w:p>
            <w:pPr>
              <w:pStyle w:val="Normal"/>
              <w:spacing w:lineRule="auto" w:line="276"/>
              <w:jc w:val="center"/>
              <w:rPr/>
            </w:pPr>
            <w:r>
              <w:rPr>
                <w:color w:val="000000"/>
              </w:rPr>
              <w:t>12.350299</w:t>
            </w:r>
          </w:p>
        </w:tc>
        <w:tc>
          <w:tcPr>
            <w:tcW w:w="1857" w:type="dxa"/>
            <w:tcBorders>
              <w:top w:val="nil"/>
              <w:left w:val="nil"/>
              <w:bottom w:val="nil"/>
              <w:right w:val="nil"/>
            </w:tcBorders>
            <w:vAlign w:val="center"/>
          </w:tcPr>
          <w:p>
            <w:pPr>
              <w:pStyle w:val="Normal"/>
              <w:spacing w:lineRule="auto" w:line="276"/>
              <w:jc w:val="center"/>
              <w:rPr/>
            </w:pPr>
            <w:r>
              <w:rPr>
                <w:color w:val="000000"/>
              </w:rPr>
              <w:t>81.21429</w:t>
            </w:r>
          </w:p>
        </w:tc>
        <w:tc>
          <w:tcPr>
            <w:tcW w:w="1918" w:type="dxa"/>
            <w:tcBorders>
              <w:top w:val="nil"/>
              <w:left w:val="nil"/>
              <w:bottom w:val="nil"/>
              <w:right w:val="nil"/>
            </w:tcBorders>
            <w:vAlign w:val="center"/>
          </w:tcPr>
          <w:p>
            <w:pPr>
              <w:pStyle w:val="Normal"/>
              <w:spacing w:lineRule="auto" w:line="276"/>
              <w:jc w:val="center"/>
              <w:rPr/>
            </w:pPr>
            <w:r>
              <w:rPr>
                <w:color w:val="000000"/>
              </w:rPr>
              <w:t>11.939220</w:t>
            </w:r>
          </w:p>
        </w:tc>
      </w:tr>
      <w:tr>
        <w:trPr/>
        <w:tc>
          <w:tcPr>
            <w:tcW w:w="1809" w:type="dxa"/>
            <w:tcBorders>
              <w:top w:val="nil"/>
              <w:left w:val="nil"/>
              <w:bottom w:val="nil"/>
              <w:right w:val="nil"/>
            </w:tcBorders>
            <w:vAlign w:val="center"/>
          </w:tcPr>
          <w:p>
            <w:pPr>
              <w:pStyle w:val="Normal"/>
              <w:spacing w:lineRule="auto" w:line="276"/>
              <w:rPr/>
            </w:pPr>
            <w:r>
              <w:rPr>
                <w:color w:val="000000"/>
              </w:rPr>
              <w:t>RIL81</w:t>
            </w:r>
          </w:p>
        </w:tc>
        <w:tc>
          <w:tcPr>
            <w:tcW w:w="1877" w:type="dxa"/>
            <w:tcBorders>
              <w:top w:val="nil"/>
              <w:left w:val="nil"/>
              <w:bottom w:val="nil"/>
              <w:right w:val="nil"/>
            </w:tcBorders>
            <w:vAlign w:val="center"/>
          </w:tcPr>
          <w:p>
            <w:pPr>
              <w:pStyle w:val="Normal"/>
              <w:spacing w:lineRule="auto" w:line="276"/>
              <w:jc w:val="center"/>
              <w:rPr/>
            </w:pPr>
            <w:r>
              <w:rPr>
                <w:color w:val="000000"/>
              </w:rPr>
              <w:t>61.10000</w:t>
            </w:r>
          </w:p>
        </w:tc>
        <w:tc>
          <w:tcPr>
            <w:tcW w:w="1899" w:type="dxa"/>
            <w:tcBorders>
              <w:top w:val="nil"/>
              <w:left w:val="nil"/>
              <w:bottom w:val="nil"/>
              <w:right w:val="nil"/>
            </w:tcBorders>
            <w:vAlign w:val="center"/>
          </w:tcPr>
          <w:p>
            <w:pPr>
              <w:pStyle w:val="Normal"/>
              <w:spacing w:lineRule="auto" w:line="276"/>
              <w:jc w:val="center"/>
              <w:rPr/>
            </w:pPr>
            <w:r>
              <w:rPr>
                <w:color w:val="000000"/>
              </w:rPr>
              <w:t>15.114163</w:t>
            </w:r>
          </w:p>
        </w:tc>
        <w:tc>
          <w:tcPr>
            <w:tcW w:w="1857" w:type="dxa"/>
            <w:tcBorders>
              <w:top w:val="nil"/>
              <w:left w:val="nil"/>
              <w:bottom w:val="nil"/>
              <w:right w:val="nil"/>
            </w:tcBorders>
            <w:vAlign w:val="center"/>
          </w:tcPr>
          <w:p>
            <w:pPr>
              <w:pStyle w:val="Normal"/>
              <w:spacing w:lineRule="auto" w:line="276"/>
              <w:jc w:val="center"/>
              <w:rPr/>
            </w:pPr>
            <w:r>
              <w:rPr>
                <w:color w:val="000000"/>
              </w:rPr>
              <w:t>73.13333</w:t>
            </w:r>
          </w:p>
        </w:tc>
        <w:tc>
          <w:tcPr>
            <w:tcW w:w="1918" w:type="dxa"/>
            <w:tcBorders>
              <w:top w:val="nil"/>
              <w:left w:val="nil"/>
              <w:bottom w:val="nil"/>
              <w:right w:val="nil"/>
            </w:tcBorders>
            <w:vAlign w:val="center"/>
          </w:tcPr>
          <w:p>
            <w:pPr>
              <w:pStyle w:val="Normal"/>
              <w:spacing w:lineRule="auto" w:line="276"/>
              <w:jc w:val="center"/>
              <w:rPr/>
            </w:pPr>
            <w:r>
              <w:rPr>
                <w:color w:val="000000"/>
              </w:rPr>
              <w:t>12.724490</w:t>
            </w:r>
          </w:p>
        </w:tc>
      </w:tr>
      <w:tr>
        <w:trPr/>
        <w:tc>
          <w:tcPr>
            <w:tcW w:w="1809" w:type="dxa"/>
            <w:tcBorders>
              <w:top w:val="nil"/>
              <w:left w:val="nil"/>
              <w:right w:val="nil"/>
            </w:tcBorders>
            <w:vAlign w:val="center"/>
          </w:tcPr>
          <w:p>
            <w:pPr>
              <w:pStyle w:val="Normal"/>
              <w:spacing w:lineRule="auto" w:line="276"/>
              <w:rPr/>
            </w:pPr>
            <w:r>
              <w:rPr>
                <w:color w:val="000000"/>
              </w:rPr>
              <w:t>RIL93</w:t>
            </w:r>
          </w:p>
        </w:tc>
        <w:tc>
          <w:tcPr>
            <w:tcW w:w="1877" w:type="dxa"/>
            <w:tcBorders>
              <w:top w:val="nil"/>
              <w:left w:val="nil"/>
              <w:right w:val="nil"/>
            </w:tcBorders>
            <w:vAlign w:val="center"/>
          </w:tcPr>
          <w:p>
            <w:pPr>
              <w:pStyle w:val="Normal"/>
              <w:spacing w:lineRule="auto" w:line="276"/>
              <w:jc w:val="center"/>
              <w:rPr/>
            </w:pPr>
            <w:r>
              <w:rPr>
                <w:color w:val="000000"/>
              </w:rPr>
              <w:t>76.10714</w:t>
            </w:r>
          </w:p>
        </w:tc>
        <w:tc>
          <w:tcPr>
            <w:tcW w:w="1899" w:type="dxa"/>
            <w:tcBorders>
              <w:top w:val="nil"/>
              <w:left w:val="nil"/>
              <w:right w:val="nil"/>
            </w:tcBorders>
            <w:vAlign w:val="center"/>
          </w:tcPr>
          <w:p>
            <w:pPr>
              <w:pStyle w:val="Normal"/>
              <w:spacing w:lineRule="auto" w:line="276"/>
              <w:jc w:val="center"/>
              <w:rPr/>
            </w:pPr>
            <w:r>
              <w:rPr>
                <w:color w:val="000000"/>
              </w:rPr>
              <w:t>22.236672</w:t>
            </w:r>
          </w:p>
        </w:tc>
        <w:tc>
          <w:tcPr>
            <w:tcW w:w="1857" w:type="dxa"/>
            <w:tcBorders>
              <w:top w:val="nil"/>
              <w:left w:val="nil"/>
              <w:right w:val="nil"/>
            </w:tcBorders>
            <w:vAlign w:val="center"/>
          </w:tcPr>
          <w:p>
            <w:pPr>
              <w:pStyle w:val="Normal"/>
              <w:spacing w:lineRule="auto" w:line="276"/>
              <w:jc w:val="center"/>
              <w:rPr/>
            </w:pPr>
            <w:r>
              <w:rPr>
                <w:color w:val="000000"/>
              </w:rPr>
              <w:t>84.25926</w:t>
            </w:r>
          </w:p>
        </w:tc>
        <w:tc>
          <w:tcPr>
            <w:tcW w:w="1918" w:type="dxa"/>
            <w:tcBorders>
              <w:top w:val="nil"/>
              <w:left w:val="nil"/>
              <w:right w:val="nil"/>
            </w:tcBorders>
            <w:vAlign w:val="center"/>
          </w:tcPr>
          <w:p>
            <w:pPr>
              <w:pStyle w:val="Normal"/>
              <w:spacing w:lineRule="auto" w:line="276"/>
              <w:jc w:val="center"/>
              <w:rPr/>
            </w:pPr>
            <w:r>
              <w:rPr>
                <w:color w:val="000000"/>
              </w:rPr>
              <w:t>9.928950</w:t>
            </w:r>
          </w:p>
        </w:tc>
      </w:tr>
      <w:tr>
        <w:trPr/>
        <w:tc>
          <w:tcPr>
            <w:tcW w:w="9360" w:type="dxa"/>
            <w:gridSpan w:val="5"/>
            <w:tcBorders>
              <w:left w:val="nil"/>
              <w:bottom w:val="nil"/>
              <w:right w:val="nil"/>
            </w:tcBorders>
            <w:vAlign w:val="center"/>
          </w:tcPr>
          <w:p>
            <w:pPr>
              <w:pStyle w:val="Normal"/>
              <w:spacing w:lineRule="auto" w:line="276"/>
              <w:jc w:val="center"/>
              <w:rPr>
                <w:sz w:val="20"/>
                <w:szCs w:val="20"/>
              </w:rPr>
            </w:pPr>
            <w:r>
              <w:rPr>
                <w:color w:val="000000"/>
                <w:sz w:val="20"/>
                <w:szCs w:val="20"/>
              </w:rPr>
              <w:t xml:space="preserve">Paired </w:t>
            </w:r>
            <w:r>
              <w:rPr>
                <w:i/>
                <w:iCs/>
                <w:color w:val="000000"/>
                <w:sz w:val="20"/>
                <w:szCs w:val="20"/>
              </w:rPr>
              <w:t>t</w:t>
            </w:r>
            <w:r>
              <w:rPr>
                <w:i w:val="false"/>
                <w:iCs w:val="false"/>
                <w:color w:val="000000"/>
                <w:sz w:val="20"/>
                <w:szCs w:val="20"/>
              </w:rPr>
              <w:t>-</w:t>
            </w:r>
            <w:r>
              <w:rPr>
                <w:color w:val="000000"/>
                <w:sz w:val="20"/>
                <w:szCs w:val="20"/>
              </w:rPr>
              <w:t xml:space="preserve">test comparing mean CCRT in males and female: p-value = 0.07737 </w:t>
              <w:br/>
              <w:t>(t = -1.839, df = 26)</w:t>
            </w:r>
          </w:p>
        </w:tc>
      </w:tr>
    </w:tbl>
    <w:p>
      <w:pPr>
        <w:pStyle w:val="Normal"/>
        <w:spacing w:lineRule="auto" w:line="276"/>
        <w:rPr>
          <w:b/>
          <w:b/>
          <w:bCs/>
          <w:color w:val="000000" w:themeColor="text1"/>
          <w:sz w:val="22"/>
          <w:szCs w:val="22"/>
        </w:rPr>
      </w:pPr>
      <w:r>
        <w:rPr>
          <w:b/>
          <w:bCs/>
          <w:color w:val="000000" w:themeColor="text1"/>
          <w:sz w:val="22"/>
          <w:szCs w:val="22"/>
        </w:rPr>
      </w:r>
      <w:r>
        <w:br w:type="page"/>
      </w:r>
    </w:p>
    <w:p>
      <w:pPr>
        <w:pStyle w:val="Caption1"/>
        <w:spacing w:lineRule="auto" w:line="276" w:before="0" w:after="113"/>
        <w:rPr>
          <w:sz w:val="20"/>
          <w:szCs w:val="20"/>
        </w:rPr>
      </w:pPr>
      <w:r>
        <w:rPr>
          <w:b/>
          <w:bCs/>
          <w:sz w:val="20"/>
          <w:szCs w:val="20"/>
        </w:rPr>
        <w:t>Table S2:</w:t>
      </w:r>
      <w:r>
        <w:rPr>
          <w:sz w:val="20"/>
          <w:szCs w:val="20"/>
        </w:rPr>
        <w:t xml:space="preserve"> Mean mortality upon 8-hour cold shock and standard deviation of female and male flies of strains. The mortality represents number of dead flies in groups of 10. RIL-founder strains are shown in red.</w:t>
      </w:r>
    </w:p>
    <w:tbl>
      <w:tblPr>
        <w:tblStyle w:val="TableGrid"/>
        <w:tblW w:w="9361" w:type="dxa"/>
        <w:jc w:val="center"/>
        <w:tblInd w:w="0" w:type="dxa"/>
        <w:tblCellMar>
          <w:top w:w="0" w:type="dxa"/>
          <w:left w:w="108" w:type="dxa"/>
          <w:bottom w:w="0" w:type="dxa"/>
          <w:right w:w="108" w:type="dxa"/>
        </w:tblCellMar>
        <w:tblLook w:val="04a0" w:noHBand="0" w:noVBand="1" w:firstColumn="1" w:lastRow="0" w:lastColumn="0" w:firstRow="1"/>
      </w:tblPr>
      <w:tblGrid>
        <w:gridCol w:w="1823"/>
        <w:gridCol w:w="1890"/>
        <w:gridCol w:w="1879"/>
        <w:gridCol w:w="1865"/>
        <w:gridCol w:w="1904"/>
      </w:tblGrid>
      <w:tr>
        <w:trPr/>
        <w:tc>
          <w:tcPr>
            <w:tcW w:w="1823" w:type="dxa"/>
            <w:vMerge w:val="restart"/>
            <w:tcBorders>
              <w:top w:val="nil"/>
              <w:left w:val="nil"/>
              <w:bottom w:val="nil"/>
              <w:right w:val="nil"/>
            </w:tcBorders>
            <w:vAlign w:val="bottom"/>
          </w:tcPr>
          <w:p>
            <w:pPr>
              <w:pStyle w:val="Normal"/>
              <w:spacing w:lineRule="auto" w:line="276"/>
              <w:rPr/>
            </w:pPr>
            <w:r>
              <w:rPr>
                <w:b/>
                <w:bCs/>
              </w:rPr>
              <w:t>Line</w:t>
            </w:r>
          </w:p>
        </w:tc>
        <w:tc>
          <w:tcPr>
            <w:tcW w:w="3769" w:type="dxa"/>
            <w:gridSpan w:val="2"/>
            <w:tcBorders>
              <w:top w:val="nil"/>
              <w:left w:val="nil"/>
              <w:bottom w:val="nil"/>
              <w:right w:val="nil"/>
            </w:tcBorders>
            <w:vAlign w:val="center"/>
          </w:tcPr>
          <w:p>
            <w:pPr>
              <w:pStyle w:val="Normal"/>
              <w:spacing w:lineRule="auto" w:line="276"/>
              <w:jc w:val="center"/>
              <w:rPr/>
            </w:pPr>
            <w:r>
              <w:rPr>
                <w:b/>
                <w:bCs/>
              </w:rPr>
              <w:t>Females</w:t>
            </w:r>
          </w:p>
        </w:tc>
        <w:tc>
          <w:tcPr>
            <w:tcW w:w="3769" w:type="dxa"/>
            <w:gridSpan w:val="2"/>
            <w:tcBorders>
              <w:top w:val="nil"/>
              <w:left w:val="nil"/>
              <w:bottom w:val="nil"/>
              <w:right w:val="nil"/>
            </w:tcBorders>
          </w:tcPr>
          <w:p>
            <w:pPr>
              <w:pStyle w:val="Normal"/>
              <w:spacing w:lineRule="auto" w:line="276"/>
              <w:jc w:val="center"/>
              <w:rPr/>
            </w:pPr>
            <w:r>
              <w:rPr>
                <w:b/>
                <w:bCs/>
              </w:rPr>
              <w:t>Males</w:t>
            </w:r>
          </w:p>
        </w:tc>
      </w:tr>
      <w:tr>
        <w:trPr/>
        <w:tc>
          <w:tcPr>
            <w:tcW w:w="1823" w:type="dxa"/>
            <w:vMerge w:val="continue"/>
            <w:tcBorders>
              <w:top w:val="nil"/>
              <w:left w:val="nil"/>
              <w:right w:val="nil"/>
            </w:tcBorders>
            <w:vAlign w:val="center"/>
          </w:tcPr>
          <w:p>
            <w:pPr>
              <w:pStyle w:val="Normal"/>
              <w:spacing w:lineRule="auto" w:line="276"/>
              <w:rPr>
                <w:b/>
                <w:b/>
                <w:bCs/>
              </w:rPr>
            </w:pPr>
            <w:r>
              <w:rPr>
                <w:b/>
                <w:bCs/>
              </w:rPr>
            </w:r>
          </w:p>
        </w:tc>
        <w:tc>
          <w:tcPr>
            <w:tcW w:w="1890" w:type="dxa"/>
            <w:tcBorders>
              <w:top w:val="nil"/>
              <w:left w:val="nil"/>
              <w:right w:val="nil"/>
            </w:tcBorders>
            <w:vAlign w:val="center"/>
          </w:tcPr>
          <w:p>
            <w:pPr>
              <w:pStyle w:val="Normal"/>
              <w:spacing w:lineRule="auto" w:line="276"/>
              <w:jc w:val="center"/>
              <w:rPr/>
            </w:pPr>
            <w:r>
              <w:rPr>
                <w:b/>
                <w:bCs/>
              </w:rPr>
              <w:t>Mean Mortality</w:t>
            </w:r>
          </w:p>
        </w:tc>
        <w:tc>
          <w:tcPr>
            <w:tcW w:w="1879" w:type="dxa"/>
            <w:tcBorders>
              <w:top w:val="nil"/>
              <w:left w:val="nil"/>
              <w:right w:val="nil"/>
            </w:tcBorders>
          </w:tcPr>
          <w:p>
            <w:pPr>
              <w:pStyle w:val="Normal"/>
              <w:spacing w:lineRule="auto" w:line="276"/>
              <w:jc w:val="center"/>
              <w:rPr/>
            </w:pPr>
            <w:r>
              <w:rPr>
                <w:b/>
                <w:bCs/>
              </w:rPr>
              <w:t>St Dev</w:t>
            </w:r>
          </w:p>
        </w:tc>
        <w:tc>
          <w:tcPr>
            <w:tcW w:w="1865" w:type="dxa"/>
            <w:tcBorders>
              <w:top w:val="nil"/>
              <w:left w:val="nil"/>
              <w:right w:val="nil"/>
            </w:tcBorders>
          </w:tcPr>
          <w:p>
            <w:pPr>
              <w:pStyle w:val="Normal"/>
              <w:spacing w:lineRule="auto" w:line="276"/>
              <w:jc w:val="center"/>
              <w:rPr/>
            </w:pPr>
            <w:r>
              <w:rPr>
                <w:b/>
                <w:bCs/>
              </w:rPr>
              <w:t>Mean Mortality</w:t>
            </w:r>
          </w:p>
        </w:tc>
        <w:tc>
          <w:tcPr>
            <w:tcW w:w="1904" w:type="dxa"/>
            <w:tcBorders>
              <w:top w:val="nil"/>
              <w:left w:val="nil"/>
              <w:right w:val="nil"/>
            </w:tcBorders>
            <w:vAlign w:val="center"/>
          </w:tcPr>
          <w:p>
            <w:pPr>
              <w:pStyle w:val="Normal"/>
              <w:spacing w:lineRule="auto" w:line="276"/>
              <w:jc w:val="center"/>
              <w:rPr/>
            </w:pPr>
            <w:r>
              <w:rPr>
                <w:b/>
                <w:bCs/>
              </w:rPr>
              <w:t>St Dev</w:t>
            </w:r>
          </w:p>
        </w:tc>
      </w:tr>
      <w:tr>
        <w:trPr/>
        <w:tc>
          <w:tcPr>
            <w:tcW w:w="1823" w:type="dxa"/>
            <w:tcBorders>
              <w:left w:val="nil"/>
              <w:bottom w:val="nil"/>
              <w:right w:val="nil"/>
            </w:tcBorders>
            <w:vAlign w:val="center"/>
          </w:tcPr>
          <w:p>
            <w:pPr>
              <w:pStyle w:val="Normal"/>
              <w:spacing w:lineRule="auto" w:line="276"/>
              <w:rPr/>
            </w:pPr>
            <w:r>
              <w:rPr>
                <w:color w:val="000000"/>
              </w:rPr>
              <w:t>BKK5</w:t>
            </w:r>
          </w:p>
        </w:tc>
        <w:tc>
          <w:tcPr>
            <w:tcW w:w="1890" w:type="dxa"/>
            <w:tcBorders>
              <w:left w:val="nil"/>
              <w:bottom w:val="nil"/>
              <w:right w:val="nil"/>
            </w:tcBorders>
            <w:vAlign w:val="center"/>
          </w:tcPr>
          <w:p>
            <w:pPr>
              <w:pStyle w:val="Normal"/>
              <w:spacing w:lineRule="auto" w:line="276"/>
              <w:jc w:val="center"/>
              <w:rPr/>
            </w:pPr>
            <w:r>
              <w:rPr>
                <w:color w:val="000000"/>
              </w:rPr>
              <w:t>4.00</w:t>
            </w:r>
          </w:p>
        </w:tc>
        <w:tc>
          <w:tcPr>
            <w:tcW w:w="1879" w:type="dxa"/>
            <w:tcBorders>
              <w:left w:val="nil"/>
              <w:bottom w:val="nil"/>
              <w:right w:val="nil"/>
            </w:tcBorders>
            <w:vAlign w:val="center"/>
          </w:tcPr>
          <w:p>
            <w:pPr>
              <w:pStyle w:val="Normal"/>
              <w:spacing w:lineRule="auto" w:line="276"/>
              <w:jc w:val="center"/>
              <w:rPr/>
            </w:pPr>
            <w:r>
              <w:rPr>
                <w:color w:val="000000"/>
              </w:rPr>
              <w:t>2.0000000</w:t>
            </w:r>
          </w:p>
        </w:tc>
        <w:tc>
          <w:tcPr>
            <w:tcW w:w="1865" w:type="dxa"/>
            <w:tcBorders>
              <w:left w:val="nil"/>
              <w:bottom w:val="nil"/>
              <w:right w:val="nil"/>
            </w:tcBorders>
            <w:vAlign w:val="center"/>
          </w:tcPr>
          <w:p>
            <w:pPr>
              <w:pStyle w:val="Normal"/>
              <w:spacing w:lineRule="auto" w:line="276"/>
              <w:jc w:val="center"/>
              <w:rPr/>
            </w:pPr>
            <w:r>
              <w:rPr>
                <w:color w:val="000000"/>
              </w:rPr>
              <w:t>4.00</w:t>
            </w:r>
          </w:p>
        </w:tc>
        <w:tc>
          <w:tcPr>
            <w:tcW w:w="1904" w:type="dxa"/>
            <w:tcBorders>
              <w:left w:val="nil"/>
              <w:bottom w:val="nil"/>
              <w:right w:val="nil"/>
            </w:tcBorders>
            <w:vAlign w:val="center"/>
          </w:tcPr>
          <w:p>
            <w:pPr>
              <w:pStyle w:val="Normal"/>
              <w:spacing w:lineRule="auto" w:line="276"/>
              <w:jc w:val="center"/>
              <w:rPr/>
            </w:pPr>
            <w:r>
              <w:rPr>
                <w:color w:val="000000"/>
              </w:rPr>
              <w:t>1.7320508</w:t>
            </w:r>
          </w:p>
        </w:tc>
      </w:tr>
      <w:tr>
        <w:trPr/>
        <w:tc>
          <w:tcPr>
            <w:tcW w:w="1823" w:type="dxa"/>
            <w:tcBorders>
              <w:top w:val="nil"/>
              <w:left w:val="nil"/>
              <w:bottom w:val="nil"/>
              <w:right w:val="nil"/>
            </w:tcBorders>
            <w:vAlign w:val="center"/>
          </w:tcPr>
          <w:p>
            <w:pPr>
              <w:pStyle w:val="Normal"/>
              <w:spacing w:lineRule="auto" w:line="276"/>
              <w:rPr/>
            </w:pPr>
            <w:r>
              <w:rPr>
                <w:color w:val="000000"/>
              </w:rPr>
              <w:t>BKK6</w:t>
            </w:r>
          </w:p>
        </w:tc>
        <w:tc>
          <w:tcPr>
            <w:tcW w:w="1890" w:type="dxa"/>
            <w:tcBorders>
              <w:top w:val="nil"/>
              <w:left w:val="nil"/>
              <w:bottom w:val="nil"/>
              <w:right w:val="nil"/>
            </w:tcBorders>
            <w:vAlign w:val="center"/>
          </w:tcPr>
          <w:p>
            <w:pPr>
              <w:pStyle w:val="Normal"/>
              <w:spacing w:lineRule="auto" w:line="276"/>
              <w:jc w:val="center"/>
              <w:rPr/>
            </w:pPr>
            <w:r>
              <w:rPr>
                <w:color w:val="000000"/>
              </w:rPr>
              <w:t>3.00</w:t>
            </w:r>
          </w:p>
        </w:tc>
        <w:tc>
          <w:tcPr>
            <w:tcW w:w="1879" w:type="dxa"/>
            <w:tcBorders>
              <w:top w:val="nil"/>
              <w:left w:val="nil"/>
              <w:bottom w:val="nil"/>
              <w:right w:val="nil"/>
            </w:tcBorders>
            <w:vAlign w:val="center"/>
          </w:tcPr>
          <w:p>
            <w:pPr>
              <w:pStyle w:val="Normal"/>
              <w:spacing w:lineRule="auto" w:line="276"/>
              <w:jc w:val="center"/>
              <w:rPr/>
            </w:pPr>
            <w:r>
              <w:rPr>
                <w:color w:val="000000"/>
              </w:rPr>
              <w:t>2.0000000</w:t>
            </w:r>
          </w:p>
        </w:tc>
        <w:tc>
          <w:tcPr>
            <w:tcW w:w="1865" w:type="dxa"/>
            <w:tcBorders>
              <w:top w:val="nil"/>
              <w:left w:val="nil"/>
              <w:bottom w:val="nil"/>
              <w:right w:val="nil"/>
            </w:tcBorders>
            <w:vAlign w:val="center"/>
          </w:tcPr>
          <w:p>
            <w:pPr>
              <w:pStyle w:val="Normal"/>
              <w:spacing w:lineRule="auto" w:line="276"/>
              <w:jc w:val="center"/>
              <w:rPr/>
            </w:pPr>
            <w:r>
              <w:rPr>
                <w:color w:val="000000"/>
              </w:rPr>
              <w:t>3.33</w:t>
            </w:r>
          </w:p>
        </w:tc>
        <w:tc>
          <w:tcPr>
            <w:tcW w:w="1904" w:type="dxa"/>
            <w:tcBorders>
              <w:top w:val="nil"/>
              <w:left w:val="nil"/>
              <w:bottom w:val="nil"/>
              <w:right w:val="nil"/>
            </w:tcBorders>
            <w:vAlign w:val="center"/>
          </w:tcPr>
          <w:p>
            <w:pPr>
              <w:pStyle w:val="Normal"/>
              <w:spacing w:lineRule="auto" w:line="276"/>
              <w:jc w:val="center"/>
              <w:rPr/>
            </w:pPr>
            <w:r>
              <w:rPr>
                <w:color w:val="000000"/>
              </w:rPr>
              <w:t>1.5275252</w:t>
            </w:r>
          </w:p>
        </w:tc>
      </w:tr>
      <w:tr>
        <w:trPr/>
        <w:tc>
          <w:tcPr>
            <w:tcW w:w="1823" w:type="dxa"/>
            <w:tcBorders>
              <w:top w:val="nil"/>
              <w:left w:val="nil"/>
              <w:bottom w:val="nil"/>
              <w:right w:val="nil"/>
            </w:tcBorders>
            <w:vAlign w:val="center"/>
          </w:tcPr>
          <w:p>
            <w:pPr>
              <w:pStyle w:val="Normal"/>
              <w:spacing w:lineRule="auto" w:line="276"/>
              <w:rPr/>
            </w:pPr>
            <w:r>
              <w:rPr>
                <w:color w:val="000000"/>
              </w:rPr>
              <w:t>BKK10</w:t>
            </w:r>
          </w:p>
        </w:tc>
        <w:tc>
          <w:tcPr>
            <w:tcW w:w="1890" w:type="dxa"/>
            <w:tcBorders>
              <w:top w:val="nil"/>
              <w:left w:val="nil"/>
              <w:bottom w:val="nil"/>
              <w:right w:val="nil"/>
            </w:tcBorders>
            <w:vAlign w:val="center"/>
          </w:tcPr>
          <w:p>
            <w:pPr>
              <w:pStyle w:val="Normal"/>
              <w:spacing w:lineRule="auto" w:line="276"/>
              <w:jc w:val="center"/>
              <w:rPr/>
            </w:pPr>
            <w:r>
              <w:rPr>
                <w:color w:val="000000"/>
              </w:rPr>
              <w:t>4.33</w:t>
            </w:r>
          </w:p>
        </w:tc>
        <w:tc>
          <w:tcPr>
            <w:tcW w:w="1879" w:type="dxa"/>
            <w:tcBorders>
              <w:top w:val="nil"/>
              <w:left w:val="nil"/>
              <w:bottom w:val="nil"/>
              <w:right w:val="nil"/>
            </w:tcBorders>
            <w:vAlign w:val="center"/>
          </w:tcPr>
          <w:p>
            <w:pPr>
              <w:pStyle w:val="Normal"/>
              <w:spacing w:lineRule="auto" w:line="276"/>
              <w:jc w:val="center"/>
              <w:rPr/>
            </w:pPr>
            <w:r>
              <w:rPr>
                <w:color w:val="000000"/>
              </w:rPr>
              <w:t>2.5166115</w:t>
            </w:r>
          </w:p>
        </w:tc>
        <w:tc>
          <w:tcPr>
            <w:tcW w:w="1865" w:type="dxa"/>
            <w:tcBorders>
              <w:top w:val="nil"/>
              <w:left w:val="nil"/>
              <w:bottom w:val="nil"/>
              <w:right w:val="nil"/>
            </w:tcBorders>
            <w:vAlign w:val="center"/>
          </w:tcPr>
          <w:p>
            <w:pPr>
              <w:pStyle w:val="Normal"/>
              <w:spacing w:lineRule="auto" w:line="276"/>
              <w:jc w:val="center"/>
              <w:rPr/>
            </w:pPr>
            <w:r>
              <w:rPr>
                <w:color w:val="000000"/>
              </w:rPr>
              <w:t>3.67</w:t>
            </w:r>
          </w:p>
        </w:tc>
        <w:tc>
          <w:tcPr>
            <w:tcW w:w="1904" w:type="dxa"/>
            <w:tcBorders>
              <w:top w:val="nil"/>
              <w:left w:val="nil"/>
              <w:bottom w:val="nil"/>
              <w:right w:val="nil"/>
            </w:tcBorders>
            <w:vAlign w:val="center"/>
          </w:tcPr>
          <w:p>
            <w:pPr>
              <w:pStyle w:val="Normal"/>
              <w:spacing w:lineRule="auto" w:line="276"/>
              <w:jc w:val="center"/>
              <w:rPr/>
            </w:pPr>
            <w:r>
              <w:rPr>
                <w:color w:val="000000"/>
              </w:rPr>
              <w:t>2.0816660</w:t>
            </w:r>
          </w:p>
        </w:tc>
      </w:tr>
      <w:tr>
        <w:trPr/>
        <w:tc>
          <w:tcPr>
            <w:tcW w:w="1823" w:type="dxa"/>
            <w:tcBorders>
              <w:top w:val="nil"/>
              <w:left w:val="nil"/>
              <w:bottom w:val="nil"/>
              <w:right w:val="nil"/>
            </w:tcBorders>
            <w:vAlign w:val="center"/>
          </w:tcPr>
          <w:p>
            <w:pPr>
              <w:pStyle w:val="Normal"/>
              <w:spacing w:lineRule="auto" w:line="276"/>
              <w:rPr/>
            </w:pPr>
            <w:r>
              <w:rPr>
                <w:color w:val="FF0000"/>
              </w:rPr>
              <w:t>BKK12</w:t>
            </w:r>
          </w:p>
        </w:tc>
        <w:tc>
          <w:tcPr>
            <w:tcW w:w="1890" w:type="dxa"/>
            <w:tcBorders>
              <w:top w:val="nil"/>
              <w:left w:val="nil"/>
              <w:bottom w:val="nil"/>
              <w:right w:val="nil"/>
            </w:tcBorders>
            <w:vAlign w:val="center"/>
          </w:tcPr>
          <w:p>
            <w:pPr>
              <w:pStyle w:val="Normal"/>
              <w:spacing w:lineRule="auto" w:line="276"/>
              <w:jc w:val="center"/>
              <w:rPr/>
            </w:pPr>
            <w:r>
              <w:rPr>
                <w:color w:val="FF0000"/>
              </w:rPr>
              <w:t>0.33</w:t>
            </w:r>
          </w:p>
        </w:tc>
        <w:tc>
          <w:tcPr>
            <w:tcW w:w="1879" w:type="dxa"/>
            <w:tcBorders>
              <w:top w:val="nil"/>
              <w:left w:val="nil"/>
              <w:bottom w:val="nil"/>
              <w:right w:val="nil"/>
            </w:tcBorders>
            <w:vAlign w:val="center"/>
          </w:tcPr>
          <w:p>
            <w:pPr>
              <w:pStyle w:val="Normal"/>
              <w:spacing w:lineRule="auto" w:line="276"/>
              <w:jc w:val="center"/>
              <w:rPr/>
            </w:pPr>
            <w:r>
              <w:rPr>
                <w:color w:val="FF0000"/>
              </w:rPr>
              <w:t>0.5773503</w:t>
            </w:r>
          </w:p>
        </w:tc>
        <w:tc>
          <w:tcPr>
            <w:tcW w:w="1865" w:type="dxa"/>
            <w:tcBorders>
              <w:top w:val="nil"/>
              <w:left w:val="nil"/>
              <w:bottom w:val="nil"/>
              <w:right w:val="nil"/>
            </w:tcBorders>
            <w:vAlign w:val="center"/>
          </w:tcPr>
          <w:p>
            <w:pPr>
              <w:pStyle w:val="Normal"/>
              <w:spacing w:lineRule="auto" w:line="276"/>
              <w:jc w:val="center"/>
              <w:rPr/>
            </w:pPr>
            <w:r>
              <w:rPr>
                <w:color w:val="FF0000"/>
              </w:rPr>
              <w:t>0.33</w:t>
            </w:r>
          </w:p>
        </w:tc>
        <w:tc>
          <w:tcPr>
            <w:tcW w:w="1904" w:type="dxa"/>
            <w:tcBorders>
              <w:top w:val="nil"/>
              <w:left w:val="nil"/>
              <w:bottom w:val="nil"/>
              <w:right w:val="nil"/>
            </w:tcBorders>
            <w:vAlign w:val="center"/>
          </w:tcPr>
          <w:p>
            <w:pPr>
              <w:pStyle w:val="Normal"/>
              <w:spacing w:lineRule="auto" w:line="276"/>
              <w:jc w:val="center"/>
              <w:rPr/>
            </w:pPr>
            <w:r>
              <w:rPr>
                <w:color w:val="FF0000"/>
              </w:rPr>
              <w:t>0.5773503</w:t>
            </w:r>
          </w:p>
        </w:tc>
      </w:tr>
      <w:tr>
        <w:trPr/>
        <w:tc>
          <w:tcPr>
            <w:tcW w:w="1823" w:type="dxa"/>
            <w:tcBorders>
              <w:top w:val="nil"/>
              <w:left w:val="nil"/>
              <w:bottom w:val="nil"/>
              <w:right w:val="nil"/>
            </w:tcBorders>
            <w:vAlign w:val="center"/>
          </w:tcPr>
          <w:p>
            <w:pPr>
              <w:pStyle w:val="Normal"/>
              <w:spacing w:lineRule="auto" w:line="276"/>
              <w:rPr/>
            </w:pPr>
            <w:r>
              <w:rPr>
                <w:color w:val="FF0000"/>
              </w:rPr>
              <w:t>BKK13</w:t>
            </w:r>
          </w:p>
        </w:tc>
        <w:tc>
          <w:tcPr>
            <w:tcW w:w="1890" w:type="dxa"/>
            <w:tcBorders>
              <w:top w:val="nil"/>
              <w:left w:val="nil"/>
              <w:bottom w:val="nil"/>
              <w:right w:val="nil"/>
            </w:tcBorders>
            <w:vAlign w:val="center"/>
          </w:tcPr>
          <w:p>
            <w:pPr>
              <w:pStyle w:val="Normal"/>
              <w:spacing w:lineRule="auto" w:line="276"/>
              <w:jc w:val="center"/>
              <w:rPr/>
            </w:pPr>
            <w:r>
              <w:rPr>
                <w:color w:val="FF0000"/>
              </w:rPr>
              <w:t>6.67</w:t>
            </w:r>
          </w:p>
        </w:tc>
        <w:tc>
          <w:tcPr>
            <w:tcW w:w="1879" w:type="dxa"/>
            <w:tcBorders>
              <w:top w:val="nil"/>
              <w:left w:val="nil"/>
              <w:bottom w:val="nil"/>
              <w:right w:val="nil"/>
            </w:tcBorders>
            <w:vAlign w:val="center"/>
          </w:tcPr>
          <w:p>
            <w:pPr>
              <w:pStyle w:val="Normal"/>
              <w:spacing w:lineRule="auto" w:line="276"/>
              <w:jc w:val="center"/>
              <w:rPr/>
            </w:pPr>
            <w:r>
              <w:rPr>
                <w:color w:val="FF0000"/>
              </w:rPr>
              <w:t>1.5275252</w:t>
            </w:r>
          </w:p>
        </w:tc>
        <w:tc>
          <w:tcPr>
            <w:tcW w:w="1865" w:type="dxa"/>
            <w:tcBorders>
              <w:top w:val="nil"/>
              <w:left w:val="nil"/>
              <w:bottom w:val="nil"/>
              <w:right w:val="nil"/>
            </w:tcBorders>
            <w:vAlign w:val="center"/>
          </w:tcPr>
          <w:p>
            <w:pPr>
              <w:pStyle w:val="Normal"/>
              <w:spacing w:lineRule="auto" w:line="276"/>
              <w:jc w:val="center"/>
              <w:rPr/>
            </w:pPr>
            <w:r>
              <w:rPr>
                <w:color w:val="FF0000"/>
              </w:rPr>
              <w:t>5.00</w:t>
            </w:r>
          </w:p>
        </w:tc>
        <w:tc>
          <w:tcPr>
            <w:tcW w:w="1904" w:type="dxa"/>
            <w:tcBorders>
              <w:top w:val="nil"/>
              <w:left w:val="nil"/>
              <w:bottom w:val="nil"/>
              <w:right w:val="nil"/>
            </w:tcBorders>
            <w:vAlign w:val="center"/>
          </w:tcPr>
          <w:p>
            <w:pPr>
              <w:pStyle w:val="Normal"/>
              <w:spacing w:lineRule="auto" w:line="276"/>
              <w:jc w:val="center"/>
              <w:rPr/>
            </w:pPr>
            <w:r>
              <w:rPr>
                <w:color w:val="FF0000"/>
              </w:rPr>
              <w:t>2.6457513</w:t>
            </w:r>
          </w:p>
        </w:tc>
      </w:tr>
      <w:tr>
        <w:trPr/>
        <w:tc>
          <w:tcPr>
            <w:tcW w:w="1823" w:type="dxa"/>
            <w:tcBorders>
              <w:top w:val="nil"/>
              <w:left w:val="nil"/>
              <w:bottom w:val="nil"/>
              <w:right w:val="nil"/>
            </w:tcBorders>
            <w:vAlign w:val="center"/>
          </w:tcPr>
          <w:p>
            <w:pPr>
              <w:pStyle w:val="Normal"/>
              <w:spacing w:lineRule="auto" w:line="276"/>
              <w:rPr/>
            </w:pPr>
            <w:r>
              <w:rPr>
                <w:color w:val="000000"/>
              </w:rPr>
              <w:t>BKK16</w:t>
            </w:r>
          </w:p>
        </w:tc>
        <w:tc>
          <w:tcPr>
            <w:tcW w:w="1890" w:type="dxa"/>
            <w:tcBorders>
              <w:top w:val="nil"/>
              <w:left w:val="nil"/>
              <w:bottom w:val="nil"/>
              <w:right w:val="nil"/>
            </w:tcBorders>
            <w:vAlign w:val="center"/>
          </w:tcPr>
          <w:p>
            <w:pPr>
              <w:pStyle w:val="Normal"/>
              <w:spacing w:lineRule="auto" w:line="276"/>
              <w:jc w:val="center"/>
              <w:rPr/>
            </w:pPr>
            <w:r>
              <w:rPr>
                <w:color w:val="000000"/>
              </w:rPr>
              <w:t>6.00</w:t>
            </w:r>
          </w:p>
        </w:tc>
        <w:tc>
          <w:tcPr>
            <w:tcW w:w="1879" w:type="dxa"/>
            <w:tcBorders>
              <w:top w:val="nil"/>
              <w:left w:val="nil"/>
              <w:bottom w:val="nil"/>
              <w:right w:val="nil"/>
            </w:tcBorders>
            <w:vAlign w:val="center"/>
          </w:tcPr>
          <w:p>
            <w:pPr>
              <w:pStyle w:val="Normal"/>
              <w:spacing w:lineRule="auto" w:line="276"/>
              <w:jc w:val="center"/>
              <w:rPr/>
            </w:pPr>
            <w:r>
              <w:rPr>
                <w:color w:val="000000"/>
              </w:rPr>
              <w:t>2.6457513</w:t>
            </w:r>
          </w:p>
        </w:tc>
        <w:tc>
          <w:tcPr>
            <w:tcW w:w="1865" w:type="dxa"/>
            <w:tcBorders>
              <w:top w:val="nil"/>
              <w:left w:val="nil"/>
              <w:bottom w:val="nil"/>
              <w:right w:val="nil"/>
            </w:tcBorders>
            <w:vAlign w:val="center"/>
          </w:tcPr>
          <w:p>
            <w:pPr>
              <w:pStyle w:val="Normal"/>
              <w:spacing w:lineRule="auto" w:line="276"/>
              <w:jc w:val="center"/>
              <w:rPr/>
            </w:pPr>
            <w:r>
              <w:rPr>
                <w:color w:val="000000"/>
              </w:rPr>
              <w:t>5.00</w:t>
            </w:r>
          </w:p>
        </w:tc>
        <w:tc>
          <w:tcPr>
            <w:tcW w:w="1904" w:type="dxa"/>
            <w:tcBorders>
              <w:top w:val="nil"/>
              <w:left w:val="nil"/>
              <w:bottom w:val="nil"/>
              <w:right w:val="nil"/>
            </w:tcBorders>
            <w:vAlign w:val="center"/>
          </w:tcPr>
          <w:p>
            <w:pPr>
              <w:pStyle w:val="Normal"/>
              <w:spacing w:lineRule="auto" w:line="276"/>
              <w:jc w:val="center"/>
              <w:rPr/>
            </w:pPr>
            <w:r>
              <w:rPr>
                <w:color w:val="000000"/>
              </w:rPr>
              <w:t>2.6457513</w:t>
            </w:r>
          </w:p>
        </w:tc>
      </w:tr>
      <w:tr>
        <w:trPr/>
        <w:tc>
          <w:tcPr>
            <w:tcW w:w="1823" w:type="dxa"/>
            <w:tcBorders>
              <w:top w:val="nil"/>
              <w:left w:val="nil"/>
              <w:bottom w:val="nil"/>
              <w:right w:val="nil"/>
            </w:tcBorders>
            <w:vAlign w:val="center"/>
          </w:tcPr>
          <w:p>
            <w:pPr>
              <w:pStyle w:val="Normal"/>
              <w:spacing w:lineRule="auto" w:line="276"/>
              <w:rPr/>
            </w:pPr>
            <w:r>
              <w:rPr>
                <w:color w:val="000000"/>
              </w:rPr>
              <w:t>BKK17</w:t>
            </w:r>
          </w:p>
        </w:tc>
        <w:tc>
          <w:tcPr>
            <w:tcW w:w="1890" w:type="dxa"/>
            <w:tcBorders>
              <w:top w:val="nil"/>
              <w:left w:val="nil"/>
              <w:bottom w:val="nil"/>
              <w:right w:val="nil"/>
            </w:tcBorders>
            <w:vAlign w:val="center"/>
          </w:tcPr>
          <w:p>
            <w:pPr>
              <w:pStyle w:val="Normal"/>
              <w:spacing w:lineRule="auto" w:line="276"/>
              <w:jc w:val="center"/>
              <w:rPr/>
            </w:pPr>
            <w:r>
              <w:rPr>
                <w:color w:val="000000"/>
              </w:rPr>
              <w:t>6.67</w:t>
            </w:r>
          </w:p>
        </w:tc>
        <w:tc>
          <w:tcPr>
            <w:tcW w:w="1879" w:type="dxa"/>
            <w:tcBorders>
              <w:top w:val="nil"/>
              <w:left w:val="nil"/>
              <w:bottom w:val="nil"/>
              <w:right w:val="nil"/>
            </w:tcBorders>
            <w:vAlign w:val="center"/>
          </w:tcPr>
          <w:p>
            <w:pPr>
              <w:pStyle w:val="Normal"/>
              <w:spacing w:lineRule="auto" w:line="276"/>
              <w:jc w:val="center"/>
              <w:rPr/>
            </w:pPr>
            <w:r>
              <w:rPr>
                <w:color w:val="000000"/>
              </w:rPr>
              <w:t>1.1547005</w:t>
            </w:r>
          </w:p>
        </w:tc>
        <w:tc>
          <w:tcPr>
            <w:tcW w:w="1865" w:type="dxa"/>
            <w:tcBorders>
              <w:top w:val="nil"/>
              <w:left w:val="nil"/>
              <w:bottom w:val="nil"/>
              <w:right w:val="nil"/>
            </w:tcBorders>
            <w:vAlign w:val="center"/>
          </w:tcPr>
          <w:p>
            <w:pPr>
              <w:pStyle w:val="Normal"/>
              <w:spacing w:lineRule="auto" w:line="276"/>
              <w:jc w:val="center"/>
              <w:rPr/>
            </w:pPr>
            <w:r>
              <w:rPr>
                <w:color w:val="000000"/>
              </w:rPr>
              <w:t>2.67</w:t>
            </w:r>
          </w:p>
        </w:tc>
        <w:tc>
          <w:tcPr>
            <w:tcW w:w="1904" w:type="dxa"/>
            <w:tcBorders>
              <w:top w:val="nil"/>
              <w:left w:val="nil"/>
              <w:bottom w:val="nil"/>
              <w:right w:val="nil"/>
            </w:tcBorders>
            <w:vAlign w:val="center"/>
          </w:tcPr>
          <w:p>
            <w:pPr>
              <w:pStyle w:val="Normal"/>
              <w:spacing w:lineRule="auto" w:line="276"/>
              <w:jc w:val="center"/>
              <w:rPr/>
            </w:pPr>
            <w:r>
              <w:rPr>
                <w:color w:val="000000"/>
              </w:rPr>
              <w:t>2.0816660</w:t>
            </w:r>
          </w:p>
        </w:tc>
      </w:tr>
      <w:tr>
        <w:trPr/>
        <w:tc>
          <w:tcPr>
            <w:tcW w:w="1823" w:type="dxa"/>
            <w:tcBorders>
              <w:top w:val="nil"/>
              <w:left w:val="nil"/>
              <w:bottom w:val="nil"/>
              <w:right w:val="nil"/>
            </w:tcBorders>
            <w:vAlign w:val="center"/>
          </w:tcPr>
          <w:p>
            <w:pPr>
              <w:pStyle w:val="Normal"/>
              <w:spacing w:lineRule="auto" w:line="276"/>
              <w:rPr/>
            </w:pPr>
            <w:r>
              <w:rPr>
                <w:color w:val="000000"/>
              </w:rPr>
              <w:t>BKK18</w:t>
            </w:r>
          </w:p>
        </w:tc>
        <w:tc>
          <w:tcPr>
            <w:tcW w:w="1890" w:type="dxa"/>
            <w:tcBorders>
              <w:top w:val="nil"/>
              <w:left w:val="nil"/>
              <w:bottom w:val="nil"/>
              <w:right w:val="nil"/>
            </w:tcBorders>
            <w:vAlign w:val="center"/>
          </w:tcPr>
          <w:p>
            <w:pPr>
              <w:pStyle w:val="Normal"/>
              <w:spacing w:lineRule="auto" w:line="276"/>
              <w:jc w:val="center"/>
              <w:rPr/>
            </w:pPr>
            <w:r>
              <w:rPr>
                <w:color w:val="000000"/>
              </w:rPr>
              <w:t>4.67</w:t>
            </w:r>
          </w:p>
        </w:tc>
        <w:tc>
          <w:tcPr>
            <w:tcW w:w="1879" w:type="dxa"/>
            <w:tcBorders>
              <w:top w:val="nil"/>
              <w:left w:val="nil"/>
              <w:bottom w:val="nil"/>
              <w:right w:val="nil"/>
            </w:tcBorders>
            <w:vAlign w:val="center"/>
          </w:tcPr>
          <w:p>
            <w:pPr>
              <w:pStyle w:val="Normal"/>
              <w:spacing w:lineRule="auto" w:line="276"/>
              <w:jc w:val="center"/>
              <w:rPr/>
            </w:pPr>
            <w:r>
              <w:rPr>
                <w:color w:val="000000"/>
              </w:rPr>
              <w:t>0.5773503</w:t>
            </w:r>
          </w:p>
        </w:tc>
        <w:tc>
          <w:tcPr>
            <w:tcW w:w="1865" w:type="dxa"/>
            <w:tcBorders>
              <w:top w:val="nil"/>
              <w:left w:val="nil"/>
              <w:bottom w:val="nil"/>
              <w:right w:val="nil"/>
            </w:tcBorders>
            <w:vAlign w:val="center"/>
          </w:tcPr>
          <w:p>
            <w:pPr>
              <w:pStyle w:val="Normal"/>
              <w:spacing w:lineRule="auto" w:line="276"/>
              <w:jc w:val="center"/>
              <w:rPr/>
            </w:pPr>
            <w:r>
              <w:rPr>
                <w:color w:val="000000"/>
              </w:rPr>
              <w:t>4.33</w:t>
            </w:r>
          </w:p>
        </w:tc>
        <w:tc>
          <w:tcPr>
            <w:tcW w:w="1904" w:type="dxa"/>
            <w:tcBorders>
              <w:top w:val="nil"/>
              <w:left w:val="nil"/>
              <w:bottom w:val="nil"/>
              <w:right w:val="nil"/>
            </w:tcBorders>
            <w:vAlign w:val="center"/>
          </w:tcPr>
          <w:p>
            <w:pPr>
              <w:pStyle w:val="Normal"/>
              <w:spacing w:lineRule="auto" w:line="276"/>
              <w:jc w:val="center"/>
              <w:rPr/>
            </w:pPr>
            <w:r>
              <w:rPr>
                <w:color w:val="000000"/>
              </w:rPr>
              <w:t>2.8867513</w:t>
            </w:r>
          </w:p>
        </w:tc>
      </w:tr>
      <w:tr>
        <w:trPr/>
        <w:tc>
          <w:tcPr>
            <w:tcW w:w="1823" w:type="dxa"/>
            <w:tcBorders>
              <w:top w:val="nil"/>
              <w:left w:val="nil"/>
              <w:bottom w:val="nil"/>
              <w:right w:val="nil"/>
            </w:tcBorders>
            <w:vAlign w:val="center"/>
          </w:tcPr>
          <w:p>
            <w:pPr>
              <w:pStyle w:val="Normal"/>
              <w:spacing w:lineRule="auto" w:line="276"/>
              <w:rPr/>
            </w:pPr>
            <w:r>
              <w:rPr>
                <w:color w:val="000000"/>
              </w:rPr>
              <w:t>KATH14</w:t>
            </w:r>
          </w:p>
        </w:tc>
        <w:tc>
          <w:tcPr>
            <w:tcW w:w="1890" w:type="dxa"/>
            <w:tcBorders>
              <w:top w:val="nil"/>
              <w:left w:val="nil"/>
              <w:bottom w:val="nil"/>
              <w:right w:val="nil"/>
            </w:tcBorders>
            <w:vAlign w:val="center"/>
          </w:tcPr>
          <w:p>
            <w:pPr>
              <w:pStyle w:val="Normal"/>
              <w:spacing w:lineRule="auto" w:line="276"/>
              <w:jc w:val="center"/>
              <w:rPr/>
            </w:pPr>
            <w:r>
              <w:rPr>
                <w:color w:val="000000"/>
              </w:rPr>
              <w:t>8.00</w:t>
            </w:r>
          </w:p>
        </w:tc>
        <w:tc>
          <w:tcPr>
            <w:tcW w:w="1879" w:type="dxa"/>
            <w:tcBorders>
              <w:top w:val="nil"/>
              <w:left w:val="nil"/>
              <w:bottom w:val="nil"/>
              <w:right w:val="nil"/>
            </w:tcBorders>
            <w:vAlign w:val="center"/>
          </w:tcPr>
          <w:p>
            <w:pPr>
              <w:pStyle w:val="Normal"/>
              <w:spacing w:lineRule="auto" w:line="276"/>
              <w:jc w:val="center"/>
              <w:rPr/>
            </w:pPr>
            <w:r>
              <w:rPr>
                <w:color w:val="000000"/>
              </w:rPr>
              <w:t>1.7320508</w:t>
            </w:r>
          </w:p>
        </w:tc>
        <w:tc>
          <w:tcPr>
            <w:tcW w:w="1865" w:type="dxa"/>
            <w:tcBorders>
              <w:top w:val="nil"/>
              <w:left w:val="nil"/>
              <w:bottom w:val="nil"/>
              <w:right w:val="nil"/>
            </w:tcBorders>
            <w:vAlign w:val="center"/>
          </w:tcPr>
          <w:p>
            <w:pPr>
              <w:pStyle w:val="Normal"/>
              <w:spacing w:lineRule="auto" w:line="276"/>
              <w:jc w:val="center"/>
              <w:rPr/>
            </w:pPr>
            <w:r>
              <w:rPr>
                <w:color w:val="000000"/>
              </w:rPr>
              <w:t>8.00</w:t>
            </w:r>
          </w:p>
        </w:tc>
        <w:tc>
          <w:tcPr>
            <w:tcW w:w="1904" w:type="dxa"/>
            <w:tcBorders>
              <w:top w:val="nil"/>
              <w:left w:val="nil"/>
              <w:bottom w:val="nil"/>
              <w:right w:val="nil"/>
            </w:tcBorders>
            <w:vAlign w:val="center"/>
          </w:tcPr>
          <w:p>
            <w:pPr>
              <w:pStyle w:val="Normal"/>
              <w:spacing w:lineRule="auto" w:line="276"/>
              <w:jc w:val="center"/>
              <w:rPr/>
            </w:pPr>
            <w:r>
              <w:rPr>
                <w:color w:val="000000"/>
              </w:rPr>
              <w:t>1.0000000</w:t>
            </w:r>
          </w:p>
        </w:tc>
      </w:tr>
      <w:tr>
        <w:trPr/>
        <w:tc>
          <w:tcPr>
            <w:tcW w:w="1823" w:type="dxa"/>
            <w:tcBorders>
              <w:top w:val="nil"/>
              <w:left w:val="nil"/>
              <w:bottom w:val="nil"/>
              <w:right w:val="nil"/>
            </w:tcBorders>
            <w:vAlign w:val="center"/>
          </w:tcPr>
          <w:p>
            <w:pPr>
              <w:pStyle w:val="Normal"/>
              <w:spacing w:lineRule="auto" w:line="276"/>
              <w:rPr/>
            </w:pPr>
            <w:r>
              <w:rPr>
                <w:color w:val="000000"/>
              </w:rPr>
              <w:t>KATH19</w:t>
            </w:r>
          </w:p>
        </w:tc>
        <w:tc>
          <w:tcPr>
            <w:tcW w:w="1890" w:type="dxa"/>
            <w:tcBorders>
              <w:top w:val="nil"/>
              <w:left w:val="nil"/>
              <w:bottom w:val="nil"/>
              <w:right w:val="nil"/>
            </w:tcBorders>
            <w:vAlign w:val="center"/>
          </w:tcPr>
          <w:p>
            <w:pPr>
              <w:pStyle w:val="Normal"/>
              <w:spacing w:lineRule="auto" w:line="276"/>
              <w:jc w:val="center"/>
              <w:rPr/>
            </w:pPr>
            <w:r>
              <w:rPr>
                <w:color w:val="000000"/>
              </w:rPr>
              <w:t>3.67</w:t>
            </w:r>
          </w:p>
        </w:tc>
        <w:tc>
          <w:tcPr>
            <w:tcW w:w="1879" w:type="dxa"/>
            <w:tcBorders>
              <w:top w:val="nil"/>
              <w:left w:val="nil"/>
              <w:bottom w:val="nil"/>
              <w:right w:val="nil"/>
            </w:tcBorders>
            <w:vAlign w:val="center"/>
          </w:tcPr>
          <w:p>
            <w:pPr>
              <w:pStyle w:val="Normal"/>
              <w:spacing w:lineRule="auto" w:line="276"/>
              <w:jc w:val="center"/>
              <w:rPr/>
            </w:pPr>
            <w:r>
              <w:rPr>
                <w:color w:val="000000"/>
              </w:rPr>
              <w:t>0.5773503</w:t>
            </w:r>
          </w:p>
        </w:tc>
        <w:tc>
          <w:tcPr>
            <w:tcW w:w="1865" w:type="dxa"/>
            <w:tcBorders>
              <w:top w:val="nil"/>
              <w:left w:val="nil"/>
              <w:bottom w:val="nil"/>
              <w:right w:val="nil"/>
            </w:tcBorders>
            <w:vAlign w:val="center"/>
          </w:tcPr>
          <w:p>
            <w:pPr>
              <w:pStyle w:val="Normal"/>
              <w:spacing w:lineRule="auto" w:line="276"/>
              <w:jc w:val="center"/>
              <w:rPr/>
            </w:pPr>
            <w:r>
              <w:rPr>
                <w:color w:val="000000"/>
              </w:rPr>
              <w:t>2.33</w:t>
            </w:r>
          </w:p>
        </w:tc>
        <w:tc>
          <w:tcPr>
            <w:tcW w:w="1904" w:type="dxa"/>
            <w:tcBorders>
              <w:top w:val="nil"/>
              <w:left w:val="nil"/>
              <w:bottom w:val="nil"/>
              <w:right w:val="nil"/>
            </w:tcBorders>
            <w:vAlign w:val="center"/>
          </w:tcPr>
          <w:p>
            <w:pPr>
              <w:pStyle w:val="Normal"/>
              <w:spacing w:lineRule="auto" w:line="276"/>
              <w:jc w:val="center"/>
              <w:rPr/>
            </w:pPr>
            <w:r>
              <w:rPr>
                <w:color w:val="000000"/>
              </w:rPr>
              <w:t>1.5275252</w:t>
            </w:r>
          </w:p>
        </w:tc>
      </w:tr>
      <w:tr>
        <w:trPr/>
        <w:tc>
          <w:tcPr>
            <w:tcW w:w="1823" w:type="dxa"/>
            <w:tcBorders>
              <w:top w:val="nil"/>
              <w:left w:val="nil"/>
              <w:bottom w:val="nil"/>
              <w:right w:val="nil"/>
            </w:tcBorders>
            <w:vAlign w:val="center"/>
          </w:tcPr>
          <w:p>
            <w:pPr>
              <w:pStyle w:val="Normal"/>
              <w:spacing w:lineRule="auto" w:line="276"/>
              <w:rPr/>
            </w:pPr>
            <w:r>
              <w:rPr>
                <w:color w:val="000000"/>
              </w:rPr>
              <w:t>KATH23</w:t>
            </w:r>
          </w:p>
        </w:tc>
        <w:tc>
          <w:tcPr>
            <w:tcW w:w="1890" w:type="dxa"/>
            <w:tcBorders>
              <w:top w:val="nil"/>
              <w:left w:val="nil"/>
              <w:bottom w:val="nil"/>
              <w:right w:val="nil"/>
            </w:tcBorders>
            <w:vAlign w:val="center"/>
          </w:tcPr>
          <w:p>
            <w:pPr>
              <w:pStyle w:val="Normal"/>
              <w:spacing w:lineRule="auto" w:line="276"/>
              <w:jc w:val="center"/>
              <w:rPr/>
            </w:pPr>
            <w:r>
              <w:rPr>
                <w:color w:val="000000"/>
              </w:rPr>
              <w:t>6.00</w:t>
            </w:r>
          </w:p>
        </w:tc>
        <w:tc>
          <w:tcPr>
            <w:tcW w:w="1879" w:type="dxa"/>
            <w:tcBorders>
              <w:top w:val="nil"/>
              <w:left w:val="nil"/>
              <w:bottom w:val="nil"/>
              <w:right w:val="nil"/>
            </w:tcBorders>
            <w:vAlign w:val="center"/>
          </w:tcPr>
          <w:p>
            <w:pPr>
              <w:pStyle w:val="Normal"/>
              <w:spacing w:lineRule="auto" w:line="276"/>
              <w:jc w:val="center"/>
              <w:rPr/>
            </w:pPr>
            <w:r>
              <w:rPr>
                <w:color w:val="000000"/>
              </w:rPr>
              <w:t>1.7320508</w:t>
            </w:r>
          </w:p>
        </w:tc>
        <w:tc>
          <w:tcPr>
            <w:tcW w:w="1865" w:type="dxa"/>
            <w:tcBorders>
              <w:top w:val="nil"/>
              <w:left w:val="nil"/>
              <w:bottom w:val="nil"/>
              <w:right w:val="nil"/>
            </w:tcBorders>
            <w:vAlign w:val="center"/>
          </w:tcPr>
          <w:p>
            <w:pPr>
              <w:pStyle w:val="Normal"/>
              <w:spacing w:lineRule="auto" w:line="276"/>
              <w:jc w:val="center"/>
              <w:rPr/>
            </w:pPr>
            <w:r>
              <w:rPr>
                <w:color w:val="000000"/>
              </w:rPr>
              <w:t>6.00</w:t>
            </w:r>
          </w:p>
        </w:tc>
        <w:tc>
          <w:tcPr>
            <w:tcW w:w="1904" w:type="dxa"/>
            <w:tcBorders>
              <w:top w:val="nil"/>
              <w:left w:val="nil"/>
              <w:bottom w:val="nil"/>
              <w:right w:val="nil"/>
            </w:tcBorders>
            <w:vAlign w:val="center"/>
          </w:tcPr>
          <w:p>
            <w:pPr>
              <w:pStyle w:val="Normal"/>
              <w:spacing w:lineRule="auto" w:line="276"/>
              <w:jc w:val="center"/>
              <w:rPr/>
            </w:pPr>
            <w:r>
              <w:rPr>
                <w:color w:val="000000"/>
              </w:rPr>
              <w:t>1.7320508</w:t>
            </w:r>
          </w:p>
        </w:tc>
      </w:tr>
      <w:tr>
        <w:trPr/>
        <w:tc>
          <w:tcPr>
            <w:tcW w:w="1823" w:type="dxa"/>
            <w:tcBorders>
              <w:top w:val="nil"/>
              <w:left w:val="nil"/>
              <w:bottom w:val="nil"/>
              <w:right w:val="nil"/>
            </w:tcBorders>
            <w:vAlign w:val="center"/>
          </w:tcPr>
          <w:p>
            <w:pPr>
              <w:pStyle w:val="Normal"/>
              <w:spacing w:lineRule="auto" w:line="276"/>
              <w:rPr/>
            </w:pPr>
            <w:r>
              <w:rPr>
                <w:color w:val="000000"/>
              </w:rPr>
              <w:t>RIL7</w:t>
            </w:r>
          </w:p>
        </w:tc>
        <w:tc>
          <w:tcPr>
            <w:tcW w:w="1890" w:type="dxa"/>
            <w:tcBorders>
              <w:top w:val="nil"/>
              <w:left w:val="nil"/>
              <w:bottom w:val="nil"/>
              <w:right w:val="nil"/>
            </w:tcBorders>
            <w:vAlign w:val="center"/>
          </w:tcPr>
          <w:p>
            <w:pPr>
              <w:pStyle w:val="Normal"/>
              <w:spacing w:lineRule="auto" w:line="276"/>
              <w:jc w:val="center"/>
              <w:rPr/>
            </w:pPr>
            <w:r>
              <w:rPr>
                <w:color w:val="000000"/>
              </w:rPr>
              <w:t>5.67</w:t>
            </w:r>
          </w:p>
        </w:tc>
        <w:tc>
          <w:tcPr>
            <w:tcW w:w="1879" w:type="dxa"/>
            <w:tcBorders>
              <w:top w:val="nil"/>
              <w:left w:val="nil"/>
              <w:bottom w:val="nil"/>
              <w:right w:val="nil"/>
            </w:tcBorders>
            <w:vAlign w:val="center"/>
          </w:tcPr>
          <w:p>
            <w:pPr>
              <w:pStyle w:val="Normal"/>
              <w:spacing w:lineRule="auto" w:line="276"/>
              <w:jc w:val="center"/>
              <w:rPr/>
            </w:pPr>
            <w:r>
              <w:rPr>
                <w:color w:val="000000"/>
              </w:rPr>
              <w:t>3.0550505</w:t>
            </w:r>
          </w:p>
        </w:tc>
        <w:tc>
          <w:tcPr>
            <w:tcW w:w="1865" w:type="dxa"/>
            <w:tcBorders>
              <w:top w:val="nil"/>
              <w:left w:val="nil"/>
              <w:bottom w:val="nil"/>
              <w:right w:val="nil"/>
            </w:tcBorders>
            <w:vAlign w:val="center"/>
          </w:tcPr>
          <w:p>
            <w:pPr>
              <w:pStyle w:val="Normal"/>
              <w:spacing w:lineRule="auto" w:line="276"/>
              <w:jc w:val="center"/>
              <w:rPr/>
            </w:pPr>
            <w:r>
              <w:rPr>
                <w:color w:val="000000"/>
              </w:rPr>
              <w:t>1.00</w:t>
            </w:r>
          </w:p>
        </w:tc>
        <w:tc>
          <w:tcPr>
            <w:tcW w:w="1904" w:type="dxa"/>
            <w:tcBorders>
              <w:top w:val="nil"/>
              <w:left w:val="nil"/>
              <w:bottom w:val="nil"/>
              <w:right w:val="nil"/>
            </w:tcBorders>
            <w:vAlign w:val="center"/>
          </w:tcPr>
          <w:p>
            <w:pPr>
              <w:pStyle w:val="Normal"/>
              <w:spacing w:lineRule="auto" w:line="276"/>
              <w:jc w:val="center"/>
              <w:rPr/>
            </w:pPr>
            <w:r>
              <w:rPr>
                <w:color w:val="000000"/>
              </w:rPr>
              <w:t>1.0000000</w:t>
            </w:r>
          </w:p>
        </w:tc>
      </w:tr>
      <w:tr>
        <w:trPr/>
        <w:tc>
          <w:tcPr>
            <w:tcW w:w="1823" w:type="dxa"/>
            <w:tcBorders>
              <w:top w:val="nil"/>
              <w:left w:val="nil"/>
              <w:bottom w:val="nil"/>
              <w:right w:val="nil"/>
            </w:tcBorders>
            <w:vAlign w:val="center"/>
          </w:tcPr>
          <w:p>
            <w:pPr>
              <w:pStyle w:val="Normal"/>
              <w:spacing w:lineRule="auto" w:line="276"/>
              <w:rPr/>
            </w:pPr>
            <w:r>
              <w:rPr>
                <w:color w:val="000000"/>
              </w:rPr>
              <w:t>RIL14</w:t>
            </w:r>
          </w:p>
        </w:tc>
        <w:tc>
          <w:tcPr>
            <w:tcW w:w="1890" w:type="dxa"/>
            <w:tcBorders>
              <w:top w:val="nil"/>
              <w:left w:val="nil"/>
              <w:bottom w:val="nil"/>
              <w:right w:val="nil"/>
            </w:tcBorders>
            <w:vAlign w:val="center"/>
          </w:tcPr>
          <w:p>
            <w:pPr>
              <w:pStyle w:val="Normal"/>
              <w:spacing w:lineRule="auto" w:line="276"/>
              <w:jc w:val="center"/>
              <w:rPr/>
            </w:pPr>
            <w:r>
              <w:rPr>
                <w:color w:val="000000"/>
              </w:rPr>
              <w:t>3.00</w:t>
            </w:r>
          </w:p>
        </w:tc>
        <w:tc>
          <w:tcPr>
            <w:tcW w:w="1879" w:type="dxa"/>
            <w:tcBorders>
              <w:top w:val="nil"/>
              <w:left w:val="nil"/>
              <w:bottom w:val="nil"/>
              <w:right w:val="nil"/>
            </w:tcBorders>
            <w:vAlign w:val="center"/>
          </w:tcPr>
          <w:p>
            <w:pPr>
              <w:pStyle w:val="Normal"/>
              <w:spacing w:lineRule="auto" w:line="276"/>
              <w:jc w:val="center"/>
              <w:rPr/>
            </w:pPr>
            <w:r>
              <w:rPr>
                <w:color w:val="000000"/>
              </w:rPr>
              <w:t>1.0000000</w:t>
            </w:r>
          </w:p>
        </w:tc>
        <w:tc>
          <w:tcPr>
            <w:tcW w:w="1865" w:type="dxa"/>
            <w:tcBorders>
              <w:top w:val="nil"/>
              <w:left w:val="nil"/>
              <w:bottom w:val="nil"/>
              <w:right w:val="nil"/>
            </w:tcBorders>
            <w:vAlign w:val="center"/>
          </w:tcPr>
          <w:p>
            <w:pPr>
              <w:pStyle w:val="Normal"/>
              <w:spacing w:lineRule="auto" w:line="276"/>
              <w:jc w:val="center"/>
              <w:rPr/>
            </w:pPr>
            <w:r>
              <w:rPr>
                <w:color w:val="000000"/>
              </w:rPr>
              <w:t>3.00</w:t>
            </w:r>
          </w:p>
        </w:tc>
        <w:tc>
          <w:tcPr>
            <w:tcW w:w="1904" w:type="dxa"/>
            <w:tcBorders>
              <w:top w:val="nil"/>
              <w:left w:val="nil"/>
              <w:bottom w:val="nil"/>
              <w:right w:val="nil"/>
            </w:tcBorders>
            <w:vAlign w:val="center"/>
          </w:tcPr>
          <w:p>
            <w:pPr>
              <w:pStyle w:val="Normal"/>
              <w:spacing w:lineRule="auto" w:line="276"/>
              <w:jc w:val="center"/>
              <w:rPr/>
            </w:pPr>
            <w:r>
              <w:rPr>
                <w:color w:val="000000"/>
              </w:rPr>
              <w:t>1.0000000</w:t>
            </w:r>
          </w:p>
        </w:tc>
      </w:tr>
      <w:tr>
        <w:trPr/>
        <w:tc>
          <w:tcPr>
            <w:tcW w:w="1823" w:type="dxa"/>
            <w:tcBorders>
              <w:top w:val="nil"/>
              <w:left w:val="nil"/>
              <w:bottom w:val="nil"/>
              <w:right w:val="nil"/>
            </w:tcBorders>
            <w:vAlign w:val="center"/>
          </w:tcPr>
          <w:p>
            <w:pPr>
              <w:pStyle w:val="Normal"/>
              <w:spacing w:lineRule="auto" w:line="276"/>
              <w:rPr/>
            </w:pPr>
            <w:r>
              <w:rPr>
                <w:color w:val="000000"/>
              </w:rPr>
              <w:t>RIL15</w:t>
            </w:r>
          </w:p>
        </w:tc>
        <w:tc>
          <w:tcPr>
            <w:tcW w:w="1890" w:type="dxa"/>
            <w:tcBorders>
              <w:top w:val="nil"/>
              <w:left w:val="nil"/>
              <w:bottom w:val="nil"/>
              <w:right w:val="nil"/>
            </w:tcBorders>
            <w:vAlign w:val="center"/>
          </w:tcPr>
          <w:p>
            <w:pPr>
              <w:pStyle w:val="Normal"/>
              <w:spacing w:lineRule="auto" w:line="276"/>
              <w:jc w:val="center"/>
              <w:rPr/>
            </w:pPr>
            <w:r>
              <w:rPr>
                <w:color w:val="000000"/>
              </w:rPr>
              <w:t>2.33</w:t>
            </w:r>
          </w:p>
        </w:tc>
        <w:tc>
          <w:tcPr>
            <w:tcW w:w="1879" w:type="dxa"/>
            <w:tcBorders>
              <w:top w:val="nil"/>
              <w:left w:val="nil"/>
              <w:bottom w:val="nil"/>
              <w:right w:val="nil"/>
            </w:tcBorders>
            <w:vAlign w:val="center"/>
          </w:tcPr>
          <w:p>
            <w:pPr>
              <w:pStyle w:val="Normal"/>
              <w:spacing w:lineRule="auto" w:line="276"/>
              <w:jc w:val="center"/>
              <w:rPr/>
            </w:pPr>
            <w:r>
              <w:rPr>
                <w:color w:val="000000"/>
              </w:rPr>
              <w:t>1.1547005</w:t>
            </w:r>
          </w:p>
        </w:tc>
        <w:tc>
          <w:tcPr>
            <w:tcW w:w="1865" w:type="dxa"/>
            <w:tcBorders>
              <w:top w:val="nil"/>
              <w:left w:val="nil"/>
              <w:bottom w:val="nil"/>
              <w:right w:val="nil"/>
            </w:tcBorders>
            <w:vAlign w:val="center"/>
          </w:tcPr>
          <w:p>
            <w:pPr>
              <w:pStyle w:val="Normal"/>
              <w:spacing w:lineRule="auto" w:line="276"/>
              <w:jc w:val="center"/>
              <w:rPr/>
            </w:pPr>
            <w:r>
              <w:rPr>
                <w:color w:val="000000"/>
              </w:rPr>
              <w:t>5.33</w:t>
            </w:r>
          </w:p>
        </w:tc>
        <w:tc>
          <w:tcPr>
            <w:tcW w:w="1904" w:type="dxa"/>
            <w:tcBorders>
              <w:top w:val="nil"/>
              <w:left w:val="nil"/>
              <w:bottom w:val="nil"/>
              <w:right w:val="nil"/>
            </w:tcBorders>
            <w:vAlign w:val="center"/>
          </w:tcPr>
          <w:p>
            <w:pPr>
              <w:pStyle w:val="Normal"/>
              <w:spacing w:lineRule="auto" w:line="276"/>
              <w:jc w:val="center"/>
              <w:rPr/>
            </w:pPr>
            <w:r>
              <w:rPr>
                <w:color w:val="000000"/>
              </w:rPr>
              <w:t>2.3094011</w:t>
            </w:r>
          </w:p>
        </w:tc>
      </w:tr>
      <w:tr>
        <w:trPr/>
        <w:tc>
          <w:tcPr>
            <w:tcW w:w="1823" w:type="dxa"/>
            <w:tcBorders>
              <w:top w:val="nil"/>
              <w:left w:val="nil"/>
              <w:bottom w:val="nil"/>
              <w:right w:val="nil"/>
            </w:tcBorders>
            <w:vAlign w:val="center"/>
          </w:tcPr>
          <w:p>
            <w:pPr>
              <w:pStyle w:val="Normal"/>
              <w:spacing w:lineRule="auto" w:line="276"/>
              <w:rPr/>
            </w:pPr>
            <w:r>
              <w:rPr>
                <w:color w:val="000000"/>
              </w:rPr>
              <w:t>RIL20</w:t>
            </w:r>
          </w:p>
        </w:tc>
        <w:tc>
          <w:tcPr>
            <w:tcW w:w="1890" w:type="dxa"/>
            <w:tcBorders>
              <w:top w:val="nil"/>
              <w:left w:val="nil"/>
              <w:bottom w:val="nil"/>
              <w:right w:val="nil"/>
            </w:tcBorders>
            <w:vAlign w:val="center"/>
          </w:tcPr>
          <w:p>
            <w:pPr>
              <w:pStyle w:val="Normal"/>
              <w:spacing w:lineRule="auto" w:line="276"/>
              <w:jc w:val="center"/>
              <w:rPr/>
            </w:pPr>
            <w:r>
              <w:rPr>
                <w:color w:val="000000"/>
              </w:rPr>
              <w:t>8.67</w:t>
            </w:r>
          </w:p>
        </w:tc>
        <w:tc>
          <w:tcPr>
            <w:tcW w:w="1879" w:type="dxa"/>
            <w:tcBorders>
              <w:top w:val="nil"/>
              <w:left w:val="nil"/>
              <w:bottom w:val="nil"/>
              <w:right w:val="nil"/>
            </w:tcBorders>
            <w:vAlign w:val="center"/>
          </w:tcPr>
          <w:p>
            <w:pPr>
              <w:pStyle w:val="Normal"/>
              <w:spacing w:lineRule="auto" w:line="276"/>
              <w:jc w:val="center"/>
              <w:rPr/>
            </w:pPr>
            <w:r>
              <w:rPr>
                <w:color w:val="000000"/>
              </w:rPr>
              <w:t>1.5275252</w:t>
            </w:r>
          </w:p>
        </w:tc>
        <w:tc>
          <w:tcPr>
            <w:tcW w:w="1865" w:type="dxa"/>
            <w:tcBorders>
              <w:top w:val="nil"/>
              <w:left w:val="nil"/>
              <w:bottom w:val="nil"/>
              <w:right w:val="nil"/>
            </w:tcBorders>
            <w:vAlign w:val="center"/>
          </w:tcPr>
          <w:p>
            <w:pPr>
              <w:pStyle w:val="Normal"/>
              <w:spacing w:lineRule="auto" w:line="276"/>
              <w:jc w:val="center"/>
              <w:rPr/>
            </w:pPr>
            <w:r>
              <w:rPr>
                <w:color w:val="000000"/>
              </w:rPr>
              <w:t>7.33</w:t>
            </w:r>
          </w:p>
        </w:tc>
        <w:tc>
          <w:tcPr>
            <w:tcW w:w="1904" w:type="dxa"/>
            <w:tcBorders>
              <w:top w:val="nil"/>
              <w:left w:val="nil"/>
              <w:bottom w:val="nil"/>
              <w:right w:val="nil"/>
            </w:tcBorders>
            <w:vAlign w:val="center"/>
          </w:tcPr>
          <w:p>
            <w:pPr>
              <w:pStyle w:val="Normal"/>
              <w:spacing w:lineRule="auto" w:line="276"/>
              <w:jc w:val="center"/>
              <w:rPr/>
            </w:pPr>
            <w:r>
              <w:rPr>
                <w:color w:val="000000"/>
              </w:rPr>
              <w:t>1.1547005</w:t>
            </w:r>
          </w:p>
        </w:tc>
      </w:tr>
      <w:tr>
        <w:trPr/>
        <w:tc>
          <w:tcPr>
            <w:tcW w:w="1823" w:type="dxa"/>
            <w:tcBorders>
              <w:top w:val="nil"/>
              <w:left w:val="nil"/>
              <w:bottom w:val="nil"/>
              <w:right w:val="nil"/>
            </w:tcBorders>
            <w:vAlign w:val="center"/>
          </w:tcPr>
          <w:p>
            <w:pPr>
              <w:pStyle w:val="Normal"/>
              <w:spacing w:lineRule="auto" w:line="276"/>
              <w:rPr/>
            </w:pPr>
            <w:r>
              <w:rPr>
                <w:color w:val="000000"/>
              </w:rPr>
              <w:t>RIL22</w:t>
            </w:r>
          </w:p>
        </w:tc>
        <w:tc>
          <w:tcPr>
            <w:tcW w:w="1890" w:type="dxa"/>
            <w:tcBorders>
              <w:top w:val="nil"/>
              <w:left w:val="nil"/>
              <w:bottom w:val="nil"/>
              <w:right w:val="nil"/>
            </w:tcBorders>
            <w:vAlign w:val="center"/>
          </w:tcPr>
          <w:p>
            <w:pPr>
              <w:pStyle w:val="Normal"/>
              <w:spacing w:lineRule="auto" w:line="276"/>
              <w:jc w:val="center"/>
              <w:rPr/>
            </w:pPr>
            <w:r>
              <w:rPr>
                <w:color w:val="000000"/>
              </w:rPr>
              <w:t>5.00</w:t>
            </w:r>
          </w:p>
        </w:tc>
        <w:tc>
          <w:tcPr>
            <w:tcW w:w="1879" w:type="dxa"/>
            <w:tcBorders>
              <w:top w:val="nil"/>
              <w:left w:val="nil"/>
              <w:bottom w:val="nil"/>
              <w:right w:val="nil"/>
            </w:tcBorders>
            <w:vAlign w:val="center"/>
          </w:tcPr>
          <w:p>
            <w:pPr>
              <w:pStyle w:val="Normal"/>
              <w:spacing w:lineRule="auto" w:line="276"/>
              <w:jc w:val="center"/>
              <w:rPr/>
            </w:pPr>
            <w:r>
              <w:rPr>
                <w:color w:val="000000"/>
              </w:rPr>
              <w:t>3.0000000</w:t>
            </w:r>
          </w:p>
        </w:tc>
        <w:tc>
          <w:tcPr>
            <w:tcW w:w="1865" w:type="dxa"/>
            <w:tcBorders>
              <w:top w:val="nil"/>
              <w:left w:val="nil"/>
              <w:bottom w:val="nil"/>
              <w:right w:val="nil"/>
            </w:tcBorders>
            <w:vAlign w:val="center"/>
          </w:tcPr>
          <w:p>
            <w:pPr>
              <w:pStyle w:val="Normal"/>
              <w:spacing w:lineRule="auto" w:line="276"/>
              <w:jc w:val="center"/>
              <w:rPr/>
            </w:pPr>
            <w:r>
              <w:rPr>
                <w:color w:val="000000"/>
              </w:rPr>
              <w:t>3.67</w:t>
            </w:r>
          </w:p>
        </w:tc>
        <w:tc>
          <w:tcPr>
            <w:tcW w:w="1904" w:type="dxa"/>
            <w:tcBorders>
              <w:top w:val="nil"/>
              <w:left w:val="nil"/>
              <w:bottom w:val="nil"/>
              <w:right w:val="nil"/>
            </w:tcBorders>
            <w:vAlign w:val="center"/>
          </w:tcPr>
          <w:p>
            <w:pPr>
              <w:pStyle w:val="Normal"/>
              <w:spacing w:lineRule="auto" w:line="276"/>
              <w:jc w:val="center"/>
              <w:rPr/>
            </w:pPr>
            <w:r>
              <w:rPr>
                <w:color w:val="000000"/>
              </w:rPr>
              <w:t>1.1547005</w:t>
            </w:r>
          </w:p>
        </w:tc>
      </w:tr>
      <w:tr>
        <w:trPr/>
        <w:tc>
          <w:tcPr>
            <w:tcW w:w="1823" w:type="dxa"/>
            <w:tcBorders>
              <w:top w:val="nil"/>
              <w:left w:val="nil"/>
              <w:bottom w:val="nil"/>
              <w:right w:val="nil"/>
            </w:tcBorders>
            <w:vAlign w:val="center"/>
          </w:tcPr>
          <w:p>
            <w:pPr>
              <w:pStyle w:val="Normal"/>
              <w:spacing w:lineRule="auto" w:line="276"/>
              <w:rPr/>
            </w:pPr>
            <w:r>
              <w:rPr>
                <w:color w:val="000000"/>
              </w:rPr>
              <w:t>RIL23</w:t>
            </w:r>
          </w:p>
        </w:tc>
        <w:tc>
          <w:tcPr>
            <w:tcW w:w="1890" w:type="dxa"/>
            <w:tcBorders>
              <w:top w:val="nil"/>
              <w:left w:val="nil"/>
              <w:bottom w:val="nil"/>
              <w:right w:val="nil"/>
            </w:tcBorders>
            <w:vAlign w:val="center"/>
          </w:tcPr>
          <w:p>
            <w:pPr>
              <w:pStyle w:val="Normal"/>
              <w:spacing w:lineRule="auto" w:line="276"/>
              <w:jc w:val="center"/>
              <w:rPr/>
            </w:pPr>
            <w:r>
              <w:rPr>
                <w:color w:val="000000"/>
              </w:rPr>
              <w:t>1.67</w:t>
            </w:r>
          </w:p>
        </w:tc>
        <w:tc>
          <w:tcPr>
            <w:tcW w:w="1879" w:type="dxa"/>
            <w:tcBorders>
              <w:top w:val="nil"/>
              <w:left w:val="nil"/>
              <w:bottom w:val="nil"/>
              <w:right w:val="nil"/>
            </w:tcBorders>
            <w:vAlign w:val="center"/>
          </w:tcPr>
          <w:p>
            <w:pPr>
              <w:pStyle w:val="Normal"/>
              <w:spacing w:lineRule="auto" w:line="276"/>
              <w:jc w:val="center"/>
              <w:rPr/>
            </w:pPr>
            <w:r>
              <w:rPr>
                <w:color w:val="000000"/>
              </w:rPr>
              <w:t>1.1547005</w:t>
            </w:r>
          </w:p>
        </w:tc>
        <w:tc>
          <w:tcPr>
            <w:tcW w:w="1865" w:type="dxa"/>
            <w:tcBorders>
              <w:top w:val="nil"/>
              <w:left w:val="nil"/>
              <w:bottom w:val="nil"/>
              <w:right w:val="nil"/>
            </w:tcBorders>
            <w:vAlign w:val="center"/>
          </w:tcPr>
          <w:p>
            <w:pPr>
              <w:pStyle w:val="Normal"/>
              <w:spacing w:lineRule="auto" w:line="276"/>
              <w:jc w:val="center"/>
              <w:rPr/>
            </w:pPr>
            <w:r>
              <w:rPr>
                <w:color w:val="000000"/>
              </w:rPr>
              <w:t>1.00</w:t>
            </w:r>
          </w:p>
        </w:tc>
        <w:tc>
          <w:tcPr>
            <w:tcW w:w="1904" w:type="dxa"/>
            <w:tcBorders>
              <w:top w:val="nil"/>
              <w:left w:val="nil"/>
              <w:bottom w:val="nil"/>
              <w:right w:val="nil"/>
            </w:tcBorders>
            <w:vAlign w:val="center"/>
          </w:tcPr>
          <w:p>
            <w:pPr>
              <w:pStyle w:val="Normal"/>
              <w:spacing w:lineRule="auto" w:line="276"/>
              <w:jc w:val="center"/>
              <w:rPr/>
            </w:pPr>
            <w:r>
              <w:rPr>
                <w:color w:val="000000"/>
              </w:rPr>
              <w:t>1.0000000</w:t>
            </w:r>
          </w:p>
        </w:tc>
      </w:tr>
      <w:tr>
        <w:trPr/>
        <w:tc>
          <w:tcPr>
            <w:tcW w:w="1823" w:type="dxa"/>
            <w:tcBorders>
              <w:top w:val="nil"/>
              <w:left w:val="nil"/>
              <w:bottom w:val="nil"/>
              <w:right w:val="nil"/>
            </w:tcBorders>
            <w:vAlign w:val="center"/>
          </w:tcPr>
          <w:p>
            <w:pPr>
              <w:pStyle w:val="Normal"/>
              <w:spacing w:lineRule="auto" w:line="276"/>
              <w:rPr/>
            </w:pPr>
            <w:r>
              <w:rPr>
                <w:color w:val="000000"/>
              </w:rPr>
              <w:t>RIL25</w:t>
            </w:r>
          </w:p>
        </w:tc>
        <w:tc>
          <w:tcPr>
            <w:tcW w:w="1890" w:type="dxa"/>
            <w:tcBorders>
              <w:top w:val="nil"/>
              <w:left w:val="nil"/>
              <w:bottom w:val="nil"/>
              <w:right w:val="nil"/>
            </w:tcBorders>
            <w:vAlign w:val="center"/>
          </w:tcPr>
          <w:p>
            <w:pPr>
              <w:pStyle w:val="Normal"/>
              <w:spacing w:lineRule="auto" w:line="276"/>
              <w:jc w:val="center"/>
              <w:rPr/>
            </w:pPr>
            <w:r>
              <w:rPr>
                <w:color w:val="000000"/>
              </w:rPr>
              <w:t>3.67</w:t>
            </w:r>
          </w:p>
        </w:tc>
        <w:tc>
          <w:tcPr>
            <w:tcW w:w="1879" w:type="dxa"/>
            <w:tcBorders>
              <w:top w:val="nil"/>
              <w:left w:val="nil"/>
              <w:bottom w:val="nil"/>
              <w:right w:val="nil"/>
            </w:tcBorders>
            <w:vAlign w:val="center"/>
          </w:tcPr>
          <w:p>
            <w:pPr>
              <w:pStyle w:val="Normal"/>
              <w:spacing w:lineRule="auto" w:line="276"/>
              <w:jc w:val="center"/>
              <w:rPr/>
            </w:pPr>
            <w:r>
              <w:rPr>
                <w:color w:val="000000"/>
              </w:rPr>
              <w:t>1.5275252</w:t>
            </w:r>
          </w:p>
        </w:tc>
        <w:tc>
          <w:tcPr>
            <w:tcW w:w="1865" w:type="dxa"/>
            <w:tcBorders>
              <w:top w:val="nil"/>
              <w:left w:val="nil"/>
              <w:bottom w:val="nil"/>
              <w:right w:val="nil"/>
            </w:tcBorders>
            <w:vAlign w:val="center"/>
          </w:tcPr>
          <w:p>
            <w:pPr>
              <w:pStyle w:val="Normal"/>
              <w:spacing w:lineRule="auto" w:line="276"/>
              <w:jc w:val="center"/>
              <w:rPr/>
            </w:pPr>
            <w:r>
              <w:rPr>
                <w:color w:val="000000"/>
              </w:rPr>
              <w:t>0.67</w:t>
            </w:r>
          </w:p>
        </w:tc>
        <w:tc>
          <w:tcPr>
            <w:tcW w:w="1904" w:type="dxa"/>
            <w:tcBorders>
              <w:top w:val="nil"/>
              <w:left w:val="nil"/>
              <w:bottom w:val="nil"/>
              <w:right w:val="nil"/>
            </w:tcBorders>
            <w:vAlign w:val="center"/>
          </w:tcPr>
          <w:p>
            <w:pPr>
              <w:pStyle w:val="Normal"/>
              <w:spacing w:lineRule="auto" w:line="276"/>
              <w:jc w:val="center"/>
              <w:rPr/>
            </w:pPr>
            <w:r>
              <w:rPr>
                <w:color w:val="000000"/>
              </w:rPr>
              <w:t>0.5773503</w:t>
            </w:r>
          </w:p>
        </w:tc>
      </w:tr>
      <w:tr>
        <w:trPr/>
        <w:tc>
          <w:tcPr>
            <w:tcW w:w="1823" w:type="dxa"/>
            <w:tcBorders>
              <w:top w:val="nil"/>
              <w:left w:val="nil"/>
              <w:bottom w:val="nil"/>
              <w:right w:val="nil"/>
            </w:tcBorders>
            <w:vAlign w:val="center"/>
          </w:tcPr>
          <w:p>
            <w:pPr>
              <w:pStyle w:val="Normal"/>
              <w:spacing w:lineRule="auto" w:line="276"/>
              <w:rPr/>
            </w:pPr>
            <w:r>
              <w:rPr>
                <w:color w:val="000000"/>
              </w:rPr>
              <w:t>RIL30</w:t>
            </w:r>
          </w:p>
        </w:tc>
        <w:tc>
          <w:tcPr>
            <w:tcW w:w="1890" w:type="dxa"/>
            <w:tcBorders>
              <w:top w:val="nil"/>
              <w:left w:val="nil"/>
              <w:bottom w:val="nil"/>
              <w:right w:val="nil"/>
            </w:tcBorders>
            <w:vAlign w:val="center"/>
          </w:tcPr>
          <w:p>
            <w:pPr>
              <w:pStyle w:val="Normal"/>
              <w:spacing w:lineRule="auto" w:line="276"/>
              <w:jc w:val="center"/>
              <w:rPr/>
            </w:pPr>
            <w:r>
              <w:rPr>
                <w:color w:val="000000"/>
              </w:rPr>
              <w:t>1.33</w:t>
            </w:r>
          </w:p>
        </w:tc>
        <w:tc>
          <w:tcPr>
            <w:tcW w:w="1879" w:type="dxa"/>
            <w:tcBorders>
              <w:top w:val="nil"/>
              <w:left w:val="nil"/>
              <w:bottom w:val="nil"/>
              <w:right w:val="nil"/>
            </w:tcBorders>
            <w:vAlign w:val="center"/>
          </w:tcPr>
          <w:p>
            <w:pPr>
              <w:pStyle w:val="Normal"/>
              <w:spacing w:lineRule="auto" w:line="276"/>
              <w:jc w:val="center"/>
              <w:rPr/>
            </w:pPr>
            <w:r>
              <w:rPr>
                <w:color w:val="000000"/>
              </w:rPr>
              <w:t>1.5275252</w:t>
            </w:r>
          </w:p>
        </w:tc>
        <w:tc>
          <w:tcPr>
            <w:tcW w:w="1865" w:type="dxa"/>
            <w:tcBorders>
              <w:top w:val="nil"/>
              <w:left w:val="nil"/>
              <w:bottom w:val="nil"/>
              <w:right w:val="nil"/>
            </w:tcBorders>
            <w:vAlign w:val="center"/>
          </w:tcPr>
          <w:p>
            <w:pPr>
              <w:pStyle w:val="Normal"/>
              <w:spacing w:lineRule="auto" w:line="276"/>
              <w:jc w:val="center"/>
              <w:rPr/>
            </w:pPr>
            <w:r>
              <w:rPr>
                <w:color w:val="000000"/>
              </w:rPr>
              <w:t>1.33</w:t>
            </w:r>
          </w:p>
        </w:tc>
        <w:tc>
          <w:tcPr>
            <w:tcW w:w="1904" w:type="dxa"/>
            <w:tcBorders>
              <w:top w:val="nil"/>
              <w:left w:val="nil"/>
              <w:bottom w:val="nil"/>
              <w:right w:val="nil"/>
            </w:tcBorders>
            <w:vAlign w:val="center"/>
          </w:tcPr>
          <w:p>
            <w:pPr>
              <w:pStyle w:val="Normal"/>
              <w:spacing w:lineRule="auto" w:line="276"/>
              <w:jc w:val="center"/>
              <w:rPr/>
            </w:pPr>
            <w:r>
              <w:rPr>
                <w:color w:val="000000"/>
              </w:rPr>
              <w:t>1.5275252</w:t>
            </w:r>
          </w:p>
        </w:tc>
      </w:tr>
      <w:tr>
        <w:trPr/>
        <w:tc>
          <w:tcPr>
            <w:tcW w:w="1823" w:type="dxa"/>
            <w:tcBorders>
              <w:top w:val="nil"/>
              <w:left w:val="nil"/>
              <w:bottom w:val="nil"/>
              <w:right w:val="nil"/>
            </w:tcBorders>
            <w:vAlign w:val="center"/>
          </w:tcPr>
          <w:p>
            <w:pPr>
              <w:pStyle w:val="Normal"/>
              <w:spacing w:lineRule="auto" w:line="276"/>
              <w:rPr/>
            </w:pPr>
            <w:r>
              <w:rPr>
                <w:color w:val="000000"/>
              </w:rPr>
              <w:t>RIL41</w:t>
            </w:r>
          </w:p>
        </w:tc>
        <w:tc>
          <w:tcPr>
            <w:tcW w:w="1890" w:type="dxa"/>
            <w:tcBorders>
              <w:top w:val="nil"/>
              <w:left w:val="nil"/>
              <w:bottom w:val="nil"/>
              <w:right w:val="nil"/>
            </w:tcBorders>
            <w:vAlign w:val="center"/>
          </w:tcPr>
          <w:p>
            <w:pPr>
              <w:pStyle w:val="Normal"/>
              <w:spacing w:lineRule="auto" w:line="276"/>
              <w:jc w:val="center"/>
              <w:rPr/>
            </w:pPr>
            <w:r>
              <w:rPr>
                <w:color w:val="000000"/>
              </w:rPr>
              <w:t>1.67</w:t>
            </w:r>
          </w:p>
        </w:tc>
        <w:tc>
          <w:tcPr>
            <w:tcW w:w="1879" w:type="dxa"/>
            <w:tcBorders>
              <w:top w:val="nil"/>
              <w:left w:val="nil"/>
              <w:bottom w:val="nil"/>
              <w:right w:val="nil"/>
            </w:tcBorders>
            <w:vAlign w:val="center"/>
          </w:tcPr>
          <w:p>
            <w:pPr>
              <w:pStyle w:val="Normal"/>
              <w:spacing w:lineRule="auto" w:line="276"/>
              <w:jc w:val="center"/>
              <w:rPr/>
            </w:pPr>
            <w:r>
              <w:rPr>
                <w:color w:val="000000"/>
              </w:rPr>
              <w:t>1.1547005</w:t>
            </w:r>
          </w:p>
        </w:tc>
        <w:tc>
          <w:tcPr>
            <w:tcW w:w="1865" w:type="dxa"/>
            <w:tcBorders>
              <w:top w:val="nil"/>
              <w:left w:val="nil"/>
              <w:bottom w:val="nil"/>
              <w:right w:val="nil"/>
            </w:tcBorders>
            <w:vAlign w:val="center"/>
          </w:tcPr>
          <w:p>
            <w:pPr>
              <w:pStyle w:val="Normal"/>
              <w:spacing w:lineRule="auto" w:line="276"/>
              <w:jc w:val="center"/>
              <w:rPr/>
            </w:pPr>
            <w:r>
              <w:rPr>
                <w:color w:val="000000"/>
              </w:rPr>
              <w:t>3.00</w:t>
            </w:r>
          </w:p>
        </w:tc>
        <w:tc>
          <w:tcPr>
            <w:tcW w:w="1904" w:type="dxa"/>
            <w:tcBorders>
              <w:top w:val="nil"/>
              <w:left w:val="nil"/>
              <w:bottom w:val="nil"/>
              <w:right w:val="nil"/>
            </w:tcBorders>
            <w:vAlign w:val="center"/>
          </w:tcPr>
          <w:p>
            <w:pPr>
              <w:pStyle w:val="Normal"/>
              <w:spacing w:lineRule="auto" w:line="276"/>
              <w:jc w:val="center"/>
              <w:rPr/>
            </w:pPr>
            <w:r>
              <w:rPr>
                <w:color w:val="000000"/>
              </w:rPr>
              <w:t>3.0000000</w:t>
            </w:r>
          </w:p>
        </w:tc>
      </w:tr>
      <w:tr>
        <w:trPr/>
        <w:tc>
          <w:tcPr>
            <w:tcW w:w="1823" w:type="dxa"/>
            <w:tcBorders>
              <w:top w:val="nil"/>
              <w:left w:val="nil"/>
              <w:bottom w:val="nil"/>
              <w:right w:val="nil"/>
            </w:tcBorders>
            <w:vAlign w:val="center"/>
          </w:tcPr>
          <w:p>
            <w:pPr>
              <w:pStyle w:val="Normal"/>
              <w:spacing w:lineRule="auto" w:line="276"/>
              <w:rPr/>
            </w:pPr>
            <w:r>
              <w:rPr>
                <w:color w:val="000000"/>
              </w:rPr>
              <w:t>RIL47</w:t>
            </w:r>
          </w:p>
        </w:tc>
        <w:tc>
          <w:tcPr>
            <w:tcW w:w="1890" w:type="dxa"/>
            <w:tcBorders>
              <w:top w:val="nil"/>
              <w:left w:val="nil"/>
              <w:bottom w:val="nil"/>
              <w:right w:val="nil"/>
            </w:tcBorders>
            <w:vAlign w:val="center"/>
          </w:tcPr>
          <w:p>
            <w:pPr>
              <w:pStyle w:val="Normal"/>
              <w:spacing w:lineRule="auto" w:line="276"/>
              <w:jc w:val="center"/>
              <w:rPr/>
            </w:pPr>
            <w:r>
              <w:rPr>
                <w:color w:val="000000"/>
              </w:rPr>
              <w:t>4.00</w:t>
            </w:r>
          </w:p>
        </w:tc>
        <w:tc>
          <w:tcPr>
            <w:tcW w:w="1879" w:type="dxa"/>
            <w:tcBorders>
              <w:top w:val="nil"/>
              <w:left w:val="nil"/>
              <w:bottom w:val="nil"/>
              <w:right w:val="nil"/>
            </w:tcBorders>
            <w:vAlign w:val="center"/>
          </w:tcPr>
          <w:p>
            <w:pPr>
              <w:pStyle w:val="Normal"/>
              <w:spacing w:lineRule="auto" w:line="276"/>
              <w:jc w:val="center"/>
              <w:rPr/>
            </w:pPr>
            <w:r>
              <w:rPr>
                <w:color w:val="000000"/>
              </w:rPr>
              <w:t>0.0000000</w:t>
            </w:r>
          </w:p>
        </w:tc>
        <w:tc>
          <w:tcPr>
            <w:tcW w:w="1865" w:type="dxa"/>
            <w:tcBorders>
              <w:top w:val="nil"/>
              <w:left w:val="nil"/>
              <w:bottom w:val="nil"/>
              <w:right w:val="nil"/>
            </w:tcBorders>
            <w:vAlign w:val="center"/>
          </w:tcPr>
          <w:p>
            <w:pPr>
              <w:pStyle w:val="Normal"/>
              <w:spacing w:lineRule="auto" w:line="276"/>
              <w:jc w:val="center"/>
              <w:rPr/>
            </w:pPr>
            <w:r>
              <w:rPr>
                <w:color w:val="000000"/>
              </w:rPr>
              <w:t>3.33</w:t>
            </w:r>
          </w:p>
        </w:tc>
        <w:tc>
          <w:tcPr>
            <w:tcW w:w="1904" w:type="dxa"/>
            <w:tcBorders>
              <w:top w:val="nil"/>
              <w:left w:val="nil"/>
              <w:bottom w:val="nil"/>
              <w:right w:val="nil"/>
            </w:tcBorders>
            <w:vAlign w:val="center"/>
          </w:tcPr>
          <w:p>
            <w:pPr>
              <w:pStyle w:val="Normal"/>
              <w:spacing w:lineRule="auto" w:line="276"/>
              <w:jc w:val="center"/>
              <w:rPr/>
            </w:pPr>
            <w:r>
              <w:rPr>
                <w:color w:val="000000"/>
              </w:rPr>
              <w:t>1.5275252</w:t>
            </w:r>
          </w:p>
        </w:tc>
      </w:tr>
      <w:tr>
        <w:trPr/>
        <w:tc>
          <w:tcPr>
            <w:tcW w:w="1823" w:type="dxa"/>
            <w:tcBorders>
              <w:top w:val="nil"/>
              <w:left w:val="nil"/>
              <w:bottom w:val="nil"/>
              <w:right w:val="nil"/>
            </w:tcBorders>
            <w:vAlign w:val="center"/>
          </w:tcPr>
          <w:p>
            <w:pPr>
              <w:pStyle w:val="Normal"/>
              <w:spacing w:lineRule="auto" w:line="276"/>
              <w:rPr/>
            </w:pPr>
            <w:r>
              <w:rPr>
                <w:color w:val="000000"/>
              </w:rPr>
              <w:t>RIL50</w:t>
            </w:r>
          </w:p>
        </w:tc>
        <w:tc>
          <w:tcPr>
            <w:tcW w:w="1890" w:type="dxa"/>
            <w:tcBorders>
              <w:top w:val="nil"/>
              <w:left w:val="nil"/>
              <w:bottom w:val="nil"/>
              <w:right w:val="nil"/>
            </w:tcBorders>
            <w:vAlign w:val="center"/>
          </w:tcPr>
          <w:p>
            <w:pPr>
              <w:pStyle w:val="Normal"/>
              <w:spacing w:lineRule="auto" w:line="276"/>
              <w:jc w:val="center"/>
              <w:rPr/>
            </w:pPr>
            <w:r>
              <w:rPr>
                <w:color w:val="000000"/>
              </w:rPr>
              <w:t>5.00</w:t>
            </w:r>
          </w:p>
        </w:tc>
        <w:tc>
          <w:tcPr>
            <w:tcW w:w="1879" w:type="dxa"/>
            <w:tcBorders>
              <w:top w:val="nil"/>
              <w:left w:val="nil"/>
              <w:bottom w:val="nil"/>
              <w:right w:val="nil"/>
            </w:tcBorders>
            <w:vAlign w:val="center"/>
          </w:tcPr>
          <w:p>
            <w:pPr>
              <w:pStyle w:val="Normal"/>
              <w:spacing w:lineRule="auto" w:line="276"/>
              <w:jc w:val="center"/>
              <w:rPr/>
            </w:pPr>
            <w:r>
              <w:rPr>
                <w:color w:val="000000"/>
              </w:rPr>
              <w:t>2.6457513</w:t>
            </w:r>
          </w:p>
        </w:tc>
        <w:tc>
          <w:tcPr>
            <w:tcW w:w="1865" w:type="dxa"/>
            <w:tcBorders>
              <w:top w:val="nil"/>
              <w:left w:val="nil"/>
              <w:bottom w:val="nil"/>
              <w:right w:val="nil"/>
            </w:tcBorders>
            <w:vAlign w:val="center"/>
          </w:tcPr>
          <w:p>
            <w:pPr>
              <w:pStyle w:val="Normal"/>
              <w:spacing w:lineRule="auto" w:line="276"/>
              <w:jc w:val="center"/>
              <w:rPr/>
            </w:pPr>
            <w:r>
              <w:rPr>
                <w:color w:val="000000"/>
              </w:rPr>
              <w:t>4.33</w:t>
            </w:r>
          </w:p>
        </w:tc>
        <w:tc>
          <w:tcPr>
            <w:tcW w:w="1904" w:type="dxa"/>
            <w:tcBorders>
              <w:top w:val="nil"/>
              <w:left w:val="nil"/>
              <w:bottom w:val="nil"/>
              <w:right w:val="nil"/>
            </w:tcBorders>
            <w:vAlign w:val="center"/>
          </w:tcPr>
          <w:p>
            <w:pPr>
              <w:pStyle w:val="Normal"/>
              <w:spacing w:lineRule="auto" w:line="276"/>
              <w:jc w:val="center"/>
              <w:rPr/>
            </w:pPr>
            <w:r>
              <w:rPr>
                <w:color w:val="000000"/>
              </w:rPr>
              <w:t>1.1547005</w:t>
            </w:r>
          </w:p>
        </w:tc>
      </w:tr>
      <w:tr>
        <w:trPr/>
        <w:tc>
          <w:tcPr>
            <w:tcW w:w="1823" w:type="dxa"/>
            <w:tcBorders>
              <w:top w:val="nil"/>
              <w:left w:val="nil"/>
              <w:bottom w:val="nil"/>
              <w:right w:val="nil"/>
            </w:tcBorders>
            <w:vAlign w:val="center"/>
          </w:tcPr>
          <w:p>
            <w:pPr>
              <w:pStyle w:val="Normal"/>
              <w:spacing w:lineRule="auto" w:line="276"/>
              <w:rPr/>
            </w:pPr>
            <w:r>
              <w:rPr>
                <w:color w:val="000000"/>
              </w:rPr>
              <w:t>RIL57</w:t>
            </w:r>
          </w:p>
        </w:tc>
        <w:tc>
          <w:tcPr>
            <w:tcW w:w="1890" w:type="dxa"/>
            <w:tcBorders>
              <w:top w:val="nil"/>
              <w:left w:val="nil"/>
              <w:bottom w:val="nil"/>
              <w:right w:val="nil"/>
            </w:tcBorders>
            <w:vAlign w:val="center"/>
          </w:tcPr>
          <w:p>
            <w:pPr>
              <w:pStyle w:val="Normal"/>
              <w:spacing w:lineRule="auto" w:line="276"/>
              <w:jc w:val="center"/>
              <w:rPr/>
            </w:pPr>
            <w:r>
              <w:rPr>
                <w:color w:val="000000"/>
              </w:rPr>
              <w:t>2.67</w:t>
            </w:r>
          </w:p>
        </w:tc>
        <w:tc>
          <w:tcPr>
            <w:tcW w:w="1879" w:type="dxa"/>
            <w:tcBorders>
              <w:top w:val="nil"/>
              <w:left w:val="nil"/>
              <w:bottom w:val="nil"/>
              <w:right w:val="nil"/>
            </w:tcBorders>
            <w:vAlign w:val="center"/>
          </w:tcPr>
          <w:p>
            <w:pPr>
              <w:pStyle w:val="Normal"/>
              <w:spacing w:lineRule="auto" w:line="276"/>
              <w:jc w:val="center"/>
              <w:rPr/>
            </w:pPr>
            <w:r>
              <w:rPr>
                <w:color w:val="000000"/>
              </w:rPr>
              <w:t>0.5773503</w:t>
            </w:r>
          </w:p>
        </w:tc>
        <w:tc>
          <w:tcPr>
            <w:tcW w:w="1865" w:type="dxa"/>
            <w:tcBorders>
              <w:top w:val="nil"/>
              <w:left w:val="nil"/>
              <w:bottom w:val="nil"/>
              <w:right w:val="nil"/>
            </w:tcBorders>
            <w:vAlign w:val="center"/>
          </w:tcPr>
          <w:p>
            <w:pPr>
              <w:pStyle w:val="Normal"/>
              <w:spacing w:lineRule="auto" w:line="276"/>
              <w:jc w:val="center"/>
              <w:rPr/>
            </w:pPr>
            <w:r>
              <w:rPr>
                <w:color w:val="000000"/>
              </w:rPr>
              <w:t>2.67</w:t>
            </w:r>
          </w:p>
        </w:tc>
        <w:tc>
          <w:tcPr>
            <w:tcW w:w="1904" w:type="dxa"/>
            <w:tcBorders>
              <w:top w:val="nil"/>
              <w:left w:val="nil"/>
              <w:bottom w:val="nil"/>
              <w:right w:val="nil"/>
            </w:tcBorders>
            <w:vAlign w:val="center"/>
          </w:tcPr>
          <w:p>
            <w:pPr>
              <w:pStyle w:val="Normal"/>
              <w:spacing w:lineRule="auto" w:line="276"/>
              <w:jc w:val="center"/>
              <w:rPr/>
            </w:pPr>
            <w:r>
              <w:rPr>
                <w:color w:val="000000"/>
              </w:rPr>
              <w:t>1.1547005</w:t>
            </w:r>
          </w:p>
        </w:tc>
      </w:tr>
      <w:tr>
        <w:trPr/>
        <w:tc>
          <w:tcPr>
            <w:tcW w:w="1823" w:type="dxa"/>
            <w:tcBorders>
              <w:top w:val="nil"/>
              <w:left w:val="nil"/>
              <w:bottom w:val="nil"/>
              <w:right w:val="nil"/>
            </w:tcBorders>
            <w:vAlign w:val="center"/>
          </w:tcPr>
          <w:p>
            <w:pPr>
              <w:pStyle w:val="Normal"/>
              <w:spacing w:lineRule="auto" w:line="276"/>
              <w:rPr/>
            </w:pPr>
            <w:r>
              <w:rPr>
                <w:color w:val="000000"/>
              </w:rPr>
              <w:t>RIL58</w:t>
            </w:r>
          </w:p>
        </w:tc>
        <w:tc>
          <w:tcPr>
            <w:tcW w:w="1890" w:type="dxa"/>
            <w:tcBorders>
              <w:top w:val="nil"/>
              <w:left w:val="nil"/>
              <w:bottom w:val="nil"/>
              <w:right w:val="nil"/>
            </w:tcBorders>
            <w:vAlign w:val="center"/>
          </w:tcPr>
          <w:p>
            <w:pPr>
              <w:pStyle w:val="Normal"/>
              <w:spacing w:lineRule="auto" w:line="276"/>
              <w:jc w:val="center"/>
              <w:rPr/>
            </w:pPr>
            <w:r>
              <w:rPr>
                <w:color w:val="000000"/>
              </w:rPr>
              <w:t>5.00</w:t>
            </w:r>
          </w:p>
        </w:tc>
        <w:tc>
          <w:tcPr>
            <w:tcW w:w="1879" w:type="dxa"/>
            <w:tcBorders>
              <w:top w:val="nil"/>
              <w:left w:val="nil"/>
              <w:bottom w:val="nil"/>
              <w:right w:val="nil"/>
            </w:tcBorders>
            <w:vAlign w:val="center"/>
          </w:tcPr>
          <w:p>
            <w:pPr>
              <w:pStyle w:val="Normal"/>
              <w:spacing w:lineRule="auto" w:line="276"/>
              <w:jc w:val="center"/>
              <w:rPr/>
            </w:pPr>
            <w:r>
              <w:rPr>
                <w:color w:val="000000"/>
              </w:rPr>
              <w:t>3.0000000</w:t>
            </w:r>
          </w:p>
        </w:tc>
        <w:tc>
          <w:tcPr>
            <w:tcW w:w="1865" w:type="dxa"/>
            <w:tcBorders>
              <w:top w:val="nil"/>
              <w:left w:val="nil"/>
              <w:bottom w:val="nil"/>
              <w:right w:val="nil"/>
            </w:tcBorders>
            <w:vAlign w:val="center"/>
          </w:tcPr>
          <w:p>
            <w:pPr>
              <w:pStyle w:val="Normal"/>
              <w:spacing w:lineRule="auto" w:line="276"/>
              <w:jc w:val="center"/>
              <w:rPr/>
            </w:pPr>
            <w:r>
              <w:rPr>
                <w:color w:val="000000"/>
              </w:rPr>
              <w:t>2.33</w:t>
            </w:r>
          </w:p>
        </w:tc>
        <w:tc>
          <w:tcPr>
            <w:tcW w:w="1904" w:type="dxa"/>
            <w:tcBorders>
              <w:top w:val="nil"/>
              <w:left w:val="nil"/>
              <w:bottom w:val="nil"/>
              <w:right w:val="nil"/>
            </w:tcBorders>
            <w:vAlign w:val="center"/>
          </w:tcPr>
          <w:p>
            <w:pPr>
              <w:pStyle w:val="Normal"/>
              <w:spacing w:lineRule="auto" w:line="276"/>
              <w:jc w:val="center"/>
              <w:rPr/>
            </w:pPr>
            <w:r>
              <w:rPr>
                <w:color w:val="000000"/>
              </w:rPr>
              <w:t>2.3094011</w:t>
            </w:r>
          </w:p>
        </w:tc>
      </w:tr>
      <w:tr>
        <w:trPr/>
        <w:tc>
          <w:tcPr>
            <w:tcW w:w="1823" w:type="dxa"/>
            <w:tcBorders>
              <w:top w:val="nil"/>
              <w:left w:val="nil"/>
              <w:bottom w:val="nil"/>
              <w:right w:val="nil"/>
            </w:tcBorders>
            <w:vAlign w:val="center"/>
          </w:tcPr>
          <w:p>
            <w:pPr>
              <w:pStyle w:val="Normal"/>
              <w:spacing w:lineRule="auto" w:line="276"/>
              <w:rPr/>
            </w:pPr>
            <w:r>
              <w:rPr>
                <w:color w:val="000000"/>
              </w:rPr>
              <w:t>RIL80</w:t>
            </w:r>
          </w:p>
        </w:tc>
        <w:tc>
          <w:tcPr>
            <w:tcW w:w="1890" w:type="dxa"/>
            <w:tcBorders>
              <w:top w:val="nil"/>
              <w:left w:val="nil"/>
              <w:bottom w:val="nil"/>
              <w:right w:val="nil"/>
            </w:tcBorders>
            <w:vAlign w:val="center"/>
          </w:tcPr>
          <w:p>
            <w:pPr>
              <w:pStyle w:val="Normal"/>
              <w:spacing w:lineRule="auto" w:line="276"/>
              <w:jc w:val="center"/>
              <w:rPr/>
            </w:pPr>
            <w:r>
              <w:rPr>
                <w:color w:val="000000"/>
              </w:rPr>
              <w:t>8.67</w:t>
            </w:r>
          </w:p>
        </w:tc>
        <w:tc>
          <w:tcPr>
            <w:tcW w:w="1879" w:type="dxa"/>
            <w:tcBorders>
              <w:top w:val="nil"/>
              <w:left w:val="nil"/>
              <w:bottom w:val="nil"/>
              <w:right w:val="nil"/>
            </w:tcBorders>
            <w:vAlign w:val="center"/>
          </w:tcPr>
          <w:p>
            <w:pPr>
              <w:pStyle w:val="Normal"/>
              <w:spacing w:lineRule="auto" w:line="276"/>
              <w:jc w:val="center"/>
              <w:rPr/>
            </w:pPr>
            <w:r>
              <w:rPr>
                <w:color w:val="000000"/>
              </w:rPr>
              <w:t>0.5773503</w:t>
            </w:r>
          </w:p>
        </w:tc>
        <w:tc>
          <w:tcPr>
            <w:tcW w:w="1865" w:type="dxa"/>
            <w:tcBorders>
              <w:top w:val="nil"/>
              <w:left w:val="nil"/>
              <w:bottom w:val="nil"/>
              <w:right w:val="nil"/>
            </w:tcBorders>
            <w:vAlign w:val="center"/>
          </w:tcPr>
          <w:p>
            <w:pPr>
              <w:pStyle w:val="Normal"/>
              <w:spacing w:lineRule="auto" w:line="276"/>
              <w:jc w:val="center"/>
              <w:rPr/>
            </w:pPr>
            <w:r>
              <w:rPr>
                <w:color w:val="000000"/>
              </w:rPr>
              <w:t>10.00</w:t>
            </w:r>
          </w:p>
        </w:tc>
        <w:tc>
          <w:tcPr>
            <w:tcW w:w="1904" w:type="dxa"/>
            <w:tcBorders>
              <w:top w:val="nil"/>
              <w:left w:val="nil"/>
              <w:bottom w:val="nil"/>
              <w:right w:val="nil"/>
            </w:tcBorders>
            <w:vAlign w:val="center"/>
          </w:tcPr>
          <w:p>
            <w:pPr>
              <w:pStyle w:val="Normal"/>
              <w:spacing w:lineRule="auto" w:line="276"/>
              <w:jc w:val="center"/>
              <w:rPr/>
            </w:pPr>
            <w:r>
              <w:rPr>
                <w:color w:val="000000"/>
              </w:rPr>
              <w:t>0.0000000</w:t>
            </w:r>
          </w:p>
        </w:tc>
      </w:tr>
      <w:tr>
        <w:trPr/>
        <w:tc>
          <w:tcPr>
            <w:tcW w:w="1823" w:type="dxa"/>
            <w:tcBorders>
              <w:top w:val="nil"/>
              <w:left w:val="nil"/>
              <w:bottom w:val="nil"/>
              <w:right w:val="nil"/>
            </w:tcBorders>
            <w:vAlign w:val="center"/>
          </w:tcPr>
          <w:p>
            <w:pPr>
              <w:pStyle w:val="Normal"/>
              <w:spacing w:lineRule="auto" w:line="276"/>
              <w:rPr/>
            </w:pPr>
            <w:r>
              <w:rPr>
                <w:color w:val="000000"/>
              </w:rPr>
              <w:t>RIL81</w:t>
            </w:r>
          </w:p>
        </w:tc>
        <w:tc>
          <w:tcPr>
            <w:tcW w:w="1890" w:type="dxa"/>
            <w:tcBorders>
              <w:top w:val="nil"/>
              <w:left w:val="nil"/>
              <w:bottom w:val="nil"/>
              <w:right w:val="nil"/>
            </w:tcBorders>
            <w:vAlign w:val="center"/>
          </w:tcPr>
          <w:p>
            <w:pPr>
              <w:pStyle w:val="Normal"/>
              <w:spacing w:lineRule="auto" w:line="276"/>
              <w:jc w:val="center"/>
              <w:rPr/>
            </w:pPr>
            <w:r>
              <w:rPr>
                <w:color w:val="000000"/>
              </w:rPr>
              <w:t>2.67</w:t>
            </w:r>
          </w:p>
        </w:tc>
        <w:tc>
          <w:tcPr>
            <w:tcW w:w="1879" w:type="dxa"/>
            <w:tcBorders>
              <w:top w:val="nil"/>
              <w:left w:val="nil"/>
              <w:bottom w:val="nil"/>
              <w:right w:val="nil"/>
            </w:tcBorders>
            <w:vAlign w:val="center"/>
          </w:tcPr>
          <w:p>
            <w:pPr>
              <w:pStyle w:val="Normal"/>
              <w:spacing w:lineRule="auto" w:line="276"/>
              <w:jc w:val="center"/>
              <w:rPr/>
            </w:pPr>
            <w:r>
              <w:rPr>
                <w:color w:val="000000"/>
              </w:rPr>
              <w:t>1.1547005</w:t>
            </w:r>
          </w:p>
        </w:tc>
        <w:tc>
          <w:tcPr>
            <w:tcW w:w="1865" w:type="dxa"/>
            <w:tcBorders>
              <w:top w:val="nil"/>
              <w:left w:val="nil"/>
              <w:bottom w:val="nil"/>
              <w:right w:val="nil"/>
            </w:tcBorders>
            <w:vAlign w:val="center"/>
          </w:tcPr>
          <w:p>
            <w:pPr>
              <w:pStyle w:val="Normal"/>
              <w:spacing w:lineRule="auto" w:line="276"/>
              <w:jc w:val="center"/>
              <w:rPr/>
            </w:pPr>
            <w:r>
              <w:rPr>
                <w:color w:val="000000"/>
              </w:rPr>
              <w:t>2.67</w:t>
            </w:r>
          </w:p>
        </w:tc>
        <w:tc>
          <w:tcPr>
            <w:tcW w:w="1904" w:type="dxa"/>
            <w:tcBorders>
              <w:top w:val="nil"/>
              <w:left w:val="nil"/>
              <w:bottom w:val="nil"/>
              <w:right w:val="nil"/>
            </w:tcBorders>
            <w:vAlign w:val="center"/>
          </w:tcPr>
          <w:p>
            <w:pPr>
              <w:pStyle w:val="Normal"/>
              <w:spacing w:lineRule="auto" w:line="276"/>
              <w:jc w:val="center"/>
              <w:rPr/>
            </w:pPr>
            <w:r>
              <w:rPr>
                <w:color w:val="000000"/>
              </w:rPr>
              <w:t>1.1547005</w:t>
            </w:r>
          </w:p>
        </w:tc>
      </w:tr>
      <w:tr>
        <w:trPr/>
        <w:tc>
          <w:tcPr>
            <w:tcW w:w="1823" w:type="dxa"/>
            <w:tcBorders>
              <w:top w:val="nil"/>
              <w:left w:val="nil"/>
              <w:right w:val="nil"/>
            </w:tcBorders>
            <w:vAlign w:val="center"/>
          </w:tcPr>
          <w:p>
            <w:pPr>
              <w:pStyle w:val="Normal"/>
              <w:spacing w:lineRule="auto" w:line="276"/>
              <w:rPr/>
            </w:pPr>
            <w:r>
              <w:rPr>
                <w:color w:val="000000"/>
              </w:rPr>
              <w:t>RIL93</w:t>
            </w:r>
          </w:p>
        </w:tc>
        <w:tc>
          <w:tcPr>
            <w:tcW w:w="1890" w:type="dxa"/>
            <w:tcBorders>
              <w:top w:val="nil"/>
              <w:left w:val="nil"/>
              <w:bottom w:val="nil"/>
              <w:right w:val="nil"/>
            </w:tcBorders>
            <w:vAlign w:val="center"/>
          </w:tcPr>
          <w:p>
            <w:pPr>
              <w:pStyle w:val="Normal"/>
              <w:spacing w:lineRule="auto" w:line="276"/>
              <w:jc w:val="center"/>
              <w:rPr/>
            </w:pPr>
            <w:r>
              <w:rPr>
                <w:color w:val="000000"/>
              </w:rPr>
              <w:t>6.67</w:t>
            </w:r>
          </w:p>
        </w:tc>
        <w:tc>
          <w:tcPr>
            <w:tcW w:w="1879" w:type="dxa"/>
            <w:tcBorders>
              <w:top w:val="nil"/>
              <w:left w:val="nil"/>
              <w:bottom w:val="nil"/>
              <w:right w:val="nil"/>
            </w:tcBorders>
            <w:vAlign w:val="center"/>
          </w:tcPr>
          <w:p>
            <w:pPr>
              <w:pStyle w:val="Normal"/>
              <w:spacing w:lineRule="auto" w:line="276"/>
              <w:jc w:val="center"/>
              <w:rPr/>
            </w:pPr>
            <w:r>
              <w:rPr>
                <w:color w:val="000000"/>
              </w:rPr>
              <w:t>0.5773503</w:t>
            </w:r>
          </w:p>
        </w:tc>
        <w:tc>
          <w:tcPr>
            <w:tcW w:w="1865" w:type="dxa"/>
            <w:tcBorders>
              <w:top w:val="nil"/>
              <w:left w:val="nil"/>
              <w:bottom w:val="nil"/>
              <w:right w:val="nil"/>
            </w:tcBorders>
            <w:vAlign w:val="center"/>
          </w:tcPr>
          <w:p>
            <w:pPr>
              <w:pStyle w:val="Normal"/>
              <w:spacing w:lineRule="auto" w:line="276"/>
              <w:jc w:val="center"/>
              <w:rPr/>
            </w:pPr>
            <w:r>
              <w:rPr>
                <w:color w:val="000000"/>
              </w:rPr>
              <w:t>5.33</w:t>
            </w:r>
          </w:p>
        </w:tc>
        <w:tc>
          <w:tcPr>
            <w:tcW w:w="1904" w:type="dxa"/>
            <w:tcBorders>
              <w:top w:val="nil"/>
              <w:left w:val="nil"/>
              <w:bottom w:val="nil"/>
              <w:right w:val="nil"/>
            </w:tcBorders>
            <w:vAlign w:val="center"/>
          </w:tcPr>
          <w:p>
            <w:pPr>
              <w:pStyle w:val="Normal"/>
              <w:spacing w:lineRule="auto" w:line="276"/>
              <w:jc w:val="center"/>
              <w:rPr/>
            </w:pPr>
            <w:r>
              <w:rPr>
                <w:color w:val="000000"/>
              </w:rPr>
              <w:t>2.0816660</w:t>
            </w:r>
          </w:p>
        </w:tc>
      </w:tr>
      <w:tr>
        <w:trPr/>
        <w:tc>
          <w:tcPr>
            <w:tcW w:w="9361" w:type="dxa"/>
            <w:gridSpan w:val="5"/>
            <w:tcBorders>
              <w:left w:val="nil"/>
              <w:bottom w:val="nil"/>
              <w:right w:val="nil"/>
            </w:tcBorders>
            <w:vAlign w:val="center"/>
          </w:tcPr>
          <w:p>
            <w:pPr>
              <w:pStyle w:val="Normal"/>
              <w:spacing w:lineRule="auto" w:line="276"/>
              <w:jc w:val="center"/>
              <w:rPr>
                <w:sz w:val="20"/>
                <w:szCs w:val="20"/>
              </w:rPr>
            </w:pPr>
            <w:r>
              <w:rPr>
                <w:color w:val="000000"/>
                <w:sz w:val="20"/>
                <w:szCs w:val="20"/>
              </w:rPr>
              <w:t xml:space="preserve">Paired </w:t>
            </w:r>
            <w:r>
              <w:rPr>
                <w:i/>
                <w:iCs/>
                <w:color w:val="000000"/>
                <w:sz w:val="20"/>
                <w:szCs w:val="20"/>
              </w:rPr>
              <w:t>t</w:t>
            </w:r>
            <w:r>
              <w:rPr>
                <w:color w:val="000000"/>
                <w:sz w:val="20"/>
                <w:szCs w:val="20"/>
              </w:rPr>
              <w:t xml:space="preserve">-test comparing mean mortality in males and female: p-value = 0.02697 </w:t>
              <w:br/>
              <w:t>(t = -2.3444, df = 26)</w:t>
            </w:r>
          </w:p>
        </w:tc>
      </w:tr>
    </w:tbl>
    <w:p>
      <w:pPr>
        <w:pStyle w:val="Normal"/>
        <w:spacing w:lineRule="auto" w:line="276"/>
        <w:rPr>
          <w:b/>
          <w:b/>
          <w:bCs/>
          <w:color w:val="000000" w:themeColor="text1"/>
          <w:sz w:val="22"/>
          <w:szCs w:val="22"/>
        </w:rPr>
      </w:pPr>
      <w:r>
        <w:rPr>
          <w:b/>
          <w:bCs/>
          <w:color w:val="000000" w:themeColor="text1"/>
          <w:sz w:val="22"/>
          <w:szCs w:val="22"/>
        </w:rPr>
      </w:r>
      <w:r>
        <w:br w:type="page"/>
      </w:r>
    </w:p>
    <w:p>
      <w:pPr>
        <w:pStyle w:val="Caption1"/>
        <w:spacing w:lineRule="auto" w:line="276" w:before="0" w:after="113"/>
        <w:jc w:val="both"/>
        <w:rPr>
          <w:sz w:val="20"/>
          <w:szCs w:val="20"/>
        </w:rPr>
      </w:pPr>
      <w:r>
        <w:rPr>
          <w:b/>
          <w:bCs/>
          <w:sz w:val="20"/>
          <w:szCs w:val="20"/>
        </w:rPr>
        <w:t>Table S3:</w:t>
      </w:r>
      <w:r>
        <w:rPr>
          <w:sz w:val="20"/>
          <w:szCs w:val="20"/>
        </w:rPr>
        <w:t xml:space="preserve"> Lethal time (L</w:t>
      </w:r>
      <w:r>
        <w:rPr>
          <w:position w:val="0"/>
          <w:sz w:val="20"/>
          <w:sz w:val="20"/>
          <w:szCs w:val="20"/>
          <w:vertAlign w:val="baseline"/>
        </w:rPr>
        <w:t>Ti50</w:t>
      </w:r>
      <w:r>
        <w:rPr>
          <w:sz w:val="20"/>
          <w:szCs w:val="20"/>
        </w:rPr>
        <w:t>) -in hours- for female and male flies of BKK, KATH, and RIL strains. RIL-founder strains are shown in red.</w:t>
      </w:r>
    </w:p>
    <w:tbl>
      <w:tblPr>
        <w:tblW w:w="4500" w:type="dxa"/>
        <w:jc w:val="center"/>
        <w:tblInd w:w="0" w:type="dxa"/>
        <w:tblCellMar>
          <w:top w:w="0" w:type="dxa"/>
          <w:left w:w="108" w:type="dxa"/>
          <w:bottom w:w="0" w:type="dxa"/>
          <w:right w:w="108" w:type="dxa"/>
        </w:tblCellMar>
        <w:tblLook w:val="04a0" w:noHBand="0" w:noVBand="1" w:firstColumn="1" w:lastRow="0" w:lastColumn="0" w:firstRow="1"/>
      </w:tblPr>
      <w:tblGrid>
        <w:gridCol w:w="1500"/>
        <w:gridCol w:w="1500"/>
        <w:gridCol w:w="1500"/>
      </w:tblGrid>
      <w:tr>
        <w:trPr>
          <w:trHeight w:val="320" w:hRule="atLeast"/>
        </w:trPr>
        <w:tc>
          <w:tcPr>
            <w:tcW w:w="1500" w:type="dxa"/>
            <w:tcBorders>
              <w:bottom w:val="single" w:sz="4" w:space="0" w:color="000000"/>
            </w:tcBorders>
            <w:shd w:color="auto" w:fill="auto" w:val="clear"/>
            <w:vAlign w:val="center"/>
          </w:tcPr>
          <w:p>
            <w:pPr>
              <w:pStyle w:val="Normal"/>
              <w:spacing w:lineRule="auto" w:line="276"/>
              <w:rPr/>
            </w:pPr>
            <w:r>
              <w:rPr>
                <w:b/>
                <w:bCs/>
                <w:color w:val="000000"/>
              </w:rPr>
              <w:t>Line</w:t>
            </w:r>
          </w:p>
        </w:tc>
        <w:tc>
          <w:tcPr>
            <w:tcW w:w="1500" w:type="dxa"/>
            <w:tcBorders>
              <w:bottom w:val="single" w:sz="4" w:space="0" w:color="000000"/>
            </w:tcBorders>
            <w:shd w:color="auto" w:fill="auto" w:val="clear"/>
            <w:vAlign w:val="center"/>
          </w:tcPr>
          <w:p>
            <w:pPr>
              <w:pStyle w:val="Normal"/>
              <w:spacing w:lineRule="auto" w:line="276"/>
              <w:jc w:val="center"/>
              <w:rPr/>
            </w:pPr>
            <w:r>
              <w:rPr>
                <w:b/>
                <w:bCs/>
                <w:color w:val="000000"/>
              </w:rPr>
              <w:t>Female</w:t>
            </w:r>
          </w:p>
        </w:tc>
        <w:tc>
          <w:tcPr>
            <w:tcW w:w="1500" w:type="dxa"/>
            <w:tcBorders>
              <w:bottom w:val="single" w:sz="4" w:space="0" w:color="000000"/>
            </w:tcBorders>
            <w:shd w:color="auto" w:fill="auto" w:val="clear"/>
            <w:vAlign w:val="center"/>
          </w:tcPr>
          <w:p>
            <w:pPr>
              <w:pStyle w:val="Normal"/>
              <w:spacing w:lineRule="auto" w:line="276"/>
              <w:jc w:val="center"/>
              <w:rPr/>
            </w:pPr>
            <w:r>
              <w:rPr>
                <w:b/>
                <w:bCs/>
                <w:color w:val="000000"/>
              </w:rPr>
              <w:t>Male</w:t>
            </w:r>
          </w:p>
        </w:tc>
      </w:tr>
      <w:tr>
        <w:trPr>
          <w:trHeight w:val="320" w:hRule="atLeast"/>
        </w:trPr>
        <w:tc>
          <w:tcPr>
            <w:tcW w:w="1500" w:type="dxa"/>
            <w:tcBorders/>
            <w:shd w:color="auto" w:fill="auto" w:val="clear"/>
            <w:vAlign w:val="center"/>
          </w:tcPr>
          <w:p>
            <w:pPr>
              <w:pStyle w:val="Normal"/>
              <w:spacing w:lineRule="auto" w:line="276"/>
              <w:rPr/>
            </w:pPr>
            <w:r>
              <w:rPr>
                <w:color w:val="000000"/>
              </w:rPr>
              <w:t>BKK5</w:t>
            </w:r>
          </w:p>
        </w:tc>
        <w:tc>
          <w:tcPr>
            <w:tcW w:w="1500" w:type="dxa"/>
            <w:tcBorders/>
            <w:shd w:color="auto" w:fill="auto" w:val="clear"/>
            <w:vAlign w:val="center"/>
          </w:tcPr>
          <w:p>
            <w:pPr>
              <w:pStyle w:val="Normal"/>
              <w:spacing w:lineRule="auto" w:line="276"/>
              <w:jc w:val="center"/>
              <w:rPr/>
            </w:pPr>
            <w:r>
              <w:rPr>
                <w:color w:val="000000"/>
              </w:rPr>
              <w:t>8.62</w:t>
            </w:r>
          </w:p>
        </w:tc>
        <w:tc>
          <w:tcPr>
            <w:tcW w:w="1500" w:type="dxa"/>
            <w:tcBorders/>
            <w:shd w:color="auto" w:fill="auto" w:val="clear"/>
            <w:vAlign w:val="center"/>
          </w:tcPr>
          <w:p>
            <w:pPr>
              <w:pStyle w:val="Normal"/>
              <w:spacing w:lineRule="auto" w:line="276"/>
              <w:jc w:val="center"/>
              <w:rPr/>
            </w:pPr>
            <w:r>
              <w:rPr>
                <w:color w:val="000000"/>
              </w:rPr>
              <w:t>9.62</w:t>
            </w:r>
          </w:p>
        </w:tc>
      </w:tr>
      <w:tr>
        <w:trPr>
          <w:trHeight w:val="320" w:hRule="atLeast"/>
        </w:trPr>
        <w:tc>
          <w:tcPr>
            <w:tcW w:w="1500" w:type="dxa"/>
            <w:tcBorders/>
            <w:shd w:color="auto" w:fill="auto" w:val="clear"/>
            <w:vAlign w:val="center"/>
          </w:tcPr>
          <w:p>
            <w:pPr>
              <w:pStyle w:val="Normal"/>
              <w:spacing w:lineRule="auto" w:line="276"/>
              <w:rPr/>
            </w:pPr>
            <w:r>
              <w:rPr>
                <w:color w:val="000000"/>
              </w:rPr>
              <w:t>BKK6</w:t>
            </w:r>
          </w:p>
        </w:tc>
        <w:tc>
          <w:tcPr>
            <w:tcW w:w="1500" w:type="dxa"/>
            <w:tcBorders/>
            <w:shd w:color="auto" w:fill="auto" w:val="clear"/>
            <w:vAlign w:val="center"/>
          </w:tcPr>
          <w:p>
            <w:pPr>
              <w:pStyle w:val="Normal"/>
              <w:spacing w:lineRule="auto" w:line="276"/>
              <w:jc w:val="center"/>
              <w:rPr/>
            </w:pPr>
            <w:r>
              <w:rPr>
                <w:color w:val="000000"/>
              </w:rPr>
              <w:t>8.99</w:t>
            </w:r>
          </w:p>
        </w:tc>
        <w:tc>
          <w:tcPr>
            <w:tcW w:w="1500" w:type="dxa"/>
            <w:tcBorders/>
            <w:shd w:color="auto" w:fill="auto" w:val="clear"/>
            <w:vAlign w:val="center"/>
          </w:tcPr>
          <w:p>
            <w:pPr>
              <w:pStyle w:val="Normal"/>
              <w:spacing w:lineRule="auto" w:line="276"/>
              <w:jc w:val="center"/>
              <w:rPr/>
            </w:pPr>
            <w:r>
              <w:rPr>
                <w:color w:val="000000"/>
              </w:rPr>
              <w:t>12.63</w:t>
            </w:r>
          </w:p>
        </w:tc>
      </w:tr>
      <w:tr>
        <w:trPr>
          <w:trHeight w:val="320" w:hRule="atLeast"/>
        </w:trPr>
        <w:tc>
          <w:tcPr>
            <w:tcW w:w="1500" w:type="dxa"/>
            <w:tcBorders/>
            <w:shd w:color="auto" w:fill="auto" w:val="clear"/>
            <w:vAlign w:val="center"/>
          </w:tcPr>
          <w:p>
            <w:pPr>
              <w:pStyle w:val="Normal"/>
              <w:spacing w:lineRule="auto" w:line="276"/>
              <w:rPr/>
            </w:pPr>
            <w:r>
              <w:rPr>
                <w:color w:val="000000"/>
              </w:rPr>
              <w:t>BKK10</w:t>
            </w:r>
          </w:p>
        </w:tc>
        <w:tc>
          <w:tcPr>
            <w:tcW w:w="1500" w:type="dxa"/>
            <w:tcBorders/>
            <w:shd w:color="auto" w:fill="auto" w:val="clear"/>
            <w:vAlign w:val="center"/>
          </w:tcPr>
          <w:p>
            <w:pPr>
              <w:pStyle w:val="Normal"/>
              <w:spacing w:lineRule="auto" w:line="276"/>
              <w:jc w:val="center"/>
              <w:rPr/>
            </w:pPr>
            <w:r>
              <w:rPr>
                <w:color w:val="000000"/>
              </w:rPr>
              <w:t>13.16</w:t>
            </w:r>
          </w:p>
        </w:tc>
        <w:tc>
          <w:tcPr>
            <w:tcW w:w="1500" w:type="dxa"/>
            <w:tcBorders/>
            <w:shd w:color="auto" w:fill="auto" w:val="clear"/>
            <w:vAlign w:val="center"/>
          </w:tcPr>
          <w:p>
            <w:pPr>
              <w:pStyle w:val="Normal"/>
              <w:spacing w:lineRule="auto" w:line="276"/>
              <w:jc w:val="center"/>
              <w:rPr/>
            </w:pPr>
            <w:r>
              <w:rPr>
                <w:color w:val="000000"/>
              </w:rPr>
              <w:t>11.79</w:t>
            </w:r>
          </w:p>
        </w:tc>
      </w:tr>
      <w:tr>
        <w:trPr>
          <w:trHeight w:val="320" w:hRule="atLeast"/>
        </w:trPr>
        <w:tc>
          <w:tcPr>
            <w:tcW w:w="1500" w:type="dxa"/>
            <w:tcBorders/>
            <w:shd w:color="auto" w:fill="auto" w:val="clear"/>
            <w:vAlign w:val="center"/>
          </w:tcPr>
          <w:p>
            <w:pPr>
              <w:pStyle w:val="Normal"/>
              <w:spacing w:lineRule="auto" w:line="276"/>
              <w:rPr/>
            </w:pPr>
            <w:r>
              <w:rPr>
                <w:color w:val="FF0000"/>
              </w:rPr>
              <w:t>BKK12</w:t>
            </w:r>
          </w:p>
        </w:tc>
        <w:tc>
          <w:tcPr>
            <w:tcW w:w="1500" w:type="dxa"/>
            <w:tcBorders/>
            <w:shd w:color="auto" w:fill="auto" w:val="clear"/>
            <w:vAlign w:val="center"/>
          </w:tcPr>
          <w:p>
            <w:pPr>
              <w:pStyle w:val="Normal"/>
              <w:spacing w:lineRule="auto" w:line="276"/>
              <w:jc w:val="center"/>
              <w:rPr/>
            </w:pPr>
            <w:r>
              <w:rPr>
                <w:color w:val="FF0000"/>
              </w:rPr>
              <w:t>11.46</w:t>
            </w:r>
          </w:p>
        </w:tc>
        <w:tc>
          <w:tcPr>
            <w:tcW w:w="1500" w:type="dxa"/>
            <w:tcBorders/>
            <w:shd w:color="auto" w:fill="auto" w:val="clear"/>
            <w:vAlign w:val="center"/>
          </w:tcPr>
          <w:p>
            <w:pPr>
              <w:pStyle w:val="Normal"/>
              <w:spacing w:lineRule="auto" w:line="276"/>
              <w:jc w:val="center"/>
              <w:rPr/>
            </w:pPr>
            <w:r>
              <w:rPr>
                <w:color w:val="FF0000"/>
              </w:rPr>
              <w:t>11.11</w:t>
            </w:r>
          </w:p>
        </w:tc>
      </w:tr>
      <w:tr>
        <w:trPr>
          <w:trHeight w:val="320" w:hRule="atLeast"/>
        </w:trPr>
        <w:tc>
          <w:tcPr>
            <w:tcW w:w="1500" w:type="dxa"/>
            <w:tcBorders/>
            <w:shd w:color="auto" w:fill="auto" w:val="clear"/>
            <w:vAlign w:val="center"/>
          </w:tcPr>
          <w:p>
            <w:pPr>
              <w:pStyle w:val="Normal"/>
              <w:spacing w:lineRule="auto" w:line="276"/>
              <w:rPr/>
            </w:pPr>
            <w:r>
              <w:rPr>
                <w:color w:val="FF0000"/>
              </w:rPr>
              <w:t>BKK13</w:t>
            </w:r>
          </w:p>
        </w:tc>
        <w:tc>
          <w:tcPr>
            <w:tcW w:w="1500" w:type="dxa"/>
            <w:tcBorders/>
            <w:shd w:color="auto" w:fill="auto" w:val="clear"/>
            <w:vAlign w:val="center"/>
          </w:tcPr>
          <w:p>
            <w:pPr>
              <w:pStyle w:val="Normal"/>
              <w:spacing w:lineRule="auto" w:line="276"/>
              <w:jc w:val="center"/>
              <w:rPr/>
            </w:pPr>
            <w:r>
              <w:rPr>
                <w:color w:val="FF0000"/>
              </w:rPr>
              <w:t>8.16</w:t>
            </w:r>
          </w:p>
        </w:tc>
        <w:tc>
          <w:tcPr>
            <w:tcW w:w="1500" w:type="dxa"/>
            <w:tcBorders/>
            <w:shd w:color="auto" w:fill="auto" w:val="clear"/>
            <w:vAlign w:val="center"/>
          </w:tcPr>
          <w:p>
            <w:pPr>
              <w:pStyle w:val="Normal"/>
              <w:spacing w:lineRule="auto" w:line="276"/>
              <w:jc w:val="center"/>
              <w:rPr/>
            </w:pPr>
            <w:r>
              <w:rPr>
                <w:color w:val="FF0000"/>
              </w:rPr>
              <w:t>10.12</w:t>
            </w:r>
          </w:p>
        </w:tc>
      </w:tr>
      <w:tr>
        <w:trPr>
          <w:trHeight w:val="320" w:hRule="atLeast"/>
        </w:trPr>
        <w:tc>
          <w:tcPr>
            <w:tcW w:w="1500" w:type="dxa"/>
            <w:tcBorders/>
            <w:shd w:color="auto" w:fill="auto" w:val="clear"/>
            <w:vAlign w:val="center"/>
          </w:tcPr>
          <w:p>
            <w:pPr>
              <w:pStyle w:val="Normal"/>
              <w:spacing w:lineRule="auto" w:line="276"/>
              <w:rPr/>
            </w:pPr>
            <w:r>
              <w:rPr>
                <w:color w:val="000000"/>
              </w:rPr>
              <w:t>BKK16</w:t>
            </w:r>
          </w:p>
        </w:tc>
        <w:tc>
          <w:tcPr>
            <w:tcW w:w="1500" w:type="dxa"/>
            <w:tcBorders/>
            <w:shd w:color="auto" w:fill="auto" w:val="clear"/>
            <w:vAlign w:val="center"/>
          </w:tcPr>
          <w:p>
            <w:pPr>
              <w:pStyle w:val="Normal"/>
              <w:spacing w:lineRule="auto" w:line="276"/>
              <w:jc w:val="center"/>
              <w:rPr/>
            </w:pPr>
            <w:r>
              <w:rPr>
                <w:color w:val="000000"/>
              </w:rPr>
              <w:t>7.04</w:t>
            </w:r>
          </w:p>
        </w:tc>
        <w:tc>
          <w:tcPr>
            <w:tcW w:w="1500" w:type="dxa"/>
            <w:tcBorders/>
            <w:shd w:color="auto" w:fill="auto" w:val="clear"/>
            <w:vAlign w:val="center"/>
          </w:tcPr>
          <w:p>
            <w:pPr>
              <w:pStyle w:val="Normal"/>
              <w:spacing w:lineRule="auto" w:line="276"/>
              <w:jc w:val="center"/>
              <w:rPr/>
            </w:pPr>
            <w:r>
              <w:rPr>
                <w:color w:val="000000"/>
              </w:rPr>
              <w:t>7.98</w:t>
            </w:r>
          </w:p>
        </w:tc>
      </w:tr>
      <w:tr>
        <w:trPr>
          <w:trHeight w:val="320" w:hRule="atLeast"/>
        </w:trPr>
        <w:tc>
          <w:tcPr>
            <w:tcW w:w="1500" w:type="dxa"/>
            <w:tcBorders/>
            <w:shd w:color="auto" w:fill="auto" w:val="clear"/>
            <w:vAlign w:val="center"/>
          </w:tcPr>
          <w:p>
            <w:pPr>
              <w:pStyle w:val="Normal"/>
              <w:spacing w:lineRule="auto" w:line="276"/>
              <w:rPr/>
            </w:pPr>
            <w:r>
              <w:rPr>
                <w:color w:val="000000"/>
              </w:rPr>
              <w:t>BKK17</w:t>
            </w:r>
          </w:p>
        </w:tc>
        <w:tc>
          <w:tcPr>
            <w:tcW w:w="1500" w:type="dxa"/>
            <w:tcBorders/>
            <w:shd w:color="auto" w:fill="auto" w:val="clear"/>
            <w:vAlign w:val="center"/>
          </w:tcPr>
          <w:p>
            <w:pPr>
              <w:pStyle w:val="Normal"/>
              <w:spacing w:lineRule="auto" w:line="276"/>
              <w:jc w:val="center"/>
              <w:rPr/>
            </w:pPr>
            <w:r>
              <w:rPr>
                <w:color w:val="000000"/>
              </w:rPr>
              <w:t>7.62</w:t>
            </w:r>
          </w:p>
        </w:tc>
        <w:tc>
          <w:tcPr>
            <w:tcW w:w="1500" w:type="dxa"/>
            <w:tcBorders/>
            <w:shd w:color="auto" w:fill="auto" w:val="clear"/>
            <w:vAlign w:val="center"/>
          </w:tcPr>
          <w:p>
            <w:pPr>
              <w:pStyle w:val="Normal"/>
              <w:spacing w:lineRule="auto" w:line="276"/>
              <w:jc w:val="center"/>
              <w:rPr/>
            </w:pPr>
            <w:r>
              <w:rPr>
                <w:color w:val="000000"/>
              </w:rPr>
              <w:t>9.17</w:t>
            </w:r>
          </w:p>
        </w:tc>
      </w:tr>
      <w:tr>
        <w:trPr>
          <w:trHeight w:val="320" w:hRule="atLeast"/>
        </w:trPr>
        <w:tc>
          <w:tcPr>
            <w:tcW w:w="1500" w:type="dxa"/>
            <w:tcBorders/>
            <w:shd w:color="auto" w:fill="auto" w:val="clear"/>
            <w:vAlign w:val="center"/>
          </w:tcPr>
          <w:p>
            <w:pPr>
              <w:pStyle w:val="Normal"/>
              <w:spacing w:lineRule="auto" w:line="276"/>
              <w:rPr/>
            </w:pPr>
            <w:r>
              <w:rPr>
                <w:color w:val="000000"/>
              </w:rPr>
              <w:t>BKK18</w:t>
            </w:r>
          </w:p>
        </w:tc>
        <w:tc>
          <w:tcPr>
            <w:tcW w:w="1500" w:type="dxa"/>
            <w:tcBorders/>
            <w:shd w:color="auto" w:fill="auto" w:val="clear"/>
            <w:vAlign w:val="center"/>
          </w:tcPr>
          <w:p>
            <w:pPr>
              <w:pStyle w:val="Normal"/>
              <w:spacing w:lineRule="auto" w:line="276"/>
              <w:jc w:val="center"/>
              <w:rPr/>
            </w:pPr>
            <w:r>
              <w:rPr>
                <w:color w:val="000000"/>
              </w:rPr>
              <w:t>7.48</w:t>
            </w:r>
          </w:p>
        </w:tc>
        <w:tc>
          <w:tcPr>
            <w:tcW w:w="1500" w:type="dxa"/>
            <w:tcBorders/>
            <w:shd w:color="auto" w:fill="auto" w:val="clear"/>
            <w:vAlign w:val="center"/>
          </w:tcPr>
          <w:p>
            <w:pPr>
              <w:pStyle w:val="Normal"/>
              <w:spacing w:lineRule="auto" w:line="276"/>
              <w:jc w:val="center"/>
              <w:rPr/>
            </w:pPr>
            <w:r>
              <w:rPr>
                <w:color w:val="000000"/>
              </w:rPr>
              <w:t>8.50</w:t>
            </w:r>
          </w:p>
        </w:tc>
      </w:tr>
      <w:tr>
        <w:trPr>
          <w:trHeight w:val="320" w:hRule="atLeast"/>
        </w:trPr>
        <w:tc>
          <w:tcPr>
            <w:tcW w:w="1500" w:type="dxa"/>
            <w:tcBorders/>
            <w:shd w:color="auto" w:fill="auto" w:val="clear"/>
            <w:vAlign w:val="center"/>
          </w:tcPr>
          <w:p>
            <w:pPr>
              <w:pStyle w:val="Normal"/>
              <w:spacing w:lineRule="auto" w:line="276"/>
              <w:rPr/>
            </w:pPr>
            <w:r>
              <w:rPr>
                <w:color w:val="000000"/>
              </w:rPr>
              <w:t>KATH14</w:t>
            </w:r>
          </w:p>
        </w:tc>
        <w:tc>
          <w:tcPr>
            <w:tcW w:w="1500" w:type="dxa"/>
            <w:tcBorders/>
            <w:shd w:color="auto" w:fill="auto" w:val="clear"/>
            <w:vAlign w:val="center"/>
          </w:tcPr>
          <w:p>
            <w:pPr>
              <w:pStyle w:val="Normal"/>
              <w:spacing w:lineRule="auto" w:line="276"/>
              <w:jc w:val="center"/>
              <w:rPr/>
            </w:pPr>
            <w:r>
              <w:rPr>
                <w:color w:val="000000"/>
              </w:rPr>
              <w:t>6.09</w:t>
            </w:r>
          </w:p>
        </w:tc>
        <w:tc>
          <w:tcPr>
            <w:tcW w:w="1500" w:type="dxa"/>
            <w:tcBorders/>
            <w:shd w:color="auto" w:fill="auto" w:val="clear"/>
            <w:vAlign w:val="center"/>
          </w:tcPr>
          <w:p>
            <w:pPr>
              <w:pStyle w:val="Normal"/>
              <w:spacing w:lineRule="auto" w:line="276"/>
              <w:jc w:val="center"/>
              <w:rPr/>
            </w:pPr>
            <w:r>
              <w:rPr>
                <w:color w:val="000000"/>
              </w:rPr>
              <w:t>6.38</w:t>
            </w:r>
          </w:p>
        </w:tc>
      </w:tr>
      <w:tr>
        <w:trPr>
          <w:trHeight w:val="320" w:hRule="atLeast"/>
        </w:trPr>
        <w:tc>
          <w:tcPr>
            <w:tcW w:w="1500" w:type="dxa"/>
            <w:tcBorders/>
            <w:shd w:color="auto" w:fill="auto" w:val="clear"/>
            <w:vAlign w:val="center"/>
          </w:tcPr>
          <w:p>
            <w:pPr>
              <w:pStyle w:val="Normal"/>
              <w:spacing w:lineRule="auto" w:line="276"/>
              <w:rPr/>
            </w:pPr>
            <w:r>
              <w:rPr>
                <w:color w:val="000000"/>
              </w:rPr>
              <w:t>KATH19</w:t>
            </w:r>
          </w:p>
        </w:tc>
        <w:tc>
          <w:tcPr>
            <w:tcW w:w="1500" w:type="dxa"/>
            <w:tcBorders/>
            <w:shd w:color="auto" w:fill="auto" w:val="clear"/>
            <w:vAlign w:val="center"/>
          </w:tcPr>
          <w:p>
            <w:pPr>
              <w:pStyle w:val="Normal"/>
              <w:spacing w:lineRule="auto" w:line="276"/>
              <w:jc w:val="center"/>
              <w:rPr/>
            </w:pPr>
            <w:r>
              <w:rPr>
                <w:color w:val="000000"/>
              </w:rPr>
              <w:t>9.28</w:t>
            </w:r>
          </w:p>
        </w:tc>
        <w:tc>
          <w:tcPr>
            <w:tcW w:w="1500" w:type="dxa"/>
            <w:tcBorders/>
            <w:shd w:color="auto" w:fill="auto" w:val="clear"/>
            <w:vAlign w:val="center"/>
          </w:tcPr>
          <w:p>
            <w:pPr>
              <w:pStyle w:val="Normal"/>
              <w:spacing w:lineRule="auto" w:line="276"/>
              <w:jc w:val="center"/>
              <w:rPr/>
            </w:pPr>
            <w:r>
              <w:rPr>
                <w:color w:val="000000"/>
              </w:rPr>
              <w:t>9.81</w:t>
            </w:r>
          </w:p>
        </w:tc>
      </w:tr>
      <w:tr>
        <w:trPr>
          <w:trHeight w:val="320" w:hRule="atLeast"/>
        </w:trPr>
        <w:tc>
          <w:tcPr>
            <w:tcW w:w="1500" w:type="dxa"/>
            <w:tcBorders/>
            <w:shd w:color="auto" w:fill="auto" w:val="clear"/>
            <w:vAlign w:val="center"/>
          </w:tcPr>
          <w:p>
            <w:pPr>
              <w:pStyle w:val="Normal"/>
              <w:spacing w:lineRule="auto" w:line="276"/>
              <w:rPr/>
            </w:pPr>
            <w:r>
              <w:rPr>
                <w:color w:val="000000"/>
              </w:rPr>
              <w:t>KATH23</w:t>
            </w:r>
          </w:p>
        </w:tc>
        <w:tc>
          <w:tcPr>
            <w:tcW w:w="1500" w:type="dxa"/>
            <w:tcBorders/>
            <w:shd w:color="auto" w:fill="auto" w:val="clear"/>
            <w:vAlign w:val="center"/>
          </w:tcPr>
          <w:p>
            <w:pPr>
              <w:pStyle w:val="Normal"/>
              <w:spacing w:lineRule="auto" w:line="276"/>
              <w:jc w:val="center"/>
              <w:rPr/>
            </w:pPr>
            <w:r>
              <w:rPr>
                <w:color w:val="000000"/>
              </w:rPr>
              <w:t>7.46</w:t>
            </w:r>
          </w:p>
        </w:tc>
        <w:tc>
          <w:tcPr>
            <w:tcW w:w="1500" w:type="dxa"/>
            <w:tcBorders/>
            <w:shd w:color="auto" w:fill="auto" w:val="clear"/>
            <w:vAlign w:val="center"/>
          </w:tcPr>
          <w:p>
            <w:pPr>
              <w:pStyle w:val="Normal"/>
              <w:spacing w:lineRule="auto" w:line="276"/>
              <w:jc w:val="center"/>
              <w:rPr/>
            </w:pPr>
            <w:r>
              <w:rPr>
                <w:color w:val="000000"/>
              </w:rPr>
              <w:t>7.61</w:t>
            </w:r>
          </w:p>
        </w:tc>
      </w:tr>
      <w:tr>
        <w:trPr>
          <w:trHeight w:val="320" w:hRule="atLeast"/>
        </w:trPr>
        <w:tc>
          <w:tcPr>
            <w:tcW w:w="1500" w:type="dxa"/>
            <w:tcBorders/>
            <w:shd w:color="auto" w:fill="auto" w:val="clear"/>
            <w:vAlign w:val="center"/>
          </w:tcPr>
          <w:p>
            <w:pPr>
              <w:pStyle w:val="Normal"/>
              <w:spacing w:lineRule="auto" w:line="276"/>
              <w:rPr/>
            </w:pPr>
            <w:r>
              <w:rPr>
                <w:color w:val="000000"/>
              </w:rPr>
              <w:t>RIL7</w:t>
            </w:r>
          </w:p>
        </w:tc>
        <w:tc>
          <w:tcPr>
            <w:tcW w:w="1500" w:type="dxa"/>
            <w:tcBorders/>
            <w:shd w:color="auto" w:fill="auto" w:val="clear"/>
            <w:vAlign w:val="center"/>
          </w:tcPr>
          <w:p>
            <w:pPr>
              <w:pStyle w:val="Normal"/>
              <w:spacing w:lineRule="auto" w:line="276"/>
              <w:jc w:val="center"/>
              <w:rPr/>
            </w:pPr>
            <w:r>
              <w:rPr>
                <w:color w:val="000000"/>
              </w:rPr>
              <w:t>8.02</w:t>
            </w:r>
          </w:p>
        </w:tc>
        <w:tc>
          <w:tcPr>
            <w:tcW w:w="1500" w:type="dxa"/>
            <w:tcBorders/>
            <w:shd w:color="auto" w:fill="auto" w:val="clear"/>
            <w:vAlign w:val="center"/>
          </w:tcPr>
          <w:p>
            <w:pPr>
              <w:pStyle w:val="Normal"/>
              <w:spacing w:lineRule="auto" w:line="276"/>
              <w:jc w:val="center"/>
              <w:rPr/>
            </w:pPr>
            <w:r>
              <w:rPr>
                <w:color w:val="000000"/>
              </w:rPr>
              <w:t>8.99</w:t>
            </w:r>
          </w:p>
        </w:tc>
      </w:tr>
      <w:tr>
        <w:trPr>
          <w:trHeight w:val="320" w:hRule="atLeast"/>
        </w:trPr>
        <w:tc>
          <w:tcPr>
            <w:tcW w:w="1500" w:type="dxa"/>
            <w:tcBorders/>
            <w:shd w:color="auto" w:fill="auto" w:val="clear"/>
            <w:vAlign w:val="center"/>
          </w:tcPr>
          <w:p>
            <w:pPr>
              <w:pStyle w:val="Normal"/>
              <w:spacing w:lineRule="auto" w:line="276"/>
              <w:rPr/>
            </w:pPr>
            <w:r>
              <w:rPr>
                <w:color w:val="000000"/>
              </w:rPr>
              <w:t>RIL14</w:t>
            </w:r>
          </w:p>
        </w:tc>
        <w:tc>
          <w:tcPr>
            <w:tcW w:w="1500" w:type="dxa"/>
            <w:tcBorders/>
            <w:shd w:color="auto" w:fill="auto" w:val="clear"/>
            <w:vAlign w:val="center"/>
          </w:tcPr>
          <w:p>
            <w:pPr>
              <w:pStyle w:val="Normal"/>
              <w:spacing w:lineRule="auto" w:line="276"/>
              <w:jc w:val="center"/>
              <w:rPr/>
            </w:pPr>
            <w:r>
              <w:rPr>
                <w:color w:val="000000"/>
              </w:rPr>
              <w:t>8.51</w:t>
            </w:r>
          </w:p>
        </w:tc>
        <w:tc>
          <w:tcPr>
            <w:tcW w:w="1500" w:type="dxa"/>
            <w:tcBorders/>
            <w:shd w:color="auto" w:fill="auto" w:val="clear"/>
            <w:vAlign w:val="center"/>
          </w:tcPr>
          <w:p>
            <w:pPr>
              <w:pStyle w:val="Normal"/>
              <w:spacing w:lineRule="auto" w:line="276"/>
              <w:jc w:val="center"/>
              <w:rPr/>
            </w:pPr>
            <w:r>
              <w:rPr>
                <w:color w:val="000000"/>
              </w:rPr>
              <w:t>7.98</w:t>
            </w:r>
          </w:p>
        </w:tc>
      </w:tr>
      <w:tr>
        <w:trPr>
          <w:trHeight w:val="320" w:hRule="atLeast"/>
        </w:trPr>
        <w:tc>
          <w:tcPr>
            <w:tcW w:w="1500" w:type="dxa"/>
            <w:tcBorders/>
            <w:shd w:color="auto" w:fill="auto" w:val="clear"/>
            <w:vAlign w:val="center"/>
          </w:tcPr>
          <w:p>
            <w:pPr>
              <w:pStyle w:val="Normal"/>
              <w:spacing w:lineRule="auto" w:line="276"/>
              <w:rPr/>
            </w:pPr>
            <w:r>
              <w:rPr>
                <w:color w:val="000000"/>
              </w:rPr>
              <w:t>RIL15</w:t>
            </w:r>
          </w:p>
        </w:tc>
        <w:tc>
          <w:tcPr>
            <w:tcW w:w="1500" w:type="dxa"/>
            <w:tcBorders/>
            <w:shd w:color="auto" w:fill="auto" w:val="clear"/>
            <w:vAlign w:val="center"/>
          </w:tcPr>
          <w:p>
            <w:pPr>
              <w:pStyle w:val="Normal"/>
              <w:spacing w:lineRule="auto" w:line="276"/>
              <w:jc w:val="center"/>
              <w:rPr/>
            </w:pPr>
            <w:r>
              <w:rPr>
                <w:color w:val="000000"/>
              </w:rPr>
              <w:t>8.62</w:t>
            </w:r>
          </w:p>
        </w:tc>
        <w:tc>
          <w:tcPr>
            <w:tcW w:w="1500" w:type="dxa"/>
            <w:tcBorders/>
            <w:shd w:color="auto" w:fill="auto" w:val="clear"/>
            <w:vAlign w:val="center"/>
          </w:tcPr>
          <w:p>
            <w:pPr>
              <w:pStyle w:val="Normal"/>
              <w:spacing w:lineRule="auto" w:line="276"/>
              <w:jc w:val="center"/>
              <w:rPr/>
            </w:pPr>
            <w:r>
              <w:rPr>
                <w:color w:val="000000"/>
              </w:rPr>
              <w:t>7.75</w:t>
            </w:r>
          </w:p>
        </w:tc>
      </w:tr>
      <w:tr>
        <w:trPr>
          <w:trHeight w:val="320" w:hRule="atLeast"/>
        </w:trPr>
        <w:tc>
          <w:tcPr>
            <w:tcW w:w="1500" w:type="dxa"/>
            <w:tcBorders/>
            <w:shd w:color="auto" w:fill="auto" w:val="clear"/>
            <w:vAlign w:val="center"/>
          </w:tcPr>
          <w:p>
            <w:pPr>
              <w:pStyle w:val="Normal"/>
              <w:spacing w:lineRule="auto" w:line="276"/>
              <w:rPr/>
            </w:pPr>
            <w:r>
              <w:rPr>
                <w:color w:val="000000"/>
              </w:rPr>
              <w:t>RIL20</w:t>
            </w:r>
          </w:p>
        </w:tc>
        <w:tc>
          <w:tcPr>
            <w:tcW w:w="1500" w:type="dxa"/>
            <w:tcBorders/>
            <w:shd w:color="auto" w:fill="auto" w:val="clear"/>
            <w:vAlign w:val="center"/>
          </w:tcPr>
          <w:p>
            <w:pPr>
              <w:pStyle w:val="Normal"/>
              <w:spacing w:lineRule="auto" w:line="276"/>
              <w:jc w:val="center"/>
              <w:rPr/>
            </w:pPr>
            <w:r>
              <w:rPr>
                <w:color w:val="000000"/>
              </w:rPr>
              <w:t>6.94</w:t>
            </w:r>
          </w:p>
        </w:tc>
        <w:tc>
          <w:tcPr>
            <w:tcW w:w="1500" w:type="dxa"/>
            <w:tcBorders/>
            <w:shd w:color="auto" w:fill="auto" w:val="clear"/>
            <w:vAlign w:val="center"/>
          </w:tcPr>
          <w:p>
            <w:pPr>
              <w:pStyle w:val="Normal"/>
              <w:spacing w:lineRule="auto" w:line="276"/>
              <w:jc w:val="center"/>
              <w:rPr/>
            </w:pPr>
            <w:r>
              <w:rPr>
                <w:color w:val="000000"/>
              </w:rPr>
              <w:t>7.15</w:t>
            </w:r>
          </w:p>
        </w:tc>
      </w:tr>
      <w:tr>
        <w:trPr>
          <w:trHeight w:val="320" w:hRule="atLeast"/>
        </w:trPr>
        <w:tc>
          <w:tcPr>
            <w:tcW w:w="1500" w:type="dxa"/>
            <w:tcBorders/>
            <w:shd w:color="auto" w:fill="auto" w:val="clear"/>
            <w:vAlign w:val="center"/>
          </w:tcPr>
          <w:p>
            <w:pPr>
              <w:pStyle w:val="Normal"/>
              <w:spacing w:lineRule="auto" w:line="276"/>
              <w:rPr/>
            </w:pPr>
            <w:r>
              <w:rPr>
                <w:color w:val="000000"/>
              </w:rPr>
              <w:t>RIL22</w:t>
            </w:r>
          </w:p>
        </w:tc>
        <w:tc>
          <w:tcPr>
            <w:tcW w:w="1500" w:type="dxa"/>
            <w:tcBorders/>
            <w:shd w:color="auto" w:fill="auto" w:val="clear"/>
            <w:vAlign w:val="center"/>
          </w:tcPr>
          <w:p>
            <w:pPr>
              <w:pStyle w:val="Normal"/>
              <w:spacing w:lineRule="auto" w:line="276"/>
              <w:jc w:val="center"/>
              <w:rPr/>
            </w:pPr>
            <w:r>
              <w:rPr>
                <w:color w:val="000000"/>
              </w:rPr>
              <w:t>8.42</w:t>
            </w:r>
          </w:p>
        </w:tc>
        <w:tc>
          <w:tcPr>
            <w:tcW w:w="1500" w:type="dxa"/>
            <w:tcBorders/>
            <w:shd w:color="auto" w:fill="auto" w:val="clear"/>
            <w:vAlign w:val="center"/>
          </w:tcPr>
          <w:p>
            <w:pPr>
              <w:pStyle w:val="Normal"/>
              <w:spacing w:lineRule="auto" w:line="276"/>
              <w:jc w:val="center"/>
              <w:rPr/>
            </w:pPr>
            <w:r>
              <w:rPr>
                <w:color w:val="000000"/>
              </w:rPr>
              <w:t>8.61</w:t>
            </w:r>
          </w:p>
        </w:tc>
      </w:tr>
      <w:tr>
        <w:trPr>
          <w:trHeight w:val="320" w:hRule="atLeast"/>
        </w:trPr>
        <w:tc>
          <w:tcPr>
            <w:tcW w:w="1500" w:type="dxa"/>
            <w:tcBorders/>
            <w:shd w:color="auto" w:fill="auto" w:val="clear"/>
            <w:vAlign w:val="center"/>
          </w:tcPr>
          <w:p>
            <w:pPr>
              <w:pStyle w:val="Normal"/>
              <w:spacing w:lineRule="auto" w:line="276"/>
              <w:rPr/>
            </w:pPr>
            <w:r>
              <w:rPr>
                <w:color w:val="000000"/>
              </w:rPr>
              <w:t>RIL23</w:t>
            </w:r>
          </w:p>
        </w:tc>
        <w:tc>
          <w:tcPr>
            <w:tcW w:w="1500" w:type="dxa"/>
            <w:tcBorders/>
            <w:shd w:color="auto" w:fill="auto" w:val="clear"/>
            <w:vAlign w:val="center"/>
          </w:tcPr>
          <w:p>
            <w:pPr>
              <w:pStyle w:val="Normal"/>
              <w:spacing w:lineRule="auto" w:line="276"/>
              <w:jc w:val="center"/>
              <w:rPr/>
            </w:pPr>
            <w:r>
              <w:rPr>
                <w:color w:val="000000"/>
              </w:rPr>
              <w:t>8.86</w:t>
            </w:r>
          </w:p>
        </w:tc>
        <w:tc>
          <w:tcPr>
            <w:tcW w:w="1500" w:type="dxa"/>
            <w:tcBorders/>
            <w:shd w:color="auto" w:fill="auto" w:val="clear"/>
            <w:vAlign w:val="center"/>
          </w:tcPr>
          <w:p>
            <w:pPr>
              <w:pStyle w:val="Normal"/>
              <w:spacing w:lineRule="auto" w:line="276"/>
              <w:jc w:val="center"/>
              <w:rPr/>
            </w:pPr>
            <w:r>
              <w:rPr>
                <w:color w:val="000000"/>
              </w:rPr>
              <w:t>9.33</w:t>
            </w:r>
          </w:p>
        </w:tc>
      </w:tr>
      <w:tr>
        <w:trPr>
          <w:trHeight w:val="320" w:hRule="atLeast"/>
        </w:trPr>
        <w:tc>
          <w:tcPr>
            <w:tcW w:w="1500" w:type="dxa"/>
            <w:tcBorders/>
            <w:shd w:color="auto" w:fill="auto" w:val="clear"/>
            <w:vAlign w:val="center"/>
          </w:tcPr>
          <w:p>
            <w:pPr>
              <w:pStyle w:val="Normal"/>
              <w:spacing w:lineRule="auto" w:line="276"/>
              <w:rPr/>
            </w:pPr>
            <w:r>
              <w:rPr>
                <w:color w:val="000000"/>
              </w:rPr>
              <w:t>RIL25</w:t>
            </w:r>
          </w:p>
        </w:tc>
        <w:tc>
          <w:tcPr>
            <w:tcW w:w="1500" w:type="dxa"/>
            <w:tcBorders/>
            <w:shd w:color="auto" w:fill="auto" w:val="clear"/>
            <w:vAlign w:val="center"/>
          </w:tcPr>
          <w:p>
            <w:pPr>
              <w:pStyle w:val="Normal"/>
              <w:spacing w:lineRule="auto" w:line="276"/>
              <w:jc w:val="center"/>
              <w:rPr/>
            </w:pPr>
            <w:r>
              <w:rPr>
                <w:color w:val="000000"/>
              </w:rPr>
              <w:t>8.93</w:t>
            </w:r>
          </w:p>
        </w:tc>
        <w:tc>
          <w:tcPr>
            <w:tcW w:w="1500" w:type="dxa"/>
            <w:tcBorders/>
            <w:shd w:color="auto" w:fill="auto" w:val="clear"/>
            <w:vAlign w:val="center"/>
          </w:tcPr>
          <w:p>
            <w:pPr>
              <w:pStyle w:val="Normal"/>
              <w:spacing w:lineRule="auto" w:line="276"/>
              <w:jc w:val="center"/>
              <w:rPr/>
            </w:pPr>
            <w:r>
              <w:rPr>
                <w:color w:val="000000"/>
              </w:rPr>
              <w:t>9.66</w:t>
            </w:r>
          </w:p>
        </w:tc>
      </w:tr>
      <w:tr>
        <w:trPr>
          <w:trHeight w:val="320" w:hRule="atLeast"/>
        </w:trPr>
        <w:tc>
          <w:tcPr>
            <w:tcW w:w="1500" w:type="dxa"/>
            <w:tcBorders/>
            <w:shd w:color="auto" w:fill="auto" w:val="clear"/>
            <w:vAlign w:val="center"/>
          </w:tcPr>
          <w:p>
            <w:pPr>
              <w:pStyle w:val="Normal"/>
              <w:spacing w:lineRule="auto" w:line="276"/>
              <w:rPr/>
            </w:pPr>
            <w:r>
              <w:rPr>
                <w:color w:val="000000"/>
              </w:rPr>
              <w:t>RIL30</w:t>
            </w:r>
          </w:p>
        </w:tc>
        <w:tc>
          <w:tcPr>
            <w:tcW w:w="1500" w:type="dxa"/>
            <w:tcBorders/>
            <w:shd w:color="auto" w:fill="auto" w:val="clear"/>
            <w:vAlign w:val="center"/>
          </w:tcPr>
          <w:p>
            <w:pPr>
              <w:pStyle w:val="Normal"/>
              <w:spacing w:lineRule="auto" w:line="276"/>
              <w:jc w:val="center"/>
              <w:rPr/>
            </w:pPr>
            <w:r>
              <w:rPr>
                <w:color w:val="000000"/>
              </w:rPr>
              <w:t>9.21</w:t>
            </w:r>
          </w:p>
        </w:tc>
        <w:tc>
          <w:tcPr>
            <w:tcW w:w="1500" w:type="dxa"/>
            <w:tcBorders/>
            <w:shd w:color="auto" w:fill="auto" w:val="clear"/>
            <w:vAlign w:val="center"/>
          </w:tcPr>
          <w:p>
            <w:pPr>
              <w:pStyle w:val="Normal"/>
              <w:spacing w:lineRule="auto" w:line="276"/>
              <w:jc w:val="center"/>
              <w:rPr/>
            </w:pPr>
            <w:r>
              <w:rPr>
                <w:color w:val="000000"/>
              </w:rPr>
              <w:t>8.99</w:t>
            </w:r>
          </w:p>
        </w:tc>
      </w:tr>
      <w:tr>
        <w:trPr>
          <w:trHeight w:val="320" w:hRule="atLeast"/>
        </w:trPr>
        <w:tc>
          <w:tcPr>
            <w:tcW w:w="1500" w:type="dxa"/>
            <w:tcBorders/>
            <w:shd w:color="auto" w:fill="auto" w:val="clear"/>
            <w:vAlign w:val="center"/>
          </w:tcPr>
          <w:p>
            <w:pPr>
              <w:pStyle w:val="Normal"/>
              <w:spacing w:lineRule="auto" w:line="276"/>
              <w:rPr/>
            </w:pPr>
            <w:r>
              <w:rPr>
                <w:color w:val="000000"/>
              </w:rPr>
              <w:t>RIL41</w:t>
            </w:r>
          </w:p>
        </w:tc>
        <w:tc>
          <w:tcPr>
            <w:tcW w:w="1500" w:type="dxa"/>
            <w:tcBorders/>
            <w:shd w:color="auto" w:fill="auto" w:val="clear"/>
            <w:vAlign w:val="center"/>
          </w:tcPr>
          <w:p>
            <w:pPr>
              <w:pStyle w:val="Normal"/>
              <w:spacing w:lineRule="auto" w:line="276"/>
              <w:jc w:val="center"/>
              <w:rPr/>
            </w:pPr>
            <w:r>
              <w:rPr>
                <w:color w:val="000000"/>
              </w:rPr>
              <w:t>9.38</w:t>
            </w:r>
          </w:p>
        </w:tc>
        <w:tc>
          <w:tcPr>
            <w:tcW w:w="1500" w:type="dxa"/>
            <w:tcBorders/>
            <w:shd w:color="auto" w:fill="auto" w:val="clear"/>
            <w:vAlign w:val="center"/>
          </w:tcPr>
          <w:p>
            <w:pPr>
              <w:pStyle w:val="Normal"/>
              <w:spacing w:lineRule="auto" w:line="276"/>
              <w:jc w:val="center"/>
              <w:rPr/>
            </w:pPr>
            <w:r>
              <w:rPr>
                <w:color w:val="000000"/>
              </w:rPr>
              <w:t>8.92</w:t>
            </w:r>
          </w:p>
        </w:tc>
      </w:tr>
      <w:tr>
        <w:trPr>
          <w:trHeight w:val="320" w:hRule="atLeast"/>
        </w:trPr>
        <w:tc>
          <w:tcPr>
            <w:tcW w:w="1500" w:type="dxa"/>
            <w:tcBorders/>
            <w:shd w:color="auto" w:fill="auto" w:val="clear"/>
            <w:vAlign w:val="center"/>
          </w:tcPr>
          <w:p>
            <w:pPr>
              <w:pStyle w:val="Normal"/>
              <w:spacing w:lineRule="auto" w:line="276"/>
              <w:rPr/>
            </w:pPr>
            <w:r>
              <w:rPr>
                <w:color w:val="000000"/>
              </w:rPr>
              <w:t>RIL47</w:t>
            </w:r>
          </w:p>
        </w:tc>
        <w:tc>
          <w:tcPr>
            <w:tcW w:w="1500" w:type="dxa"/>
            <w:tcBorders/>
            <w:shd w:color="auto" w:fill="auto" w:val="clear"/>
            <w:vAlign w:val="center"/>
          </w:tcPr>
          <w:p>
            <w:pPr>
              <w:pStyle w:val="Normal"/>
              <w:spacing w:lineRule="auto" w:line="276"/>
              <w:jc w:val="center"/>
              <w:rPr/>
            </w:pPr>
            <w:r>
              <w:rPr>
                <w:color w:val="000000"/>
              </w:rPr>
              <w:t>8.17</w:t>
            </w:r>
          </w:p>
        </w:tc>
        <w:tc>
          <w:tcPr>
            <w:tcW w:w="1500" w:type="dxa"/>
            <w:tcBorders/>
            <w:shd w:color="auto" w:fill="auto" w:val="clear"/>
            <w:vAlign w:val="center"/>
          </w:tcPr>
          <w:p>
            <w:pPr>
              <w:pStyle w:val="Normal"/>
              <w:spacing w:lineRule="auto" w:line="276"/>
              <w:jc w:val="center"/>
              <w:rPr/>
            </w:pPr>
            <w:r>
              <w:rPr>
                <w:color w:val="000000"/>
              </w:rPr>
              <w:t>8.4</w:t>
            </w:r>
          </w:p>
        </w:tc>
      </w:tr>
      <w:tr>
        <w:trPr>
          <w:trHeight w:val="320" w:hRule="atLeast"/>
        </w:trPr>
        <w:tc>
          <w:tcPr>
            <w:tcW w:w="1500" w:type="dxa"/>
            <w:tcBorders/>
            <w:shd w:color="auto" w:fill="auto" w:val="clear"/>
            <w:vAlign w:val="center"/>
          </w:tcPr>
          <w:p>
            <w:pPr>
              <w:pStyle w:val="Normal"/>
              <w:spacing w:lineRule="auto" w:line="276"/>
              <w:rPr/>
            </w:pPr>
            <w:r>
              <w:rPr>
                <w:color w:val="000000"/>
              </w:rPr>
              <w:t>RIL50</w:t>
            </w:r>
          </w:p>
        </w:tc>
        <w:tc>
          <w:tcPr>
            <w:tcW w:w="1500" w:type="dxa"/>
            <w:tcBorders/>
            <w:shd w:color="auto" w:fill="auto" w:val="clear"/>
            <w:vAlign w:val="center"/>
          </w:tcPr>
          <w:p>
            <w:pPr>
              <w:pStyle w:val="Normal"/>
              <w:spacing w:lineRule="auto" w:line="276"/>
              <w:jc w:val="center"/>
              <w:rPr/>
            </w:pPr>
            <w:r>
              <w:rPr>
                <w:color w:val="000000"/>
              </w:rPr>
              <w:t>7.75</w:t>
            </w:r>
          </w:p>
        </w:tc>
        <w:tc>
          <w:tcPr>
            <w:tcW w:w="1500" w:type="dxa"/>
            <w:tcBorders/>
            <w:shd w:color="auto" w:fill="auto" w:val="clear"/>
            <w:vAlign w:val="center"/>
          </w:tcPr>
          <w:p>
            <w:pPr>
              <w:pStyle w:val="Normal"/>
              <w:spacing w:lineRule="auto" w:line="276"/>
              <w:jc w:val="center"/>
              <w:rPr/>
            </w:pPr>
            <w:r>
              <w:rPr>
                <w:color w:val="000000"/>
              </w:rPr>
              <w:t>7.1</w:t>
            </w:r>
          </w:p>
        </w:tc>
      </w:tr>
      <w:tr>
        <w:trPr>
          <w:trHeight w:val="320" w:hRule="atLeast"/>
        </w:trPr>
        <w:tc>
          <w:tcPr>
            <w:tcW w:w="1500" w:type="dxa"/>
            <w:tcBorders/>
            <w:shd w:color="auto" w:fill="auto" w:val="clear"/>
            <w:vAlign w:val="center"/>
          </w:tcPr>
          <w:p>
            <w:pPr>
              <w:pStyle w:val="Normal"/>
              <w:spacing w:lineRule="auto" w:line="276"/>
              <w:rPr/>
            </w:pPr>
            <w:r>
              <w:rPr>
                <w:color w:val="000000"/>
              </w:rPr>
              <w:t>RIL57</w:t>
            </w:r>
          </w:p>
        </w:tc>
        <w:tc>
          <w:tcPr>
            <w:tcW w:w="1500" w:type="dxa"/>
            <w:tcBorders/>
            <w:shd w:color="auto" w:fill="auto" w:val="clear"/>
            <w:vAlign w:val="center"/>
          </w:tcPr>
          <w:p>
            <w:pPr>
              <w:pStyle w:val="Normal"/>
              <w:spacing w:lineRule="auto" w:line="276"/>
              <w:jc w:val="center"/>
              <w:rPr/>
            </w:pPr>
            <w:r>
              <w:rPr>
                <w:color w:val="000000"/>
              </w:rPr>
              <w:t>9.23</w:t>
            </w:r>
          </w:p>
        </w:tc>
        <w:tc>
          <w:tcPr>
            <w:tcW w:w="1500" w:type="dxa"/>
            <w:tcBorders/>
            <w:shd w:color="auto" w:fill="auto" w:val="clear"/>
            <w:vAlign w:val="center"/>
          </w:tcPr>
          <w:p>
            <w:pPr>
              <w:pStyle w:val="Normal"/>
              <w:spacing w:lineRule="auto" w:line="276"/>
              <w:jc w:val="center"/>
              <w:rPr/>
            </w:pPr>
            <w:r>
              <w:rPr>
                <w:color w:val="000000"/>
              </w:rPr>
              <w:t>10.1</w:t>
            </w:r>
          </w:p>
        </w:tc>
      </w:tr>
      <w:tr>
        <w:trPr>
          <w:trHeight w:val="320" w:hRule="atLeast"/>
        </w:trPr>
        <w:tc>
          <w:tcPr>
            <w:tcW w:w="1500" w:type="dxa"/>
            <w:tcBorders/>
            <w:shd w:color="auto" w:fill="auto" w:val="clear"/>
            <w:vAlign w:val="center"/>
          </w:tcPr>
          <w:p>
            <w:pPr>
              <w:pStyle w:val="Normal"/>
              <w:spacing w:lineRule="auto" w:line="276"/>
              <w:rPr/>
            </w:pPr>
            <w:r>
              <w:rPr>
                <w:color w:val="000000"/>
              </w:rPr>
              <w:t>RIL58</w:t>
            </w:r>
          </w:p>
        </w:tc>
        <w:tc>
          <w:tcPr>
            <w:tcW w:w="1500" w:type="dxa"/>
            <w:tcBorders/>
            <w:shd w:color="auto" w:fill="auto" w:val="clear"/>
            <w:vAlign w:val="center"/>
          </w:tcPr>
          <w:p>
            <w:pPr>
              <w:pStyle w:val="Normal"/>
              <w:spacing w:lineRule="auto" w:line="276"/>
              <w:jc w:val="center"/>
              <w:rPr/>
            </w:pPr>
            <w:r>
              <w:rPr>
                <w:color w:val="000000"/>
              </w:rPr>
              <w:t>8.05</w:t>
            </w:r>
          </w:p>
        </w:tc>
        <w:tc>
          <w:tcPr>
            <w:tcW w:w="1500" w:type="dxa"/>
            <w:tcBorders/>
            <w:shd w:color="auto" w:fill="auto" w:val="clear"/>
            <w:vAlign w:val="center"/>
          </w:tcPr>
          <w:p>
            <w:pPr>
              <w:pStyle w:val="Normal"/>
              <w:spacing w:lineRule="auto" w:line="276"/>
              <w:jc w:val="center"/>
              <w:rPr/>
            </w:pPr>
            <w:r>
              <w:rPr>
                <w:color w:val="000000"/>
              </w:rPr>
              <w:t>8.88</w:t>
            </w:r>
          </w:p>
        </w:tc>
      </w:tr>
      <w:tr>
        <w:trPr>
          <w:trHeight w:val="320" w:hRule="atLeast"/>
        </w:trPr>
        <w:tc>
          <w:tcPr>
            <w:tcW w:w="1500" w:type="dxa"/>
            <w:tcBorders/>
            <w:shd w:color="auto" w:fill="auto" w:val="clear"/>
            <w:vAlign w:val="center"/>
          </w:tcPr>
          <w:p>
            <w:pPr>
              <w:pStyle w:val="Normal"/>
              <w:spacing w:lineRule="auto" w:line="276"/>
              <w:rPr/>
            </w:pPr>
            <w:r>
              <w:rPr>
                <w:color w:val="000000"/>
              </w:rPr>
              <w:t>RIL80</w:t>
            </w:r>
          </w:p>
        </w:tc>
        <w:tc>
          <w:tcPr>
            <w:tcW w:w="1500" w:type="dxa"/>
            <w:tcBorders/>
            <w:shd w:color="auto" w:fill="auto" w:val="clear"/>
            <w:vAlign w:val="center"/>
          </w:tcPr>
          <w:p>
            <w:pPr>
              <w:pStyle w:val="Normal"/>
              <w:spacing w:lineRule="auto" w:line="276"/>
              <w:jc w:val="center"/>
              <w:rPr/>
            </w:pPr>
            <w:r>
              <w:rPr>
                <w:color w:val="000000"/>
              </w:rPr>
              <w:t>6.09</w:t>
            </w:r>
          </w:p>
        </w:tc>
        <w:tc>
          <w:tcPr>
            <w:tcW w:w="1500" w:type="dxa"/>
            <w:tcBorders/>
            <w:shd w:color="auto" w:fill="auto" w:val="clear"/>
            <w:vAlign w:val="center"/>
          </w:tcPr>
          <w:p>
            <w:pPr>
              <w:pStyle w:val="Normal"/>
              <w:spacing w:lineRule="auto" w:line="276"/>
              <w:jc w:val="center"/>
              <w:rPr/>
            </w:pPr>
            <w:r>
              <w:rPr>
                <w:color w:val="000000"/>
              </w:rPr>
              <w:t>5.56</w:t>
            </w:r>
          </w:p>
        </w:tc>
      </w:tr>
      <w:tr>
        <w:trPr>
          <w:trHeight w:val="320" w:hRule="atLeast"/>
        </w:trPr>
        <w:tc>
          <w:tcPr>
            <w:tcW w:w="1500" w:type="dxa"/>
            <w:tcBorders/>
            <w:shd w:color="auto" w:fill="auto" w:val="clear"/>
            <w:vAlign w:val="center"/>
          </w:tcPr>
          <w:p>
            <w:pPr>
              <w:pStyle w:val="Normal"/>
              <w:spacing w:lineRule="auto" w:line="276"/>
              <w:rPr/>
            </w:pPr>
            <w:r>
              <w:rPr>
                <w:color w:val="000000"/>
              </w:rPr>
              <w:t>RIL81</w:t>
            </w:r>
          </w:p>
        </w:tc>
        <w:tc>
          <w:tcPr>
            <w:tcW w:w="1500" w:type="dxa"/>
            <w:tcBorders/>
            <w:shd w:color="auto" w:fill="auto" w:val="clear"/>
            <w:vAlign w:val="center"/>
          </w:tcPr>
          <w:p>
            <w:pPr>
              <w:pStyle w:val="Normal"/>
              <w:spacing w:lineRule="auto" w:line="276"/>
              <w:jc w:val="center"/>
              <w:rPr/>
            </w:pPr>
            <w:r>
              <w:rPr>
                <w:color w:val="000000"/>
              </w:rPr>
              <w:t>8.98</w:t>
            </w:r>
          </w:p>
        </w:tc>
        <w:tc>
          <w:tcPr>
            <w:tcW w:w="1500" w:type="dxa"/>
            <w:tcBorders/>
            <w:shd w:color="auto" w:fill="auto" w:val="clear"/>
            <w:vAlign w:val="center"/>
          </w:tcPr>
          <w:p>
            <w:pPr>
              <w:pStyle w:val="Normal"/>
              <w:spacing w:lineRule="auto" w:line="276"/>
              <w:jc w:val="center"/>
              <w:rPr/>
            </w:pPr>
            <w:r>
              <w:rPr>
                <w:color w:val="000000"/>
              </w:rPr>
              <w:t>9.95</w:t>
            </w:r>
          </w:p>
        </w:tc>
      </w:tr>
      <w:tr>
        <w:trPr>
          <w:trHeight w:val="320" w:hRule="atLeast"/>
        </w:trPr>
        <w:tc>
          <w:tcPr>
            <w:tcW w:w="1500" w:type="dxa"/>
            <w:tcBorders/>
            <w:shd w:color="auto" w:fill="auto" w:val="clear"/>
            <w:vAlign w:val="center"/>
          </w:tcPr>
          <w:p>
            <w:pPr>
              <w:pStyle w:val="Normal"/>
              <w:spacing w:lineRule="auto" w:line="276"/>
              <w:rPr/>
            </w:pPr>
            <w:r>
              <w:rPr>
                <w:color w:val="000000"/>
              </w:rPr>
              <w:t>RIL93</w:t>
            </w:r>
          </w:p>
        </w:tc>
        <w:tc>
          <w:tcPr>
            <w:tcW w:w="1500" w:type="dxa"/>
            <w:tcBorders/>
            <w:shd w:color="auto" w:fill="auto" w:val="clear"/>
            <w:vAlign w:val="center"/>
          </w:tcPr>
          <w:p>
            <w:pPr>
              <w:pStyle w:val="Normal"/>
              <w:spacing w:lineRule="auto" w:line="276"/>
              <w:jc w:val="center"/>
              <w:rPr/>
            </w:pPr>
            <w:r>
              <w:rPr>
                <w:color w:val="000000"/>
              </w:rPr>
              <w:t>7.41</w:t>
            </w:r>
          </w:p>
        </w:tc>
        <w:tc>
          <w:tcPr>
            <w:tcW w:w="1500" w:type="dxa"/>
            <w:tcBorders/>
            <w:shd w:color="auto" w:fill="auto" w:val="clear"/>
            <w:vAlign w:val="center"/>
          </w:tcPr>
          <w:p>
            <w:pPr>
              <w:pStyle w:val="Normal"/>
              <w:spacing w:lineRule="auto" w:line="276"/>
              <w:jc w:val="center"/>
              <w:rPr/>
            </w:pPr>
            <w:r>
              <w:rPr>
                <w:color w:val="000000"/>
              </w:rPr>
              <w:t>8.51</w:t>
            </w:r>
          </w:p>
        </w:tc>
      </w:tr>
    </w:tbl>
    <w:p>
      <w:pPr>
        <w:pStyle w:val="Caption1"/>
        <w:spacing w:lineRule="auto" w:line="276"/>
        <w:rPr>
          <w:sz w:val="20"/>
          <w:szCs w:val="20"/>
        </w:rPr>
      </w:pPr>
      <w:r>
        <w:br w:type="page"/>
      </w:r>
      <w:r>
        <w:rPr>
          <w:b/>
          <w:bCs/>
          <w:sz w:val="20"/>
          <w:szCs w:val="20"/>
        </w:rPr>
        <w:t>Table S4:</w:t>
      </w:r>
      <w:r>
        <w:rPr>
          <w:sz w:val="20"/>
          <w:szCs w:val="20"/>
        </w:rPr>
        <w:t xml:space="preserve"> Candidate gene list. </w:t>
      </w:r>
    </w:p>
    <w:tbl>
      <w:tblPr>
        <w:tblW w:w="9300" w:type="dxa"/>
        <w:jc w:val="left"/>
        <w:tblInd w:w="0" w:type="dxa"/>
        <w:tblCellMar>
          <w:top w:w="0" w:type="dxa"/>
          <w:left w:w="108" w:type="dxa"/>
          <w:bottom w:w="0" w:type="dxa"/>
          <w:right w:w="108" w:type="dxa"/>
        </w:tblCellMar>
        <w:tblLook w:val="04a0" w:noHBand="0" w:noVBand="1" w:firstColumn="1" w:lastRow="0" w:lastColumn="0" w:firstRow="1"/>
      </w:tblPr>
      <w:tblGrid>
        <w:gridCol w:w="2001"/>
        <w:gridCol w:w="2396"/>
        <w:gridCol w:w="2604"/>
        <w:gridCol w:w="2298"/>
      </w:tblGrid>
      <w:tr>
        <w:trPr>
          <w:trHeight w:val="567" w:hRule="atLeast"/>
        </w:trPr>
        <w:tc>
          <w:tcPr>
            <w:tcW w:w="2001" w:type="dxa"/>
            <w:tcBorders>
              <w:bottom w:val="single" w:sz="4" w:space="0" w:color="000000"/>
            </w:tcBorders>
            <w:shd w:color="auto" w:fill="auto" w:val="clear"/>
            <w:vAlign w:val="center"/>
          </w:tcPr>
          <w:p>
            <w:pPr>
              <w:pStyle w:val="Normal"/>
              <w:spacing w:lineRule="auto" w:line="276"/>
              <w:jc w:val="center"/>
              <w:rPr/>
            </w:pPr>
            <w:r>
              <w:rPr>
                <w:b/>
                <w:bCs/>
                <w:color w:val="000000"/>
              </w:rPr>
              <w:t>Candiadate gene</w:t>
            </w:r>
          </w:p>
        </w:tc>
        <w:tc>
          <w:tcPr>
            <w:tcW w:w="2396" w:type="dxa"/>
            <w:tcBorders>
              <w:bottom w:val="single" w:sz="4" w:space="0" w:color="000000"/>
            </w:tcBorders>
            <w:shd w:color="auto" w:fill="auto" w:val="clear"/>
            <w:vAlign w:val="center"/>
          </w:tcPr>
          <w:p>
            <w:pPr>
              <w:pStyle w:val="Normal"/>
              <w:spacing w:lineRule="auto" w:line="276"/>
              <w:jc w:val="center"/>
              <w:rPr/>
            </w:pPr>
            <w:r>
              <w:rPr>
                <w:b/>
                <w:bCs/>
                <w:i/>
                <w:iCs/>
                <w:color w:val="000000"/>
              </w:rPr>
              <w:t>D. melanogaster</w:t>
            </w:r>
            <w:r>
              <w:rPr>
                <w:b/>
                <w:bCs/>
                <w:color w:val="000000"/>
              </w:rPr>
              <w:t xml:space="preserve"> ortholog</w:t>
            </w:r>
          </w:p>
        </w:tc>
        <w:tc>
          <w:tcPr>
            <w:tcW w:w="2604" w:type="dxa"/>
            <w:tcBorders>
              <w:bottom w:val="single" w:sz="4" w:space="0" w:color="000000"/>
            </w:tcBorders>
            <w:shd w:color="auto" w:fill="auto" w:val="clear"/>
            <w:vAlign w:val="center"/>
          </w:tcPr>
          <w:p>
            <w:pPr>
              <w:pStyle w:val="Normal"/>
              <w:spacing w:lineRule="auto" w:line="276"/>
              <w:jc w:val="center"/>
              <w:rPr/>
            </w:pPr>
            <w:r>
              <w:rPr>
                <w:b/>
                <w:bCs/>
                <w:color w:val="000000"/>
              </w:rPr>
              <w:t>GO term</w:t>
            </w:r>
          </w:p>
        </w:tc>
        <w:tc>
          <w:tcPr>
            <w:tcW w:w="2298" w:type="dxa"/>
            <w:tcBorders>
              <w:bottom w:val="single" w:sz="4" w:space="0" w:color="000000"/>
            </w:tcBorders>
            <w:shd w:color="auto" w:fill="auto" w:val="clear"/>
            <w:vAlign w:val="center"/>
          </w:tcPr>
          <w:p>
            <w:pPr>
              <w:pStyle w:val="Normal"/>
              <w:spacing w:lineRule="auto" w:line="276"/>
              <w:jc w:val="center"/>
              <w:rPr/>
            </w:pPr>
            <w:r>
              <w:rPr>
                <w:b/>
                <w:bCs/>
                <w:color w:val="000000"/>
              </w:rPr>
              <w:t>Cold tolerance association</w:t>
            </w:r>
          </w:p>
        </w:tc>
      </w:tr>
      <w:tr>
        <w:trPr>
          <w:trHeight w:val="567" w:hRule="atLeast"/>
        </w:trPr>
        <w:tc>
          <w:tcPr>
            <w:tcW w:w="2001" w:type="dxa"/>
            <w:tcBorders>
              <w:top w:val="single" w:sz="4" w:space="0" w:color="000000"/>
            </w:tcBorders>
            <w:shd w:color="auto" w:fill="auto" w:val="clear"/>
            <w:vAlign w:val="center"/>
          </w:tcPr>
          <w:p>
            <w:pPr>
              <w:pStyle w:val="Normal"/>
              <w:spacing w:lineRule="auto" w:line="276"/>
              <w:jc w:val="center"/>
              <w:rPr/>
            </w:pPr>
            <w:r>
              <w:rPr>
                <w:i/>
                <w:iCs/>
                <w:color w:val="000000"/>
              </w:rPr>
              <w:t>GF12043</w:t>
            </w:r>
          </w:p>
        </w:tc>
        <w:tc>
          <w:tcPr>
            <w:tcW w:w="2396" w:type="dxa"/>
            <w:tcBorders>
              <w:top w:val="single" w:sz="4" w:space="0" w:color="000000"/>
            </w:tcBorders>
            <w:shd w:color="auto" w:fill="auto" w:val="clear"/>
            <w:vAlign w:val="center"/>
          </w:tcPr>
          <w:p>
            <w:pPr>
              <w:pStyle w:val="Normal"/>
              <w:spacing w:lineRule="auto" w:line="276"/>
              <w:jc w:val="center"/>
              <w:rPr/>
            </w:pPr>
            <w:r>
              <w:rPr>
                <w:i/>
                <w:iCs/>
                <w:color w:val="000000"/>
              </w:rPr>
              <w:t xml:space="preserve">Obsc </w:t>
            </w:r>
          </w:p>
        </w:tc>
        <w:tc>
          <w:tcPr>
            <w:tcW w:w="2604" w:type="dxa"/>
            <w:tcBorders>
              <w:top w:val="single" w:sz="4" w:space="0" w:color="000000"/>
            </w:tcBorders>
            <w:shd w:color="auto" w:fill="auto" w:val="clear"/>
            <w:vAlign w:val="center"/>
          </w:tcPr>
          <w:p>
            <w:pPr>
              <w:pStyle w:val="Normal"/>
              <w:spacing w:lineRule="auto" w:line="276"/>
              <w:jc w:val="center"/>
              <w:rPr/>
            </w:pPr>
            <w:r>
              <w:rPr>
                <w:color w:val="000000"/>
              </w:rPr>
              <w:t>Muscle development Cytoskeletal protein binding</w:t>
            </w:r>
          </w:p>
        </w:tc>
        <w:tc>
          <w:tcPr>
            <w:tcW w:w="2298" w:type="dxa"/>
            <w:tcBorders>
              <w:top w:val="single" w:sz="4" w:space="0" w:color="000000"/>
            </w:tcBorders>
            <w:shd w:color="auto" w:fill="auto" w:val="clear"/>
            <w:vAlign w:val="center"/>
          </w:tcPr>
          <w:p>
            <w:pPr>
              <w:pStyle w:val="Normal"/>
              <w:spacing w:lineRule="auto" w:line="276"/>
              <w:jc w:val="center"/>
              <w:rPr/>
            </w:pPr>
            <w:r>
              <w:rPr>
                <w:color w:val="000000"/>
              </w:rPr>
              <w:t>-</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GF14378</w:t>
            </w:r>
          </w:p>
        </w:tc>
        <w:tc>
          <w:tcPr>
            <w:tcW w:w="2396" w:type="dxa"/>
            <w:tcBorders/>
            <w:shd w:color="auto" w:fill="auto" w:val="clear"/>
            <w:vAlign w:val="center"/>
          </w:tcPr>
          <w:p>
            <w:pPr>
              <w:pStyle w:val="Normal"/>
              <w:spacing w:lineRule="auto" w:line="276"/>
              <w:jc w:val="center"/>
              <w:rPr/>
            </w:pPr>
            <w:r>
              <w:rPr>
                <w:i/>
                <w:iCs/>
                <w:color w:val="000000"/>
              </w:rPr>
              <w:t xml:space="preserve">Msp300 </w:t>
            </w:r>
          </w:p>
        </w:tc>
        <w:tc>
          <w:tcPr>
            <w:tcW w:w="2604" w:type="dxa"/>
            <w:tcBorders/>
            <w:shd w:color="auto" w:fill="auto" w:val="clear"/>
            <w:vAlign w:val="center"/>
          </w:tcPr>
          <w:p>
            <w:pPr>
              <w:pStyle w:val="Normal"/>
              <w:spacing w:lineRule="auto" w:line="276"/>
              <w:jc w:val="center"/>
              <w:rPr/>
            </w:pPr>
            <w:r>
              <w:rPr>
                <w:color w:val="000000"/>
              </w:rPr>
              <w:t>Muscle development Cytoskeletal protein binding</w:t>
            </w:r>
          </w:p>
        </w:tc>
        <w:tc>
          <w:tcPr>
            <w:tcW w:w="2298" w:type="dxa"/>
            <w:tcBorders/>
            <w:shd w:color="auto" w:fill="auto" w:val="clear"/>
            <w:vAlign w:val="center"/>
          </w:tcPr>
          <w:p>
            <w:pPr>
              <w:pStyle w:val="Normal"/>
              <w:spacing w:lineRule="auto" w:line="276"/>
              <w:jc w:val="center"/>
              <w:rPr/>
            </w:pPr>
            <w:r>
              <w:rPr>
                <w:color w:val="000000"/>
              </w:rPr>
              <w:t>-</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GF24896</w:t>
            </w:r>
          </w:p>
        </w:tc>
        <w:tc>
          <w:tcPr>
            <w:tcW w:w="2396" w:type="dxa"/>
            <w:tcBorders/>
            <w:shd w:color="auto" w:fill="auto" w:val="clear"/>
            <w:vAlign w:val="center"/>
          </w:tcPr>
          <w:p>
            <w:pPr>
              <w:pStyle w:val="Normal"/>
              <w:spacing w:lineRule="auto" w:line="276"/>
              <w:jc w:val="center"/>
              <w:rPr/>
            </w:pPr>
            <w:r>
              <w:rPr>
                <w:i/>
                <w:iCs/>
                <w:color w:val="000000"/>
              </w:rPr>
              <w:t xml:space="preserve">klar </w:t>
            </w:r>
          </w:p>
        </w:tc>
        <w:tc>
          <w:tcPr>
            <w:tcW w:w="2604" w:type="dxa"/>
            <w:tcBorders/>
            <w:shd w:color="auto" w:fill="auto" w:val="clear"/>
            <w:vAlign w:val="center"/>
          </w:tcPr>
          <w:p>
            <w:pPr>
              <w:pStyle w:val="Normal"/>
              <w:spacing w:lineRule="auto" w:line="276"/>
              <w:jc w:val="center"/>
              <w:rPr/>
            </w:pPr>
            <w:r>
              <w:rPr>
                <w:color w:val="000000"/>
              </w:rPr>
              <w:t>Cytoskeletal protein binding</w:t>
            </w:r>
          </w:p>
        </w:tc>
        <w:tc>
          <w:tcPr>
            <w:tcW w:w="2298" w:type="dxa"/>
            <w:tcBorders/>
            <w:shd w:color="auto" w:fill="auto" w:val="clear"/>
            <w:vAlign w:val="center"/>
          </w:tcPr>
          <w:p>
            <w:pPr>
              <w:pStyle w:val="Normal"/>
              <w:spacing w:lineRule="auto" w:line="276"/>
              <w:jc w:val="center"/>
              <w:rPr/>
            </w:pPr>
            <w:r>
              <w:rPr>
                <w:color w:val="000000"/>
              </w:rPr>
              <w:t xml:space="preserve">Königer </w:t>
            </w:r>
            <w:r>
              <w:rPr>
                <w:i/>
                <w:iCs/>
                <w:color w:val="000000"/>
              </w:rPr>
              <w:t>et al.</w:t>
            </w:r>
            <w:r>
              <w:rPr>
                <w:color w:val="000000"/>
              </w:rPr>
              <w:t>, 2019</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 xml:space="preserve">GF14829 </w:t>
            </w:r>
          </w:p>
        </w:tc>
        <w:tc>
          <w:tcPr>
            <w:tcW w:w="2396" w:type="dxa"/>
            <w:tcBorders/>
            <w:shd w:color="auto" w:fill="auto" w:val="clear"/>
            <w:vAlign w:val="center"/>
          </w:tcPr>
          <w:p>
            <w:pPr>
              <w:pStyle w:val="Normal"/>
              <w:spacing w:lineRule="auto" w:line="276"/>
              <w:jc w:val="center"/>
              <w:rPr/>
            </w:pPr>
            <w:r>
              <w:rPr>
                <w:i/>
                <w:iCs/>
                <w:color w:val="000000"/>
              </w:rPr>
              <w:t xml:space="preserve">CG10383 </w:t>
            </w:r>
          </w:p>
        </w:tc>
        <w:tc>
          <w:tcPr>
            <w:tcW w:w="2604" w:type="dxa"/>
            <w:tcBorders/>
            <w:shd w:color="auto" w:fill="auto" w:val="clear"/>
            <w:vAlign w:val="center"/>
          </w:tcPr>
          <w:p>
            <w:pPr>
              <w:pStyle w:val="Normal"/>
              <w:spacing w:lineRule="auto" w:line="276"/>
              <w:jc w:val="center"/>
              <w:rPr/>
            </w:pPr>
            <w:r>
              <w:rPr>
                <w:color w:val="000000"/>
              </w:rPr>
              <w:t>-</w:t>
            </w:r>
          </w:p>
        </w:tc>
        <w:tc>
          <w:tcPr>
            <w:tcW w:w="2298" w:type="dxa"/>
            <w:tcBorders/>
            <w:shd w:color="auto" w:fill="auto" w:val="clear"/>
            <w:vAlign w:val="center"/>
          </w:tcPr>
          <w:p>
            <w:pPr>
              <w:pStyle w:val="Normal"/>
              <w:spacing w:lineRule="auto" w:line="276"/>
              <w:jc w:val="center"/>
              <w:rPr/>
            </w:pPr>
            <w:r>
              <w:rPr>
                <w:color w:val="000000"/>
              </w:rPr>
              <w:t xml:space="preserve">Königer </w:t>
            </w:r>
            <w:r>
              <w:rPr>
                <w:i/>
                <w:iCs/>
                <w:color w:val="000000"/>
              </w:rPr>
              <w:t>et al.</w:t>
            </w:r>
            <w:r>
              <w:rPr>
                <w:color w:val="000000"/>
              </w:rPr>
              <w:t>, 2019</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GF21827</w:t>
            </w:r>
          </w:p>
        </w:tc>
        <w:tc>
          <w:tcPr>
            <w:tcW w:w="2396" w:type="dxa"/>
            <w:tcBorders/>
            <w:shd w:color="auto" w:fill="auto" w:val="clear"/>
            <w:vAlign w:val="center"/>
          </w:tcPr>
          <w:p>
            <w:pPr>
              <w:pStyle w:val="Normal"/>
              <w:spacing w:lineRule="auto" w:line="276"/>
              <w:jc w:val="center"/>
              <w:rPr/>
            </w:pPr>
            <w:r>
              <w:rPr>
                <w:i/>
                <w:iCs/>
                <w:color w:val="000000"/>
              </w:rPr>
              <w:t xml:space="preserve">Arpc3B </w:t>
            </w:r>
          </w:p>
        </w:tc>
        <w:tc>
          <w:tcPr>
            <w:tcW w:w="2604" w:type="dxa"/>
            <w:tcBorders/>
            <w:shd w:color="auto" w:fill="auto" w:val="clear"/>
            <w:vAlign w:val="center"/>
          </w:tcPr>
          <w:p>
            <w:pPr>
              <w:pStyle w:val="Normal"/>
              <w:spacing w:lineRule="auto" w:line="276"/>
              <w:jc w:val="center"/>
              <w:rPr/>
            </w:pPr>
            <w:r>
              <w:rPr>
                <w:color w:val="000000"/>
              </w:rPr>
              <w:t>-</w:t>
            </w:r>
          </w:p>
        </w:tc>
        <w:tc>
          <w:tcPr>
            <w:tcW w:w="2298" w:type="dxa"/>
            <w:tcBorders/>
            <w:shd w:color="auto" w:fill="auto" w:val="clear"/>
            <w:vAlign w:val="center"/>
          </w:tcPr>
          <w:p>
            <w:pPr>
              <w:pStyle w:val="Normal"/>
              <w:spacing w:lineRule="auto" w:line="276"/>
              <w:jc w:val="center"/>
              <w:rPr/>
            </w:pPr>
            <w:r>
              <w:rPr>
                <w:color w:val="000000"/>
              </w:rPr>
              <w:t>Königer &amp; Grath, 2018</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GF12009</w:t>
            </w:r>
          </w:p>
        </w:tc>
        <w:tc>
          <w:tcPr>
            <w:tcW w:w="2396" w:type="dxa"/>
            <w:tcBorders/>
            <w:shd w:color="auto" w:fill="auto" w:val="clear"/>
            <w:vAlign w:val="center"/>
          </w:tcPr>
          <w:p>
            <w:pPr>
              <w:pStyle w:val="Normal"/>
              <w:spacing w:lineRule="auto" w:line="276"/>
              <w:jc w:val="center"/>
              <w:rPr/>
            </w:pPr>
            <w:r>
              <w:rPr>
                <w:i/>
                <w:iCs/>
                <w:color w:val="000000"/>
              </w:rPr>
              <w:t>CG1407</w:t>
            </w:r>
          </w:p>
        </w:tc>
        <w:tc>
          <w:tcPr>
            <w:tcW w:w="2604" w:type="dxa"/>
            <w:tcBorders/>
            <w:shd w:color="auto" w:fill="auto" w:val="clear"/>
            <w:vAlign w:val="center"/>
          </w:tcPr>
          <w:p>
            <w:pPr>
              <w:pStyle w:val="Normal"/>
              <w:spacing w:lineRule="auto" w:line="276"/>
              <w:jc w:val="center"/>
              <w:rPr/>
            </w:pPr>
            <w:r>
              <w:rPr>
                <w:color w:val="000000"/>
              </w:rPr>
              <w:t>Protein palmitoylation</w:t>
            </w:r>
          </w:p>
        </w:tc>
        <w:tc>
          <w:tcPr>
            <w:tcW w:w="2298" w:type="dxa"/>
            <w:tcBorders/>
            <w:shd w:color="auto" w:fill="auto" w:val="clear"/>
            <w:vAlign w:val="center"/>
          </w:tcPr>
          <w:p>
            <w:pPr>
              <w:pStyle w:val="Normal"/>
              <w:spacing w:lineRule="auto" w:line="276"/>
              <w:jc w:val="center"/>
              <w:rPr>
                <w:color w:val="000000"/>
              </w:rPr>
            </w:pPr>
            <w:r>
              <w:rPr>
                <w:color w:val="000000"/>
              </w:rPr>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 xml:space="preserve">GF13019 </w:t>
            </w:r>
          </w:p>
        </w:tc>
        <w:tc>
          <w:tcPr>
            <w:tcW w:w="2396" w:type="dxa"/>
            <w:tcBorders/>
            <w:shd w:color="auto" w:fill="auto" w:val="clear"/>
            <w:vAlign w:val="center"/>
          </w:tcPr>
          <w:p>
            <w:pPr>
              <w:pStyle w:val="Normal"/>
              <w:spacing w:lineRule="auto" w:line="276"/>
              <w:jc w:val="center"/>
              <w:rPr/>
            </w:pPr>
            <w:r>
              <w:rPr>
                <w:i/>
                <w:iCs/>
                <w:color w:val="000000"/>
              </w:rPr>
              <w:t>CG10344</w:t>
            </w:r>
          </w:p>
        </w:tc>
        <w:tc>
          <w:tcPr>
            <w:tcW w:w="2604" w:type="dxa"/>
            <w:tcBorders/>
            <w:shd w:color="auto" w:fill="auto" w:val="clear"/>
            <w:vAlign w:val="center"/>
          </w:tcPr>
          <w:p>
            <w:pPr>
              <w:pStyle w:val="Normal"/>
              <w:spacing w:lineRule="auto" w:line="276"/>
              <w:jc w:val="center"/>
              <w:rPr/>
            </w:pPr>
            <w:r>
              <w:rPr>
                <w:color w:val="000000"/>
              </w:rPr>
              <w:t>Protein palmitoylation</w:t>
            </w:r>
          </w:p>
        </w:tc>
        <w:tc>
          <w:tcPr>
            <w:tcW w:w="2298" w:type="dxa"/>
            <w:tcBorders/>
            <w:shd w:color="auto" w:fill="auto" w:val="clear"/>
            <w:vAlign w:val="center"/>
          </w:tcPr>
          <w:p>
            <w:pPr>
              <w:pStyle w:val="Normal"/>
              <w:spacing w:lineRule="auto" w:line="276"/>
              <w:jc w:val="center"/>
              <w:rPr>
                <w:color w:val="000000"/>
              </w:rPr>
            </w:pPr>
            <w:r>
              <w:rPr>
                <w:color w:val="000000"/>
              </w:rPr>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 xml:space="preserve">GF14793 </w:t>
            </w:r>
          </w:p>
        </w:tc>
        <w:tc>
          <w:tcPr>
            <w:tcW w:w="2396" w:type="dxa"/>
            <w:tcBorders/>
            <w:shd w:color="auto" w:fill="auto" w:val="clear"/>
            <w:vAlign w:val="center"/>
          </w:tcPr>
          <w:p>
            <w:pPr>
              <w:pStyle w:val="Normal"/>
              <w:spacing w:lineRule="auto" w:line="276"/>
              <w:jc w:val="center"/>
              <w:rPr/>
            </w:pPr>
            <w:r>
              <w:rPr>
                <w:i/>
                <w:iCs/>
                <w:color w:val="000000"/>
              </w:rPr>
              <w:t>CG18810</w:t>
            </w:r>
          </w:p>
        </w:tc>
        <w:tc>
          <w:tcPr>
            <w:tcW w:w="2604" w:type="dxa"/>
            <w:tcBorders/>
            <w:shd w:color="auto" w:fill="auto" w:val="clear"/>
            <w:vAlign w:val="center"/>
          </w:tcPr>
          <w:p>
            <w:pPr>
              <w:pStyle w:val="Normal"/>
              <w:spacing w:lineRule="auto" w:line="276"/>
              <w:jc w:val="center"/>
              <w:rPr/>
            </w:pPr>
            <w:r>
              <w:rPr>
                <w:color w:val="000000"/>
              </w:rPr>
              <w:t>Protein palmitoylation</w:t>
            </w:r>
          </w:p>
        </w:tc>
        <w:tc>
          <w:tcPr>
            <w:tcW w:w="2298" w:type="dxa"/>
            <w:tcBorders/>
            <w:shd w:color="auto" w:fill="auto" w:val="clear"/>
            <w:vAlign w:val="center"/>
          </w:tcPr>
          <w:p>
            <w:pPr>
              <w:pStyle w:val="Normal"/>
              <w:spacing w:lineRule="auto" w:line="276"/>
              <w:jc w:val="center"/>
              <w:rPr>
                <w:color w:val="000000"/>
              </w:rPr>
            </w:pPr>
            <w:r>
              <w:rPr>
                <w:color w:val="000000"/>
              </w:rPr>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 xml:space="preserve">GF17953 </w:t>
            </w:r>
          </w:p>
        </w:tc>
        <w:tc>
          <w:tcPr>
            <w:tcW w:w="2396" w:type="dxa"/>
            <w:tcBorders/>
            <w:shd w:color="auto" w:fill="auto" w:val="clear"/>
            <w:vAlign w:val="center"/>
          </w:tcPr>
          <w:p>
            <w:pPr>
              <w:pStyle w:val="Normal"/>
              <w:spacing w:lineRule="auto" w:line="276"/>
              <w:jc w:val="center"/>
              <w:rPr/>
            </w:pPr>
            <w:r>
              <w:rPr>
                <w:i/>
                <w:iCs/>
                <w:color w:val="000000"/>
              </w:rPr>
              <w:t>CG5196</w:t>
            </w:r>
          </w:p>
        </w:tc>
        <w:tc>
          <w:tcPr>
            <w:tcW w:w="2604" w:type="dxa"/>
            <w:tcBorders/>
            <w:shd w:color="auto" w:fill="auto" w:val="clear"/>
            <w:vAlign w:val="center"/>
          </w:tcPr>
          <w:p>
            <w:pPr>
              <w:pStyle w:val="Normal"/>
              <w:spacing w:lineRule="auto" w:line="276"/>
              <w:jc w:val="center"/>
              <w:rPr/>
            </w:pPr>
            <w:r>
              <w:rPr>
                <w:color w:val="000000"/>
              </w:rPr>
              <w:t>Protein palmitoylation</w:t>
            </w:r>
          </w:p>
        </w:tc>
        <w:tc>
          <w:tcPr>
            <w:tcW w:w="2298" w:type="dxa"/>
            <w:tcBorders/>
            <w:shd w:color="auto" w:fill="auto" w:val="clear"/>
            <w:vAlign w:val="center"/>
          </w:tcPr>
          <w:p>
            <w:pPr>
              <w:pStyle w:val="Normal"/>
              <w:spacing w:lineRule="auto" w:line="276"/>
              <w:jc w:val="center"/>
              <w:rPr>
                <w:color w:val="000000"/>
              </w:rPr>
            </w:pPr>
            <w:r>
              <w:rPr>
                <w:color w:val="000000"/>
              </w:rPr>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GF24551</w:t>
            </w:r>
          </w:p>
        </w:tc>
        <w:tc>
          <w:tcPr>
            <w:tcW w:w="2396" w:type="dxa"/>
            <w:tcBorders/>
            <w:shd w:color="auto" w:fill="auto" w:val="clear"/>
            <w:vAlign w:val="center"/>
          </w:tcPr>
          <w:p>
            <w:pPr>
              <w:pStyle w:val="Normal"/>
              <w:spacing w:lineRule="auto" w:line="276"/>
              <w:jc w:val="center"/>
              <w:rPr/>
            </w:pPr>
            <w:r>
              <w:rPr>
                <w:i/>
                <w:iCs/>
                <w:color w:val="000000"/>
              </w:rPr>
              <w:t>CG4956, CG17198, CG17196, CG17195</w:t>
            </w:r>
          </w:p>
        </w:tc>
        <w:tc>
          <w:tcPr>
            <w:tcW w:w="2604" w:type="dxa"/>
            <w:tcBorders/>
            <w:shd w:color="auto" w:fill="auto" w:val="clear"/>
            <w:vAlign w:val="center"/>
          </w:tcPr>
          <w:p>
            <w:pPr>
              <w:pStyle w:val="Normal"/>
              <w:spacing w:lineRule="auto" w:line="276"/>
              <w:jc w:val="center"/>
              <w:rPr/>
            </w:pPr>
            <w:r>
              <w:rPr>
                <w:color w:val="000000"/>
              </w:rPr>
              <w:t>Protein palmitoylation</w:t>
            </w:r>
          </w:p>
        </w:tc>
        <w:tc>
          <w:tcPr>
            <w:tcW w:w="2298" w:type="dxa"/>
            <w:tcBorders/>
            <w:shd w:color="auto" w:fill="auto" w:val="clear"/>
            <w:vAlign w:val="center"/>
          </w:tcPr>
          <w:p>
            <w:pPr>
              <w:pStyle w:val="Normal"/>
              <w:spacing w:lineRule="auto" w:line="276"/>
              <w:jc w:val="center"/>
              <w:rPr/>
            </w:pPr>
            <w:r>
              <w:rPr>
                <w:color w:val="000000"/>
              </w:rPr>
              <w:t>-</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GF25314</w:t>
            </w:r>
          </w:p>
        </w:tc>
        <w:tc>
          <w:tcPr>
            <w:tcW w:w="2396" w:type="dxa"/>
            <w:tcBorders/>
            <w:shd w:color="auto" w:fill="auto" w:val="clear"/>
            <w:vAlign w:val="center"/>
          </w:tcPr>
          <w:p>
            <w:pPr>
              <w:pStyle w:val="Normal"/>
              <w:spacing w:lineRule="auto" w:line="276"/>
              <w:jc w:val="center"/>
              <w:rPr/>
            </w:pPr>
            <w:r>
              <w:rPr>
                <w:i/>
                <w:iCs/>
                <w:color w:val="000000"/>
              </w:rPr>
              <w:t>CG17147</w:t>
            </w:r>
          </w:p>
        </w:tc>
        <w:tc>
          <w:tcPr>
            <w:tcW w:w="2604" w:type="dxa"/>
            <w:tcBorders/>
            <w:shd w:color="auto" w:fill="auto" w:val="clear"/>
            <w:vAlign w:val="center"/>
          </w:tcPr>
          <w:p>
            <w:pPr>
              <w:pStyle w:val="Normal"/>
              <w:spacing w:lineRule="auto" w:line="276"/>
              <w:jc w:val="center"/>
              <w:rPr/>
            </w:pPr>
            <w:r>
              <w:rPr>
                <w:color w:val="000000"/>
              </w:rPr>
              <w:t>Chitin binding</w:t>
            </w:r>
          </w:p>
        </w:tc>
        <w:tc>
          <w:tcPr>
            <w:tcW w:w="2298" w:type="dxa"/>
            <w:tcBorders/>
            <w:shd w:color="auto" w:fill="auto" w:val="clear"/>
            <w:vAlign w:val="center"/>
          </w:tcPr>
          <w:p>
            <w:pPr>
              <w:pStyle w:val="Normal"/>
              <w:spacing w:lineRule="auto" w:line="276"/>
              <w:jc w:val="center"/>
              <w:rPr/>
            </w:pPr>
            <w:r>
              <w:rPr>
                <w:color w:val="000000"/>
              </w:rPr>
              <w:t xml:space="preserve">MacMillan </w:t>
            </w:r>
            <w:r>
              <w:rPr>
                <w:i/>
                <w:iCs/>
                <w:color w:val="000000"/>
              </w:rPr>
              <w:t>et al.</w:t>
            </w:r>
            <w:r>
              <w:rPr>
                <w:color w:val="000000"/>
              </w:rPr>
              <w:t>, 2016</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GF24516</w:t>
            </w:r>
          </w:p>
        </w:tc>
        <w:tc>
          <w:tcPr>
            <w:tcW w:w="2396" w:type="dxa"/>
            <w:tcBorders/>
            <w:shd w:color="auto" w:fill="auto" w:val="clear"/>
            <w:vAlign w:val="center"/>
          </w:tcPr>
          <w:p>
            <w:pPr>
              <w:pStyle w:val="Normal"/>
              <w:spacing w:lineRule="auto" w:line="276"/>
              <w:jc w:val="center"/>
              <w:rPr/>
            </w:pPr>
            <w:r>
              <w:rPr>
                <w:i/>
                <w:iCs/>
                <w:color w:val="000000"/>
              </w:rPr>
              <w:t>Muc68D</w:t>
            </w:r>
          </w:p>
        </w:tc>
        <w:tc>
          <w:tcPr>
            <w:tcW w:w="2604" w:type="dxa"/>
            <w:tcBorders/>
            <w:shd w:color="auto" w:fill="auto" w:val="clear"/>
            <w:vAlign w:val="center"/>
          </w:tcPr>
          <w:p>
            <w:pPr>
              <w:pStyle w:val="Normal"/>
              <w:spacing w:lineRule="auto" w:line="276"/>
              <w:jc w:val="center"/>
              <w:rPr/>
            </w:pPr>
            <w:r>
              <w:rPr>
                <w:color w:val="000000"/>
              </w:rPr>
              <w:t>Chitin binding</w:t>
            </w:r>
          </w:p>
        </w:tc>
        <w:tc>
          <w:tcPr>
            <w:tcW w:w="2298" w:type="dxa"/>
            <w:tcBorders/>
            <w:shd w:color="auto" w:fill="auto" w:val="clear"/>
            <w:vAlign w:val="center"/>
          </w:tcPr>
          <w:p>
            <w:pPr>
              <w:pStyle w:val="Normal"/>
              <w:spacing w:lineRule="auto" w:line="276"/>
              <w:jc w:val="center"/>
              <w:rPr/>
            </w:pPr>
            <w:r>
              <w:rPr>
                <w:color w:val="000000"/>
              </w:rPr>
              <w:t xml:space="preserve">MacMillan </w:t>
            </w:r>
            <w:r>
              <w:rPr>
                <w:i/>
                <w:iCs/>
                <w:color w:val="000000"/>
              </w:rPr>
              <w:t>et al.</w:t>
            </w:r>
            <w:r>
              <w:rPr>
                <w:color w:val="000000"/>
              </w:rPr>
              <w:t>, 2016</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GF24478</w:t>
            </w:r>
          </w:p>
        </w:tc>
        <w:tc>
          <w:tcPr>
            <w:tcW w:w="2396" w:type="dxa"/>
            <w:tcBorders/>
            <w:shd w:color="auto" w:fill="auto" w:val="clear"/>
            <w:vAlign w:val="center"/>
          </w:tcPr>
          <w:p>
            <w:pPr>
              <w:pStyle w:val="Normal"/>
              <w:spacing w:lineRule="auto" w:line="276"/>
              <w:jc w:val="center"/>
              <w:rPr/>
            </w:pPr>
            <w:r>
              <w:rPr>
                <w:i/>
                <w:iCs/>
                <w:color w:val="000000"/>
              </w:rPr>
              <w:t>CG6933</w:t>
            </w:r>
          </w:p>
        </w:tc>
        <w:tc>
          <w:tcPr>
            <w:tcW w:w="2604" w:type="dxa"/>
            <w:tcBorders/>
            <w:shd w:color="auto" w:fill="auto" w:val="clear"/>
            <w:vAlign w:val="center"/>
          </w:tcPr>
          <w:p>
            <w:pPr>
              <w:pStyle w:val="Normal"/>
              <w:spacing w:lineRule="auto" w:line="276"/>
              <w:jc w:val="center"/>
              <w:rPr/>
            </w:pPr>
            <w:r>
              <w:rPr>
                <w:color w:val="000000"/>
              </w:rPr>
              <w:t>Chitin binding</w:t>
            </w:r>
          </w:p>
        </w:tc>
        <w:tc>
          <w:tcPr>
            <w:tcW w:w="2298" w:type="dxa"/>
            <w:tcBorders/>
            <w:shd w:color="auto" w:fill="auto" w:val="clear"/>
            <w:vAlign w:val="center"/>
          </w:tcPr>
          <w:p>
            <w:pPr>
              <w:pStyle w:val="Normal"/>
              <w:spacing w:lineRule="auto" w:line="276"/>
              <w:jc w:val="center"/>
              <w:rPr/>
            </w:pPr>
            <w:r>
              <w:rPr>
                <w:color w:val="000000"/>
              </w:rPr>
              <w:t>-</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GF24481</w:t>
            </w:r>
          </w:p>
        </w:tc>
        <w:tc>
          <w:tcPr>
            <w:tcW w:w="2396" w:type="dxa"/>
            <w:tcBorders/>
            <w:shd w:color="auto" w:fill="auto" w:val="clear"/>
            <w:vAlign w:val="center"/>
          </w:tcPr>
          <w:p>
            <w:pPr>
              <w:pStyle w:val="Normal"/>
              <w:spacing w:lineRule="auto" w:line="276"/>
              <w:jc w:val="center"/>
              <w:rPr/>
            </w:pPr>
            <w:r>
              <w:rPr>
                <w:i/>
                <w:iCs/>
                <w:color w:val="000000"/>
              </w:rPr>
              <w:t>CG7298</w:t>
            </w:r>
          </w:p>
        </w:tc>
        <w:tc>
          <w:tcPr>
            <w:tcW w:w="2604" w:type="dxa"/>
            <w:tcBorders/>
            <w:shd w:color="auto" w:fill="auto" w:val="clear"/>
            <w:vAlign w:val="center"/>
          </w:tcPr>
          <w:p>
            <w:pPr>
              <w:pStyle w:val="Normal"/>
              <w:spacing w:lineRule="auto" w:line="276"/>
              <w:jc w:val="center"/>
              <w:rPr/>
            </w:pPr>
            <w:r>
              <w:rPr>
                <w:color w:val="000000"/>
              </w:rPr>
              <w:t>Chitin binding</w:t>
            </w:r>
          </w:p>
        </w:tc>
        <w:tc>
          <w:tcPr>
            <w:tcW w:w="2298" w:type="dxa"/>
            <w:tcBorders/>
            <w:shd w:color="auto" w:fill="auto" w:val="clear"/>
            <w:vAlign w:val="center"/>
          </w:tcPr>
          <w:p>
            <w:pPr>
              <w:pStyle w:val="Normal"/>
              <w:spacing w:lineRule="auto" w:line="276"/>
              <w:jc w:val="center"/>
              <w:rPr/>
            </w:pPr>
            <w:r>
              <w:rPr>
                <w:color w:val="000000"/>
              </w:rPr>
              <w:t>-</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GF10050</w:t>
            </w:r>
          </w:p>
        </w:tc>
        <w:tc>
          <w:tcPr>
            <w:tcW w:w="2396" w:type="dxa"/>
            <w:tcBorders/>
            <w:shd w:color="auto" w:fill="auto" w:val="clear"/>
            <w:vAlign w:val="center"/>
          </w:tcPr>
          <w:p>
            <w:pPr>
              <w:pStyle w:val="Normal"/>
              <w:spacing w:lineRule="auto" w:line="276"/>
              <w:jc w:val="center"/>
              <w:rPr/>
            </w:pPr>
            <w:r>
              <w:rPr>
                <w:i/>
                <w:iCs/>
                <w:color w:val="000000"/>
              </w:rPr>
              <w:t>polo</w:t>
            </w:r>
          </w:p>
        </w:tc>
        <w:tc>
          <w:tcPr>
            <w:tcW w:w="2604" w:type="dxa"/>
            <w:tcBorders/>
            <w:shd w:color="auto" w:fill="auto" w:val="clear"/>
            <w:vAlign w:val="center"/>
          </w:tcPr>
          <w:p>
            <w:pPr>
              <w:pStyle w:val="Normal"/>
              <w:spacing w:lineRule="auto" w:line="276"/>
              <w:jc w:val="center"/>
              <w:rPr/>
            </w:pPr>
            <w:r>
              <w:rPr>
                <w:color w:val="000000"/>
              </w:rPr>
              <w:t>Muscle development</w:t>
            </w:r>
          </w:p>
        </w:tc>
        <w:tc>
          <w:tcPr>
            <w:tcW w:w="2298" w:type="dxa"/>
            <w:tcBorders/>
            <w:shd w:color="auto" w:fill="auto" w:val="clear"/>
            <w:vAlign w:val="center"/>
          </w:tcPr>
          <w:p>
            <w:pPr>
              <w:pStyle w:val="Normal"/>
              <w:spacing w:lineRule="auto" w:line="276"/>
              <w:jc w:val="center"/>
              <w:rPr/>
            </w:pPr>
            <w:r>
              <w:rPr>
                <w:color w:val="000000"/>
              </w:rPr>
              <w:t>-</w:t>
            </w:r>
          </w:p>
        </w:tc>
      </w:tr>
      <w:tr>
        <w:trPr>
          <w:trHeight w:val="567" w:hRule="atLeast"/>
        </w:trPr>
        <w:tc>
          <w:tcPr>
            <w:tcW w:w="2001" w:type="dxa"/>
            <w:tcBorders/>
            <w:shd w:color="auto" w:fill="auto" w:val="clear"/>
            <w:vAlign w:val="center"/>
          </w:tcPr>
          <w:p>
            <w:pPr>
              <w:pStyle w:val="Normal"/>
              <w:spacing w:lineRule="auto" w:line="276"/>
              <w:jc w:val="center"/>
              <w:rPr/>
            </w:pPr>
            <w:r>
              <w:rPr>
                <w:i/>
                <w:iCs/>
                <w:color w:val="000000"/>
              </w:rPr>
              <w:t>GF24536</w:t>
            </w:r>
          </w:p>
        </w:tc>
        <w:tc>
          <w:tcPr>
            <w:tcW w:w="2396" w:type="dxa"/>
            <w:tcBorders/>
            <w:shd w:color="auto" w:fill="auto" w:val="clear"/>
            <w:vAlign w:val="center"/>
          </w:tcPr>
          <w:p>
            <w:pPr>
              <w:pStyle w:val="Normal"/>
              <w:spacing w:lineRule="auto" w:line="276"/>
              <w:jc w:val="center"/>
              <w:rPr/>
            </w:pPr>
            <w:r>
              <w:rPr>
                <w:i/>
                <w:iCs/>
                <w:color w:val="000000"/>
              </w:rPr>
              <w:t>rt</w:t>
            </w:r>
          </w:p>
        </w:tc>
        <w:tc>
          <w:tcPr>
            <w:tcW w:w="2604" w:type="dxa"/>
            <w:tcBorders/>
            <w:shd w:color="auto" w:fill="auto" w:val="clear"/>
            <w:vAlign w:val="center"/>
          </w:tcPr>
          <w:p>
            <w:pPr>
              <w:pStyle w:val="Normal"/>
              <w:spacing w:lineRule="auto" w:line="276"/>
              <w:jc w:val="center"/>
              <w:rPr/>
            </w:pPr>
            <w:r>
              <w:rPr>
                <w:color w:val="000000"/>
              </w:rPr>
              <w:t>Muscle development</w:t>
            </w:r>
          </w:p>
        </w:tc>
        <w:tc>
          <w:tcPr>
            <w:tcW w:w="2298" w:type="dxa"/>
            <w:tcBorders/>
            <w:shd w:color="auto" w:fill="auto" w:val="clear"/>
            <w:vAlign w:val="center"/>
          </w:tcPr>
          <w:p>
            <w:pPr>
              <w:pStyle w:val="Normal"/>
              <w:spacing w:lineRule="auto" w:line="276"/>
              <w:jc w:val="center"/>
              <w:rPr/>
            </w:pPr>
            <w:r>
              <w:rPr>
                <w:color w:val="000000"/>
              </w:rPr>
              <w:t>-</w:t>
            </w:r>
          </w:p>
        </w:tc>
      </w:tr>
    </w:tbl>
    <w:p>
      <w:pPr>
        <w:pStyle w:val="Normal"/>
        <w:spacing w:lineRule="auto" w:line="276"/>
        <w:rPr>
          <w:sz w:val="20"/>
          <w:szCs w:val="20"/>
        </w:rPr>
      </w:pPr>
      <w:r>
        <w:rPr>
          <w:b/>
          <w:bCs/>
          <w:sz w:val="20"/>
          <w:szCs w:val="20"/>
        </w:rPr>
        <w:t>Note:</w:t>
      </w:r>
      <w:r>
        <w:rPr>
          <w:sz w:val="20"/>
          <w:szCs w:val="20"/>
        </w:rPr>
        <w:t xml:space="preserve"> The GO analysis was performed using the </w:t>
      </w:r>
      <w:r>
        <w:rPr>
          <w:i/>
          <w:iCs/>
          <w:sz w:val="20"/>
          <w:szCs w:val="20"/>
        </w:rPr>
        <w:t>D. melanogaster</w:t>
      </w:r>
      <w:r>
        <w:rPr>
          <w:sz w:val="20"/>
          <w:szCs w:val="20"/>
        </w:rPr>
        <w:t xml:space="preserve"> orthologs of the </w:t>
      </w:r>
      <w:r>
        <w:rPr>
          <w:i/>
          <w:iCs/>
          <w:sz w:val="20"/>
          <w:szCs w:val="20"/>
        </w:rPr>
        <w:t>D. ananassae</w:t>
      </w:r>
      <w:r>
        <w:rPr>
          <w:sz w:val="20"/>
          <w:szCs w:val="20"/>
        </w:rPr>
        <w:t xml:space="preserve"> genes (column: Candidate genes).</w:t>
      </w:r>
      <w:r>
        <w:br w:type="page"/>
      </w:r>
    </w:p>
    <w:p>
      <w:pPr>
        <w:pStyle w:val="Heading1"/>
        <w:spacing w:lineRule="auto" w:line="276" w:before="0" w:after="113"/>
        <w:rPr>
          <w:b w:val="false"/>
          <w:b w:val="false"/>
          <w:bCs w:val="false"/>
        </w:rPr>
      </w:pPr>
      <w:r>
        <w:rPr>
          <w:b w:val="false"/>
          <w:bCs w:val="false"/>
        </w:rPr>
        <w:t>Supplementary Figures</w:t>
      </w:r>
    </w:p>
    <w:p>
      <w:pPr>
        <w:pStyle w:val="Normal"/>
        <w:spacing w:lineRule="auto" w:line="276"/>
        <w:rPr/>
      </w:pPr>
      <w:r>
        <w:rPr/>
        <w:drawing>
          <wp:inline distT="0" distB="0" distL="0" distR="0">
            <wp:extent cx="4864100" cy="4686300"/>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4864100" cy="4686300"/>
                    </a:xfrm>
                    <a:prstGeom prst="rect">
                      <a:avLst/>
                    </a:prstGeom>
                  </pic:spPr>
                </pic:pic>
              </a:graphicData>
            </a:graphic>
          </wp:inline>
        </w:drawing>
      </w:r>
    </w:p>
    <w:p>
      <w:pPr>
        <w:pStyle w:val="Caption1"/>
        <w:spacing w:lineRule="auto" w:line="276"/>
        <w:jc w:val="both"/>
        <w:rPr>
          <w:sz w:val="20"/>
          <w:szCs w:val="20"/>
        </w:rPr>
      </w:pPr>
      <w:r>
        <w:rPr>
          <w:b/>
          <w:bCs/>
          <w:sz w:val="20"/>
          <w:szCs w:val="20"/>
        </w:rPr>
        <w:t>Figure S1:</w:t>
      </w:r>
      <w:r>
        <w:rPr>
          <w:sz w:val="20"/>
          <w:szCs w:val="20"/>
        </w:rPr>
        <w:t xml:space="preserve"> Boxplot for mean CCRT. Males (orange) and females (purple) of the strains are connected with grey lines.</w:t>
      </w:r>
      <w:r>
        <w:br w:type="page"/>
      </w:r>
    </w:p>
    <w:p>
      <w:pPr>
        <w:pStyle w:val="Normal"/>
        <w:spacing w:lineRule="auto" w:line="276"/>
        <w:rPr/>
      </w:pPr>
      <w:r>
        <w:rPr/>
        <w:drawing>
          <wp:inline distT="0" distB="0" distL="0" distR="0">
            <wp:extent cx="4864100" cy="4686300"/>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4864100" cy="4686300"/>
                    </a:xfrm>
                    <a:prstGeom prst="rect">
                      <a:avLst/>
                    </a:prstGeom>
                  </pic:spPr>
                </pic:pic>
              </a:graphicData>
            </a:graphic>
          </wp:inline>
        </w:drawing>
      </w:r>
    </w:p>
    <w:p>
      <w:pPr>
        <w:pStyle w:val="Caption1"/>
        <w:spacing w:lineRule="auto" w:line="276" w:before="0" w:after="113"/>
        <w:jc w:val="both"/>
        <w:rPr>
          <w:sz w:val="20"/>
          <w:szCs w:val="20"/>
        </w:rPr>
      </w:pPr>
      <w:r>
        <w:rPr>
          <w:b/>
          <w:bCs/>
          <w:sz w:val="20"/>
          <w:szCs w:val="20"/>
        </w:rPr>
        <w:t>Figure S2:</w:t>
      </w:r>
      <w:r>
        <w:rPr>
          <w:sz w:val="20"/>
          <w:szCs w:val="20"/>
        </w:rPr>
        <w:t xml:space="preserve"> Boxplot for mean mortality upon 8-hour cold shock. Males (orange) and females (purple) of the strains are connected with grey lines.</w:t>
      </w:r>
      <w:r>
        <w:br w:type="page"/>
      </w:r>
    </w:p>
    <w:p>
      <w:pPr>
        <w:pStyle w:val="Normal"/>
        <w:spacing w:lineRule="auto" w:line="276"/>
        <w:rPr/>
      </w:pPr>
      <w:r>
        <w:rPr/>
        <w:drawing>
          <wp:inline distT="0" distB="0" distL="0" distR="0">
            <wp:extent cx="5943600" cy="3714750"/>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943600" cy="3714750"/>
                    </a:xfrm>
                    <a:prstGeom prst="rect">
                      <a:avLst/>
                    </a:prstGeom>
                  </pic:spPr>
                </pic:pic>
              </a:graphicData>
            </a:graphic>
          </wp:inline>
        </w:drawing>
      </w:r>
    </w:p>
    <w:p>
      <w:pPr>
        <w:pStyle w:val="Caption1"/>
        <w:spacing w:lineRule="auto" w:line="276" w:before="0" w:after="113"/>
        <w:jc w:val="both"/>
        <w:rPr>
          <w:sz w:val="20"/>
          <w:szCs w:val="20"/>
        </w:rPr>
      </w:pPr>
      <w:r>
        <w:rPr>
          <w:b/>
          <w:bCs/>
          <w:sz w:val="20"/>
          <w:szCs w:val="20"/>
        </w:rPr>
        <w:t>Figure S3:</w:t>
      </w:r>
      <w:r>
        <w:rPr>
          <w:sz w:val="20"/>
          <w:szCs w:val="20"/>
        </w:rPr>
        <w:t xml:space="preserve"> Association plot for each chromosome arm: sliding window (1 Mb) G’ analysis. x-axis indicates genomic position on each chromosome arm, y-axis indicates G’ value. FDR = 0.01 (not shown).</w:t>
      </w:r>
      <w:r>
        <w:br w:type="page"/>
      </w:r>
    </w:p>
    <w:p>
      <w:pPr>
        <w:pStyle w:val="Normal"/>
        <w:spacing w:lineRule="auto" w:line="276"/>
        <w:rPr/>
      </w:pPr>
      <w:r>
        <w:rPr/>
        <w:drawing>
          <wp:inline distT="0" distB="0" distL="0" distR="0">
            <wp:extent cx="5943600" cy="3714750"/>
            <wp:effectExtent l="0" t="0" r="0" b="0"/>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tretch>
                      <a:fillRect/>
                    </a:stretch>
                  </pic:blipFill>
                  <pic:spPr bwMode="auto">
                    <a:xfrm>
                      <a:off x="0" y="0"/>
                      <a:ext cx="5943600" cy="3714750"/>
                    </a:xfrm>
                    <a:prstGeom prst="rect">
                      <a:avLst/>
                    </a:prstGeom>
                  </pic:spPr>
                </pic:pic>
              </a:graphicData>
            </a:graphic>
          </wp:inline>
        </w:drawing>
      </w:r>
    </w:p>
    <w:p>
      <w:pPr>
        <w:pStyle w:val="Caption1"/>
        <w:spacing w:lineRule="auto" w:line="276" w:before="0" w:after="113"/>
        <w:jc w:val="both"/>
        <w:rPr>
          <w:sz w:val="20"/>
          <w:szCs w:val="20"/>
        </w:rPr>
      </w:pPr>
      <w:r>
        <w:rPr>
          <w:b/>
          <w:bCs/>
          <w:sz w:val="20"/>
          <w:szCs w:val="20"/>
        </w:rPr>
        <w:t>Figure S4:</w:t>
      </w:r>
      <w:r>
        <w:rPr>
          <w:sz w:val="20"/>
          <w:szCs w:val="20"/>
        </w:rPr>
        <w:t xml:space="preserve"> Gene ontology enrichment analysis for genes within the significant QTL regions that had positive ∆SNP-index values. Biological processes shown in red, cellular components shown in blue and molecular functions shown in yellow.</w:t>
      </w:r>
      <w:r>
        <w:br w:type="page"/>
      </w:r>
    </w:p>
    <w:p>
      <w:pPr>
        <w:pStyle w:val="Normal"/>
        <w:spacing w:lineRule="auto" w:line="276"/>
        <w:rPr/>
      </w:pPr>
      <w:r>
        <w:rPr/>
        <w:drawing>
          <wp:inline distT="0" distB="0" distL="0" distR="0">
            <wp:extent cx="5943600" cy="3714750"/>
            <wp:effectExtent l="0" t="0" r="0" b="0"/>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2"/>
                    <a:stretch>
                      <a:fillRect/>
                    </a:stretch>
                  </pic:blipFill>
                  <pic:spPr bwMode="auto">
                    <a:xfrm>
                      <a:off x="0" y="0"/>
                      <a:ext cx="5943600" cy="3714750"/>
                    </a:xfrm>
                    <a:prstGeom prst="rect">
                      <a:avLst/>
                    </a:prstGeom>
                  </pic:spPr>
                </pic:pic>
              </a:graphicData>
            </a:graphic>
          </wp:inline>
        </w:drawing>
      </w:r>
    </w:p>
    <w:p>
      <w:pPr>
        <w:pStyle w:val="Caption1"/>
        <w:spacing w:lineRule="auto" w:line="276" w:before="0" w:after="113"/>
        <w:jc w:val="both"/>
        <w:rPr>
          <w:sz w:val="20"/>
          <w:szCs w:val="20"/>
        </w:rPr>
      </w:pPr>
      <w:r>
        <w:rPr>
          <w:b/>
          <w:bCs/>
          <w:sz w:val="20"/>
          <w:szCs w:val="20"/>
        </w:rPr>
        <w:t>Figure S5:</w:t>
      </w:r>
      <w:r>
        <w:rPr>
          <w:sz w:val="20"/>
          <w:szCs w:val="20"/>
        </w:rPr>
        <w:t xml:space="preserve"> Gene ontology enrichment analysis for genes within the significant QTL regions that had negative ∆SNP-index values. Molecular functions shown in yellow.</w:t>
      </w:r>
      <w:r>
        <w:br w:type="page"/>
      </w:r>
    </w:p>
    <w:p>
      <w:pPr>
        <w:pStyle w:val="Normal"/>
        <w:spacing w:lineRule="auto" w:line="276"/>
        <w:rPr/>
      </w:pPr>
      <w:r>
        <w:rPr/>
        <w:drawing>
          <wp:inline distT="0" distB="0" distL="0" distR="0">
            <wp:extent cx="5943600" cy="3714750"/>
            <wp:effectExtent l="0" t="0" r="0" b="0"/>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13"/>
                    <a:stretch>
                      <a:fillRect/>
                    </a:stretch>
                  </pic:blipFill>
                  <pic:spPr bwMode="auto">
                    <a:xfrm>
                      <a:off x="0" y="0"/>
                      <a:ext cx="5943600" cy="3714750"/>
                    </a:xfrm>
                    <a:prstGeom prst="rect">
                      <a:avLst/>
                    </a:prstGeom>
                  </pic:spPr>
                </pic:pic>
              </a:graphicData>
            </a:graphic>
          </wp:inline>
        </w:drawing>
      </w:r>
    </w:p>
    <w:p>
      <w:pPr>
        <w:pStyle w:val="Caption1"/>
        <w:spacing w:lineRule="auto" w:line="276" w:before="0" w:after="113"/>
        <w:jc w:val="both"/>
        <w:rPr/>
      </w:pPr>
      <w:r>
        <w:rPr>
          <w:b/>
          <w:bCs/>
          <w:sz w:val="20"/>
          <w:szCs w:val="20"/>
        </w:rPr>
        <w:t>Figure S6:</w:t>
      </w:r>
      <w:r>
        <w:rPr>
          <w:sz w:val="20"/>
          <w:szCs w:val="20"/>
        </w:rPr>
        <w:t xml:space="preserve"> Gene ontology enrichment analysis for genes within the 682-kb region shared by the ∆(SNP-index) and G’ analyses. Biological processes shown in red, cellular components shown in blue and molecular functions shown in yellow.</w:t>
      </w:r>
    </w:p>
    <w:sectPr>
      <w:footerReference w:type="default" r:id="rId14"/>
      <w:type w:val="nextPage"/>
      <w:pgSz w:w="12240" w:h="15840"/>
      <w:pgMar w:left="1440" w:right="1440" w:header="0" w:top="708" w:footer="1440" w:bottom="1999" w:gutter="0"/>
      <w:lnNumType w:countBy="1" w:restart="continuous" w:distance="283"/>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Sonja Grath" w:date="2025-04-22T11:23:08Z" w:initials="SG">
    <w:p>
      <w:r>
        <w:rPr>
          <w:rFonts w:cs="Lohit Devanagari" w:ascii="Liberation Serif" w:hAnsi="Liberation Serif" w:eastAsia="Noto Serif CJK SC"/>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bidi="hi-IN" w:eastAsia="zh-CN"/>
        </w:rPr>
        <w:t>Correct one?</w:t>
      </w:r>
    </w:p>
  </w:comment>
  <w:comment w:id="1" w:author="Sonja Grath" w:date="2025-04-22T11:23:25Z" w:initials="SG">
    <w:p>
      <w:r>
        <w:rPr>
          <w:rFonts w:cs="Lohit Devanagari" w:ascii="Liberation Serif" w:hAnsi="Liberation Serif" w:eastAsia="Noto Serif CJK SC"/>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bidi="hi-IN" w:eastAsia="zh-CN"/>
        </w:rPr>
        <w:t>Correct one?</w:t>
      </w:r>
    </w:p>
  </w:comment>
  <w:comment w:id="2" w:author="Sonja Grath" w:date="2025-04-22T11:24:23Z" w:initials="SG">
    <w:p>
      <w:r>
        <w:rPr>
          <w:rFonts w:cs="Lohit Devanagari" w:ascii="Liberation Serif" w:hAnsi="Liberation Serif" w:eastAsia="Noto Serif CJK SC"/>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bidi="hi-IN" w:eastAsia="zh-CN"/>
        </w:rPr>
        <w:t>Correct one?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Calibri Light">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swiss"/>
    <w:pitch w:val="variable"/>
  </w:font>
  <w:font w:name="Calibri">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sz w:val="24"/>
        <w:szCs w:val="24"/>
      </w:rPr>
    </w:pPr>
    <w:r>
      <w:rPr>
        <w:sz w:val="24"/>
        <w:szCs w:val="24"/>
      </w:rPr>
      <w:fldChar w:fldCharType="begin"/>
    </w:r>
    <w:r>
      <w:rPr>
        <w:sz w:val="24"/>
        <w:szCs w:val="24"/>
      </w:rPr>
      <w:instrText> PAGE </w:instrText>
    </w:r>
    <w:r>
      <w:rPr>
        <w:sz w:val="24"/>
        <w:szCs w:val="24"/>
      </w:rPr>
      <w:fldChar w:fldCharType="separate"/>
    </w:r>
    <w:r>
      <w:rPr>
        <w:sz w:val="24"/>
        <w:szCs w:val="24"/>
      </w:rPr>
      <w:t>2</w:t>
    </w:r>
    <w:r>
      <w:rPr>
        <w:sz w:val="24"/>
        <w:szCs w:val="24"/>
      </w:rPr>
      <w:fldChar w:fldCharType="end"/>
    </w:r>
  </w:p>
</w:ftr>
</file>

<file path=word/settings.xml><?xml version="1.0" encoding="utf-8"?>
<w:settings xmlns:w="http://schemas.openxmlformats.org/wordprocessingml/2006/main">
  <w:zoom w:percent="113"/>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Cs w:val="24"/>
        <w:lang w:val="en-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189a"/>
    <w:pPr>
      <w:widowControl/>
      <w:suppressAutoHyphens w:val="true"/>
      <w:bidi w:val="0"/>
      <w:spacing w:before="0" w:after="0"/>
      <w:jc w:val="left"/>
    </w:pPr>
    <w:rPr>
      <w:rFonts w:ascii="Times New Roman" w:hAnsi="Times New Roman" w:eastAsia="Times New Roman" w:cs="Times New Roman"/>
      <w:color w:val="auto"/>
      <w:kern w:val="0"/>
      <w:sz w:val="24"/>
      <w:szCs w:val="24"/>
      <w:lang w:val="en-DE" w:eastAsia="en-US" w:bidi="ar-SA"/>
      <w14:ligatures w14:val="none"/>
    </w:rPr>
  </w:style>
  <w:style w:type="paragraph" w:styleId="Heading1">
    <w:name w:val="Heading 1"/>
    <w:basedOn w:val="Normal"/>
    <w:next w:val="Normal"/>
    <w:link w:val="Heading1Char"/>
    <w:uiPriority w:val="9"/>
    <w:qFormat/>
    <w:rsid w:val="009a17f6"/>
    <w:pPr>
      <w:keepNext w:val="true"/>
      <w:keepLines/>
      <w:spacing w:before="0" w:after="80"/>
      <w:jc w:val="center"/>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9a17f6"/>
    <w:pPr>
      <w:keepNext w:val="true"/>
      <w:keepLines/>
      <w:spacing w:before="160" w:after="80"/>
      <w:outlineLvl w:val="1"/>
    </w:pPr>
    <w:rPr>
      <w:rFonts w:ascii="Arial" w:hAnsi="Arial"/>
      <w:color w:val="000000"/>
      <w:sz w:val="32"/>
      <w:szCs w:val="32"/>
    </w:rPr>
  </w:style>
  <w:style w:type="paragraph" w:styleId="Heading3">
    <w:name w:val="Heading 3"/>
    <w:basedOn w:val="Normal"/>
    <w:next w:val="Normal"/>
    <w:link w:val="Heading3Char"/>
    <w:uiPriority w:val="9"/>
    <w:unhideWhenUsed/>
    <w:qFormat/>
    <w:rsid w:val="009a17f6"/>
    <w:pPr>
      <w:keepNext w:val="true"/>
      <w:keepLines/>
      <w:outlineLvl w:val="2"/>
    </w:pPr>
    <w:rPr>
      <w:b/>
      <w:bCs/>
      <w:color w:val="000000"/>
    </w:rPr>
  </w:style>
  <w:style w:type="paragraph" w:styleId="Heading4">
    <w:name w:val="Heading 4"/>
    <w:basedOn w:val="Normal"/>
    <w:next w:val="Normal"/>
    <w:link w:val="Heading4Char"/>
    <w:uiPriority w:val="9"/>
    <w:unhideWhenUsed/>
    <w:qFormat/>
    <w:rsid w:val="009a17f6"/>
    <w:pPr>
      <w:keepNext w:val="true"/>
      <w:keepLines/>
      <w:spacing w:before="80" w:after="40"/>
      <w:outlineLvl w:val="3"/>
    </w:pPr>
    <w:rPr>
      <w:rFonts w:eastAsia="" w:cs="" w:cstheme="majorBidi" w:eastAsiaTheme="majorEastAsia"/>
      <w:i/>
      <w:iCs/>
      <w:color w:val="000000" w:themeColor="text1"/>
      <w:u w:val="single"/>
    </w:rPr>
  </w:style>
  <w:style w:type="paragraph" w:styleId="Heading5">
    <w:name w:val="Heading 5"/>
    <w:basedOn w:val="Normal"/>
    <w:next w:val="Normal"/>
    <w:link w:val="Heading5Char"/>
    <w:uiPriority w:val="9"/>
    <w:semiHidden/>
    <w:unhideWhenUsed/>
    <w:qFormat/>
    <w:rsid w:val="009a17f6"/>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9a17f6"/>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9a17f6"/>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9a17f6"/>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9a17f6"/>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a17f6"/>
    <w:rPr>
      <w:rFonts w:ascii="Arial" w:hAnsi="Arial" w:eastAsia="Times New Roman" w:cs="Times New Roman"/>
      <w:b/>
      <w:bCs/>
      <w:color w:val="000000"/>
      <w:sz w:val="28"/>
      <w:szCs w:val="28"/>
      <w:lang w:val="en-US"/>
    </w:rPr>
  </w:style>
  <w:style w:type="character" w:styleId="Heading2Char" w:customStyle="1">
    <w:name w:val="Heading 2 Char"/>
    <w:basedOn w:val="DefaultParagraphFont"/>
    <w:link w:val="Heading2"/>
    <w:uiPriority w:val="9"/>
    <w:qFormat/>
    <w:rsid w:val="009a17f6"/>
    <w:rPr>
      <w:rFonts w:ascii="Arial" w:hAnsi="Arial" w:eastAsia="Times New Roman" w:cs="Times New Roman"/>
      <w:color w:val="000000"/>
      <w:sz w:val="32"/>
      <w:szCs w:val="32"/>
      <w:lang w:val="en-US"/>
    </w:rPr>
  </w:style>
  <w:style w:type="character" w:styleId="Heading3Char" w:customStyle="1">
    <w:name w:val="Heading 3 Char"/>
    <w:basedOn w:val="DefaultParagraphFont"/>
    <w:link w:val="Heading3"/>
    <w:uiPriority w:val="9"/>
    <w:qFormat/>
    <w:rsid w:val="009a17f6"/>
    <w:rPr>
      <w:rFonts w:ascii="Times New Roman" w:hAnsi="Times New Roman" w:eastAsia="Times New Roman" w:cs="Times New Roman"/>
      <w:b/>
      <w:bCs/>
      <w:color w:val="000000"/>
      <w:lang w:val="en-US"/>
    </w:rPr>
  </w:style>
  <w:style w:type="character" w:styleId="Heading4Char" w:customStyle="1">
    <w:name w:val="Heading 4 Char"/>
    <w:basedOn w:val="DefaultParagraphFont"/>
    <w:link w:val="Heading4"/>
    <w:uiPriority w:val="9"/>
    <w:qFormat/>
    <w:rsid w:val="009a17f6"/>
    <w:rPr>
      <w:rFonts w:ascii="Times New Roman" w:hAnsi="Times New Roman" w:eastAsia="" w:cs="" w:cstheme="majorBidi" w:eastAsiaTheme="majorEastAsia"/>
      <w:i/>
      <w:iCs/>
      <w:color w:val="000000" w:themeColor="text1"/>
      <w:u w:val="single"/>
      <w:lang w:val="en-US"/>
    </w:rPr>
  </w:style>
  <w:style w:type="character" w:styleId="Heading5Char" w:customStyle="1">
    <w:name w:val="Heading 5 Char"/>
    <w:basedOn w:val="DefaultParagraphFont"/>
    <w:link w:val="Heading5"/>
    <w:uiPriority w:val="9"/>
    <w:semiHidden/>
    <w:qFormat/>
    <w:rsid w:val="009a17f6"/>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9a17f6"/>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9a17f6"/>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9a17f6"/>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9a17f6"/>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9a17f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a17f6"/>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9a17f6"/>
    <w:rPr>
      <w:i/>
      <w:iCs/>
      <w:color w:val="404040" w:themeColor="text1" w:themeTint="bf"/>
    </w:rPr>
  </w:style>
  <w:style w:type="character" w:styleId="IntenseEmphasis">
    <w:name w:val="Intense Emphasis"/>
    <w:basedOn w:val="DefaultParagraphFont"/>
    <w:uiPriority w:val="21"/>
    <w:qFormat/>
    <w:rsid w:val="009a17f6"/>
    <w:rPr>
      <w:i/>
      <w:iCs/>
      <w:color w:val="2F5496" w:themeColor="accent1" w:themeShade="bf"/>
    </w:rPr>
  </w:style>
  <w:style w:type="character" w:styleId="IntenseQuoteChar" w:customStyle="1">
    <w:name w:val="Intense Quote Char"/>
    <w:basedOn w:val="DefaultParagraphFont"/>
    <w:link w:val="IntenseQuote"/>
    <w:uiPriority w:val="30"/>
    <w:qFormat/>
    <w:rsid w:val="009a17f6"/>
    <w:rPr>
      <w:i/>
      <w:iCs/>
      <w:color w:val="2F5496" w:themeColor="accent1" w:themeShade="bf"/>
    </w:rPr>
  </w:style>
  <w:style w:type="character" w:styleId="IntenseReference">
    <w:name w:val="Intense Reference"/>
    <w:basedOn w:val="DefaultParagraphFont"/>
    <w:uiPriority w:val="32"/>
    <w:qFormat/>
    <w:rsid w:val="009a17f6"/>
    <w:rPr>
      <w:b/>
      <w:bCs/>
      <w:smallCaps/>
      <w:color w:val="2F5496" w:themeColor="accent1" w:themeShade="bf"/>
      <w:spacing w:val="5"/>
    </w:rPr>
  </w:style>
  <w:style w:type="character" w:styleId="Appleconvertedspace" w:customStyle="1">
    <w:name w:val="apple-converted-space"/>
    <w:basedOn w:val="DefaultParagraphFont"/>
    <w:qFormat/>
    <w:rsid w:val="009a17f6"/>
    <w:rPr/>
  </w:style>
  <w:style w:type="character" w:styleId="Linenumber">
    <w:name w:val="line number"/>
    <w:basedOn w:val="DefaultParagraphFont"/>
    <w:uiPriority w:val="99"/>
    <w:semiHidden/>
    <w:unhideWhenUsed/>
    <w:qFormat/>
    <w:rsid w:val="009a17f6"/>
    <w:rPr/>
  </w:style>
  <w:style w:type="character" w:styleId="Annotationreference">
    <w:name w:val="annotation reference"/>
    <w:basedOn w:val="DefaultParagraphFont"/>
    <w:uiPriority w:val="99"/>
    <w:semiHidden/>
    <w:unhideWhenUsed/>
    <w:qFormat/>
    <w:rsid w:val="009a17f6"/>
    <w:rPr>
      <w:sz w:val="16"/>
      <w:szCs w:val="16"/>
    </w:rPr>
  </w:style>
  <w:style w:type="character" w:styleId="CommentTextChar" w:customStyle="1">
    <w:name w:val="Comment Text Char"/>
    <w:basedOn w:val="DefaultParagraphFont"/>
    <w:link w:val="CommentText"/>
    <w:uiPriority w:val="99"/>
    <w:semiHidden/>
    <w:qFormat/>
    <w:rsid w:val="009a17f6"/>
    <w:rPr>
      <w:rFonts w:ascii="Times New Roman" w:hAnsi="Times New Roman" w:eastAsia="Times New Roman" w:cs="Times New Roman"/>
      <w:sz w:val="20"/>
      <w:szCs w:val="20"/>
      <w:lang w:val="en-US"/>
    </w:rPr>
  </w:style>
  <w:style w:type="character" w:styleId="CommentSubjectChar" w:customStyle="1">
    <w:name w:val="Comment Subject Char"/>
    <w:basedOn w:val="CommentTextChar"/>
    <w:link w:val="CommentSubject"/>
    <w:uiPriority w:val="99"/>
    <w:semiHidden/>
    <w:qFormat/>
    <w:rsid w:val="009a17f6"/>
    <w:rPr>
      <w:rFonts w:ascii="Times New Roman" w:hAnsi="Times New Roman" w:eastAsia="Times New Roman" w:cs="Times New Roman"/>
      <w:b/>
      <w:bCs/>
      <w:sz w:val="20"/>
      <w:szCs w:val="20"/>
      <w:lang w:val="en-US"/>
    </w:rPr>
  </w:style>
  <w:style w:type="character" w:styleId="InternetLink">
    <w:name w:val="Hyperlink"/>
    <w:basedOn w:val="DefaultParagraphFont"/>
    <w:uiPriority w:val="99"/>
    <w:semiHidden/>
    <w:unhideWhenUsed/>
    <w:rsid w:val="0073499f"/>
    <w:rPr>
      <w:color w:val="0000FF"/>
      <w:u w:val="single"/>
    </w:rPr>
  </w:style>
  <w:style w:type="character" w:styleId="HeaderChar" w:customStyle="1">
    <w:name w:val="Header Char"/>
    <w:basedOn w:val="DefaultParagraphFont"/>
    <w:link w:val="Header"/>
    <w:uiPriority w:val="99"/>
    <w:qFormat/>
    <w:rsid w:val="0073499f"/>
    <w:rPr>
      <w:rFonts w:ascii="Times New Roman" w:hAnsi="Times New Roman" w:eastAsia="Times New Roman" w:cs="Times New Roman"/>
      <w:lang w:val="en-US"/>
    </w:rPr>
  </w:style>
  <w:style w:type="character" w:styleId="Pagenumber">
    <w:name w:val="page number"/>
    <w:basedOn w:val="DefaultParagraphFont"/>
    <w:uiPriority w:val="99"/>
    <w:semiHidden/>
    <w:unhideWhenUsed/>
    <w:qFormat/>
    <w:rsid w:val="0073499f"/>
    <w:rPr/>
  </w:style>
  <w:style w:type="character" w:styleId="FooterChar" w:customStyle="1">
    <w:name w:val="Footer Char"/>
    <w:basedOn w:val="DefaultParagraphFont"/>
    <w:link w:val="Footer"/>
    <w:uiPriority w:val="99"/>
    <w:qFormat/>
    <w:rsid w:val="00201498"/>
    <w:rPr>
      <w:rFonts w:ascii="Times New Roman" w:hAnsi="Times New Roman" w:eastAsia="Times New Roman" w:cs="Times New Roman"/>
      <w:lang w:val="en-US"/>
    </w:rPr>
  </w:style>
  <w:style w:type="character" w:styleId="Strong">
    <w:name w:val="Strong"/>
    <w:basedOn w:val="DefaultParagraphFont"/>
    <w:uiPriority w:val="22"/>
    <w:qFormat/>
    <w:rsid w:val="00396390"/>
    <w:rPr>
      <w:b/>
      <w:bCs/>
    </w:rPr>
  </w:style>
  <w:style w:type="character" w:styleId="LineNumbering" w:customStyle="1">
    <w:name w:val="Line Numbering"/>
    <w:rPr/>
  </w:style>
  <w:style w:type="character" w:styleId="SourceText">
    <w:name w:val="Source Text"/>
    <w:qFormat/>
    <w:rPr>
      <w:rFonts w:ascii="Liberation Mono" w:hAnsi="Liberation Mono" w:eastAsia="Noto Sans Mono CJK SC" w:cs="Liberation Mono"/>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next w:val="Normal"/>
    <w:uiPriority w:val="35"/>
    <w:unhideWhenUsed/>
    <w:qFormat/>
    <w:rsid w:val="009a17f6"/>
    <w:pPr>
      <w:spacing w:before="0" w:after="200"/>
    </w:pPr>
    <w:rPr>
      <w:color w:val="000000" w:themeColor="text1"/>
      <w:sz w:val="22"/>
      <w:szCs w:val="22"/>
    </w:rPr>
  </w:style>
  <w:style w:type="paragraph" w:styleId="Title">
    <w:name w:val="Title"/>
    <w:basedOn w:val="Normal"/>
    <w:next w:val="Normal"/>
    <w:link w:val="TitleChar"/>
    <w:uiPriority w:val="10"/>
    <w:qFormat/>
    <w:rsid w:val="009a17f6"/>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a17f6"/>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9a17f6"/>
    <w:pPr>
      <w:spacing w:before="160" w:after="160"/>
      <w:jc w:val="center"/>
    </w:pPr>
    <w:rPr>
      <w:i/>
      <w:iCs/>
      <w:color w:val="404040" w:themeColor="text1" w:themeTint="bf"/>
    </w:rPr>
  </w:style>
  <w:style w:type="paragraph" w:styleId="ListParagraph">
    <w:name w:val="List Paragraph"/>
    <w:basedOn w:val="Normal"/>
    <w:uiPriority w:val="34"/>
    <w:qFormat/>
    <w:rsid w:val="009a17f6"/>
    <w:pPr>
      <w:spacing w:before="0" w:after="0"/>
      <w:ind w:left="720" w:hanging="0"/>
      <w:contextualSpacing/>
    </w:pPr>
    <w:rPr/>
  </w:style>
  <w:style w:type="paragraph" w:styleId="IntenseQuote">
    <w:name w:val="Intense Quote"/>
    <w:basedOn w:val="Normal"/>
    <w:next w:val="Normal"/>
    <w:link w:val="IntenseQuoteChar"/>
    <w:uiPriority w:val="30"/>
    <w:qFormat/>
    <w:rsid w:val="009a17f6"/>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Annotationtext">
    <w:name w:val="annotation text"/>
    <w:basedOn w:val="Normal"/>
    <w:link w:val="CommentTextChar"/>
    <w:uiPriority w:val="99"/>
    <w:semiHidden/>
    <w:unhideWhenUsed/>
    <w:qFormat/>
    <w:rsid w:val="009a17f6"/>
    <w:pPr/>
    <w:rPr>
      <w:sz w:val="20"/>
      <w:szCs w:val="20"/>
    </w:rPr>
  </w:style>
  <w:style w:type="paragraph" w:styleId="Annotationsubject">
    <w:name w:val="annotation subject"/>
    <w:basedOn w:val="Annotationtext"/>
    <w:next w:val="Annotationtext"/>
    <w:link w:val="CommentSubjectChar"/>
    <w:uiPriority w:val="99"/>
    <w:semiHidden/>
    <w:unhideWhenUsed/>
    <w:qFormat/>
    <w:rsid w:val="009a17f6"/>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73499f"/>
    <w:pPr>
      <w:suppressLineNumbers/>
      <w:tabs>
        <w:tab w:val="clear" w:pos="720"/>
        <w:tab w:val="center" w:pos="4680" w:leader="none"/>
        <w:tab w:val="right" w:pos="9360" w:leader="none"/>
      </w:tabs>
    </w:pPr>
    <w:rPr/>
  </w:style>
  <w:style w:type="paragraph" w:styleId="Footer">
    <w:name w:val="Footer"/>
    <w:basedOn w:val="Normal"/>
    <w:link w:val="FooterChar"/>
    <w:uiPriority w:val="99"/>
    <w:unhideWhenUsed/>
    <w:rsid w:val="00201498"/>
    <w:pPr>
      <w:suppressLineNumbers/>
      <w:tabs>
        <w:tab w:val="clear" w:pos="720"/>
        <w:tab w:val="center" w:pos="4680" w:leader="none"/>
        <w:tab w:val="right" w:pos="9360" w:leader="none"/>
      </w:tabs>
    </w:pPr>
    <w:rPr/>
  </w:style>
  <w:style w:type="paragraph" w:styleId="Revision">
    <w:name w:val="Revision"/>
    <w:uiPriority w:val="99"/>
    <w:semiHidden/>
    <w:qFormat/>
    <w:rsid w:val="004767cb"/>
    <w:pPr>
      <w:widowControl/>
      <w:suppressAutoHyphens w:val="true"/>
      <w:bidi w:val="0"/>
      <w:spacing w:before="0" w:after="0"/>
      <w:jc w:val="left"/>
    </w:pPr>
    <w:rPr>
      <w:rFonts w:ascii="Times New Roman" w:hAnsi="Times New Roman" w:eastAsia="Times New Roman" w:cs="Times New Roman"/>
      <w:color w:val="auto"/>
      <w:kern w:val="0"/>
      <w:sz w:val="24"/>
      <w:szCs w:val="24"/>
      <w:lang w:val="en-DE" w:eastAsia="en-US" w:bidi="ar-SA"/>
      <w14:ligatures w14:val="none"/>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9a17f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image" Target="media/image1.wmf"/><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wmf"/><Relationship Id="rId13" Type="http://schemas.openxmlformats.org/officeDocument/2006/relationships/image" Target="media/image11.wmf"/><Relationship Id="rId14" Type="http://schemas.openxmlformats.org/officeDocument/2006/relationships/footer" Target="footer1.xml"/><Relationship Id="rId15" Type="http://schemas.openxmlformats.org/officeDocument/2006/relationships/comments" Target="comments.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name="Tema1">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ema1" id="{6188CA90-4FBF-B144-8161-12A6C2149267}" vid="{9F058435-3E4D-EB47-8D0A-9A3C7F1815E3}"/>
    </a:ext>
  </a:extLst>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LibreOffice/6.4.7.2$Linux_X86_64 LibreOffice_project/40$Build-2</Application>
  <Pages>32</Pages>
  <Words>8394</Words>
  <Characters>50140</Characters>
  <CharactersWithSpaces>57864</CharactersWithSpaces>
  <Paragraphs>692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2025-04-18T16:01:00Z</dcterms:created>
  <dc:creator>vera m. yılmaz</dc:creator>
  <dc:description/>
  <dc:language>en-GB</dc:language>
  <cp:lastModifiedBy>Sonja Grath</cp:lastModifiedBy>
  <cp:lastPrinted>2024-08-01T11:30:00Z</cp:lastPrinted>
  <dcterms:modified xsi:type="dcterms:W3CDTF">2025-04-23T14:18:47Z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