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NBDA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9"/>
        <w:gridCol w:w="3345"/>
        <w:gridCol w:w="1132"/>
        <w:gridCol w:w="1291"/>
        <w:gridCol w:w="129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Rhat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 asocial learning 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transmission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social transmission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Age/sex [adult male]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Age/sex [juvenile female]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Age/sex [juvenile male]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Agonistic tendencies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Sampling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Reactivity to humans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[asocial]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Vole burrow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Age/sex [adult male]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Age/sex [juvenile female]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Age/sex [juvenile male]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[social]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Sampling opportunity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2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ILV [social]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Vole burrow prevalence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2026-08-05T14:04:52Z</dcterms:modified>
  <cp:category/>
</cp:coreProperties>
</file>