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05"/>
        <w:gridCol w:w="1426"/>
        <w:gridCol w:w="1792"/>
        <w:gridCol w:w="1792"/>
        <w:gridCol w:w="96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R̂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 carnivory (adult reference)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(juvenile vs adult)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(male vs female),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Reactivity to humans,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Agonistic tendency (PCA),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Vole burrow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Evidence (trap no sample vs observation)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Evidence (trap with sample vs observation)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2026-08-05T09:33:38Z</dcterms:modified>
  <cp:category/>
</cp:coreProperties>
</file>