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53"/>
        <w:gridCol w:w="1963"/>
        <w:gridCol w:w="1792"/>
        <w:gridCol w:w="1792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Odds ratio (OR)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95% CI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256.71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solves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22.18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Boldness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43.51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(J:A)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 (M:F)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13.82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# training solves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</w:tr>
      <w:tr>
        <w:trPr>
          <w:trHeight w:val="615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Conspecific presence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</w:tr>
      <w:tr>
        <w:trPr>
          <w:trHeight w:val="617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solves (log) × Boldness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2026-07-27T11:26:05Z</dcterms:modified>
  <cp:category/>
</cp:coreProperties>
</file>