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48"/>
        <w:gridCol w:w="1963"/>
        <w:gridCol w:w="1792"/>
        <w:gridCol w:w="1792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Odds ratio (OR)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95% CI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[contra]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# training solves (log)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× Boldness [contra]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6.89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# training solves (log) [ipsi]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× Boldness [ipsi]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2026-03-27T21:24:26Z</dcterms:modified>
  <cp:category/>
</cp:coreProperties>
</file>