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HOW TO FILL THE SUSPECTED ADR REPORTING FORM</w:t>
      </w:r>
    </w:p>
    <w:p>
      <w:pPr>
        <w:jc w:val="center"/>
      </w:pPr>
      <w:r>
        <w:rPr>
          <w:b/>
          <w:sz w:val="24"/>
        </w:rPr>
        <w:t>Step-by-Step Guide • PvPI / Indian Pharmacopoeia Commission</w:t>
      </w:r>
    </w:p>
    <w:p>
      <w:r>
        <w:rPr>
          <w:b/>
        </w:rPr>
        <w:t xml:space="preserve">Video: </w:t>
      </w:r>
      <w:r>
        <w:t>How to fill ADR form? Step by Step Guide</w:t>
        <w:br/>
      </w:r>
      <w:r>
        <w:rPr>
          <w:b/>
        </w:rPr>
        <w:t xml:space="preserve">YouTube link: </w:t>
      </w:r>
      <w:r>
        <w:t>https://youtu.be/ShJ-SXC1qNc</w:t>
      </w:r>
    </w:p>
    <w:p>
      <w:r>
        <w:rPr>
          <w:b/>
        </w:rPr>
        <w:t xml:space="preserve">Extraction note: </w:t>
      </w:r>
      <w:r>
        <w:t>The YouTube page identifies the video as a step-by-step guide to filling an ADR form, but the available web interface did not expose the complete spoken transcript or every on-screen example. The notes below therefore reconstruct the practical workflow from the video topic and the current official PvPI Version 1.4 ADR form, with the form fields checked against the Indian Pharmacopoeia Commission source.</w:t>
      </w:r>
    </w:p>
    <w:p>
      <w:pPr>
        <w:pStyle w:val="Heading1"/>
      </w:pPr>
      <w:r>
        <w:t>1. What is an ADR Reporting Form?</w:t>
      </w:r>
    </w:p>
    <w:p>
      <w:r>
        <w:t>The Suspected Adverse Drug Reaction (ADR) Reporting Form is used for voluntary reporting of suspected adverse drug reactions to the Pharmacovigilance Programme of India (PvPI). The current healthcare-professional form contains patient information, suspected reaction, suspected medication(s), concomitant medicines, investigations, medical history and reporter details.</w:t>
      </w:r>
    </w:p>
    <w:p>
      <w:pPr>
        <w:pStyle w:val="Heading1"/>
      </w:pPr>
      <w:r>
        <w:t>2. Important Rule Before Filling the Form</w:t>
      </w:r>
    </w:p>
    <w:p>
      <w:pPr>
        <w:pStyle w:val="ListBullet"/>
      </w:pPr>
      <w:r>
        <w:t>Report a suspected ADR even when a causal relationship has not been proven.</w:t>
      </w:r>
    </w:p>
    <w:p>
      <w:pPr>
        <w:pStyle w:val="ListBullet"/>
      </w:pPr>
      <w:r>
        <w:t>Use patient initials rather than the patient's full name on the form.</w:t>
      </w:r>
    </w:p>
    <w:p>
      <w:pPr>
        <w:pStyle w:val="ListBullet"/>
      </w:pPr>
      <w:r>
        <w:t>Record dates, doses, routes, frequency and therapy duration as accurately as possible.</w:t>
      </w:r>
    </w:p>
    <w:p>
      <w:pPr>
        <w:pStyle w:val="ListBullet"/>
      </w:pPr>
      <w:r>
        <w:t>Do not leave important information blank when it is available; use appropriate options such as unknown/not applicable where provided.</w:t>
      </w:r>
    </w:p>
    <w:p>
      <w:pPr>
        <w:pStyle w:val="ListBullet"/>
      </w:pPr>
      <w:r>
        <w:t>Describe the event chronologically and objectively—avoid unsupported conclusions.</w:t>
      </w:r>
    </w:p>
    <w:p>
      <w:pPr>
        <w:pStyle w:val="ListBullet"/>
      </w:pPr>
      <w:r>
        <w:t>Patient identity is kept confidential under the PvPI reporting system.</w:t>
      </w:r>
    </w:p>
    <w:p>
      <w:pPr>
        <w:pStyle w:val="Heading1"/>
      </w:pPr>
      <w:r>
        <w:t>3. Section A — Patient Information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Field</w:t>
            </w:r>
          </w:p>
        </w:tc>
        <w:tc>
          <w:tcPr>
            <w:tcW w:type="dxa" w:w="3408"/>
          </w:tcPr>
          <w:p>
            <w:r>
              <w:t>What to enter</w:t>
            </w:r>
          </w:p>
        </w:tc>
        <w:tc>
          <w:tcPr>
            <w:tcW w:type="dxa" w:w="3408"/>
          </w:tcPr>
          <w:p>
            <w:r>
              <w:t>Example</w:t>
            </w:r>
          </w:p>
        </w:tc>
      </w:tr>
      <w:tr>
        <w:tc>
          <w:tcPr>
            <w:tcW w:type="dxa" w:w="3408"/>
          </w:tcPr>
          <w:p>
            <w:r>
              <w:t>Patient initials</w:t>
            </w:r>
          </w:p>
        </w:tc>
        <w:tc>
          <w:tcPr>
            <w:tcW w:type="dxa" w:w="3408"/>
          </w:tcPr>
          <w:p>
            <w:r>
              <w:t>Initials only; do not write the full name.</w:t>
            </w:r>
          </w:p>
        </w:tc>
        <w:tc>
          <w:tcPr>
            <w:tcW w:type="dxa" w:w="3408"/>
          </w:tcPr>
          <w:p>
            <w:r>
              <w:t>S.B.</w:t>
            </w:r>
          </w:p>
        </w:tc>
      </w:tr>
      <w:tr>
        <w:tc>
          <w:tcPr>
            <w:tcW w:type="dxa" w:w="3408"/>
          </w:tcPr>
          <w:p>
            <w:r>
              <w:t>Age / date of birth</w:t>
            </w:r>
          </w:p>
        </w:tc>
        <w:tc>
          <w:tcPr>
            <w:tcW w:type="dxa" w:w="3408"/>
          </w:tcPr>
          <w:p>
            <w:r>
              <w:t>Age at the time of the reaction or DOB.</w:t>
            </w:r>
          </w:p>
        </w:tc>
        <w:tc>
          <w:tcPr>
            <w:tcW w:type="dxa" w:w="3408"/>
          </w:tcPr>
          <w:p>
            <w:r>
              <w:t>22 years</w:t>
            </w:r>
          </w:p>
        </w:tc>
      </w:tr>
      <w:tr>
        <w:tc>
          <w:tcPr>
            <w:tcW w:type="dxa" w:w="3408"/>
          </w:tcPr>
          <w:p>
            <w:r>
              <w:t>Gender</w:t>
            </w:r>
          </w:p>
        </w:tc>
        <w:tc>
          <w:tcPr>
            <w:tcW w:type="dxa" w:w="3408"/>
          </w:tcPr>
          <w:p>
            <w:r>
              <w:t>Tick Male, Female or Other as applicable.</w:t>
            </w:r>
          </w:p>
        </w:tc>
        <w:tc>
          <w:tcPr>
            <w:tcW w:type="dxa" w:w="3408"/>
          </w:tcPr>
          <w:p>
            <w:r>
              <w:t>Female</w:t>
            </w:r>
          </w:p>
        </w:tc>
      </w:tr>
      <w:tr>
        <w:tc>
          <w:tcPr>
            <w:tcW w:type="dxa" w:w="3408"/>
          </w:tcPr>
          <w:p>
            <w:r>
              <w:t>Weight</w:t>
            </w:r>
          </w:p>
        </w:tc>
        <w:tc>
          <w:tcPr>
            <w:tcW w:type="dxa" w:w="3408"/>
          </w:tcPr>
          <w:p>
            <w:r>
              <w:t>Weight in kg, when known/relevant.</w:t>
            </w:r>
          </w:p>
        </w:tc>
        <w:tc>
          <w:tcPr>
            <w:tcW w:type="dxa" w:w="3408"/>
          </w:tcPr>
          <w:p>
            <w:r>
              <w:t>65 kg</w:t>
            </w:r>
          </w:p>
        </w:tc>
      </w:tr>
      <w:tr>
        <w:tc>
          <w:tcPr>
            <w:tcW w:type="dxa" w:w="3408"/>
          </w:tcPr>
          <w:p>
            <w:r>
              <w:t>Reg./IPD/OPD/CR No.</w:t>
            </w:r>
          </w:p>
        </w:tc>
        <w:tc>
          <w:tcPr>
            <w:tcW w:type="dxa" w:w="3408"/>
          </w:tcPr>
          <w:p>
            <w:r>
              <w:t>Relevant hospital/clinical record number, if applicable.</w:t>
            </w:r>
          </w:p>
        </w:tc>
        <w:tc>
          <w:tcPr>
            <w:tcW w:type="dxa" w:w="3408"/>
          </w:tcPr>
          <w:p>
            <w:r>
              <w:t>OPD 2451</w:t>
            </w:r>
          </w:p>
        </w:tc>
      </w:tr>
      <w:tr>
        <w:tc>
          <w:tcPr>
            <w:tcW w:type="dxa" w:w="3408"/>
          </w:tcPr>
          <w:p>
            <w:r>
              <w:t>Initial / Follow-up case</w:t>
            </w:r>
          </w:p>
        </w:tc>
        <w:tc>
          <w:tcPr>
            <w:tcW w:type="dxa" w:w="3408"/>
          </w:tcPr>
          <w:p>
            <w:r>
              <w:t>Identify whether this is a new initial report or follow-up information.</w:t>
            </w:r>
          </w:p>
        </w:tc>
        <w:tc>
          <w:tcPr>
            <w:tcW w:type="dxa" w:w="3408"/>
          </w:tcPr>
          <w:p>
            <w:r>
              <w:t>Initial</w:t>
            </w:r>
          </w:p>
        </w:tc>
      </w:tr>
    </w:tbl>
    <w:p>
      <w:pPr>
        <w:pStyle w:val="Heading1"/>
      </w:pPr>
      <w:r>
        <w:t>4. Section B — Suspected Adverse Reaction</w:t>
      </w:r>
    </w:p>
    <w:tbl>
      <w:tblPr>
        <w:tblStyle w:val="TableGrid"/>
        <w:tblW w:type="auto" w:w="0"/>
        <w:tblLook w:firstColumn="1" w:firstRow="1" w:lastColumn="0" w:lastRow="0" w:noHBand="0" w:noVBand="1" w:val="04A0"/>
      </w:tblPr>
      <w:tblGrid>
        <w:gridCol w:w="5112"/>
        <w:gridCol w:w="5112"/>
      </w:tblGrid>
      <w:tr>
        <w:tc>
          <w:tcPr>
            <w:tcW w:type="dxa" w:w="5112"/>
          </w:tcPr>
          <w:p>
            <w:r>
              <w:t>Field</w:t>
            </w:r>
          </w:p>
        </w:tc>
        <w:tc>
          <w:tcPr>
            <w:tcW w:type="dxa" w:w="5112"/>
          </w:tcPr>
          <w:p>
            <w:r>
              <w:t>How to complete</w:t>
            </w:r>
          </w:p>
        </w:tc>
      </w:tr>
      <w:tr>
        <w:tc>
          <w:tcPr>
            <w:tcW w:type="dxa" w:w="5112"/>
          </w:tcPr>
          <w:p>
            <w:r>
              <w:t>Reaction start date</w:t>
            </w:r>
          </w:p>
        </w:tc>
        <w:tc>
          <w:tcPr>
            <w:tcW w:type="dxa" w:w="5112"/>
          </w:tcPr>
          <w:p>
            <w:r>
              <w:t>Enter the date on which the suspected reaction began.</w:t>
            </w:r>
          </w:p>
        </w:tc>
      </w:tr>
      <w:tr>
        <w:tc>
          <w:tcPr>
            <w:tcW w:type="dxa" w:w="5112"/>
          </w:tcPr>
          <w:p>
            <w:r>
              <w:t>Reaction stop date</w:t>
            </w:r>
          </w:p>
        </w:tc>
        <w:tc>
          <w:tcPr>
            <w:tcW w:type="dxa" w:w="5112"/>
          </w:tcPr>
          <w:p>
            <w:r>
              <w:t>Enter the date it stopped/recovered, if known. If ongoing, do not invent a date.</w:t>
            </w:r>
          </w:p>
        </w:tc>
      </w:tr>
      <w:tr>
        <w:tc>
          <w:tcPr>
            <w:tcW w:type="dxa" w:w="5112"/>
          </w:tcPr>
          <w:p>
            <w:r>
              <w:t>Describe the reaction</w:t>
            </w:r>
          </w:p>
        </w:tc>
        <w:tc>
          <w:tcPr>
            <w:tcW w:type="dxa" w:w="5112"/>
          </w:tcPr>
          <w:p>
            <w:r>
              <w:t>Give a clear chronological description: symptoms/signs, onset, severity, treatment/management and clinical course.</w:t>
            </w:r>
          </w:p>
        </w:tc>
      </w:tr>
      <w:tr>
        <w:tc>
          <w:tcPr>
            <w:tcW w:type="dxa" w:w="5112"/>
          </w:tcPr>
          <w:p>
            <w:r>
              <w:t>Relevant investigations</w:t>
            </w:r>
          </w:p>
        </w:tc>
        <w:tc>
          <w:tcPr>
            <w:tcW w:type="dxa" w:w="5112"/>
          </w:tcPr>
          <w:p>
            <w:r>
              <w:t>Record relevant laboratory/diagnostic tests and their dates, especially objective findings supporting the event.</w:t>
            </w:r>
          </w:p>
        </w:tc>
      </w:tr>
      <w:tr>
        <w:tc>
          <w:tcPr>
            <w:tcW w:type="dxa" w:w="5112"/>
          </w:tcPr>
          <w:p>
            <w:r>
              <w:t>Medical/medication history</w:t>
            </w:r>
          </w:p>
        </w:tc>
        <w:tc>
          <w:tcPr>
            <w:tcW w:type="dxa" w:w="5112"/>
          </w:tcPr>
          <w:p>
            <w:r>
              <w:t>Include relevant allergies, pregnancy status where relevant, hepatic/renal dysfunction and other factors that may affect assessment.</w:t>
            </w:r>
          </w:p>
        </w:tc>
      </w:tr>
      <w:tr>
        <w:tc>
          <w:tcPr>
            <w:tcW w:type="dxa" w:w="5112"/>
          </w:tcPr>
          <w:p>
            <w:r>
              <w:t>Seriousness</w:t>
            </w:r>
          </w:p>
        </w:tc>
        <w:tc>
          <w:tcPr>
            <w:tcW w:type="dxa" w:w="5112"/>
          </w:tcPr>
          <w:p>
            <w:r>
              <w:t>Tick the applicable seriousness criterion if the reaction was serious: death, life-threatening event, hospitalization/prolongation, disability, congenital anomaly or other medically important event.</w:t>
            </w:r>
          </w:p>
        </w:tc>
      </w:tr>
      <w:tr>
        <w:tc>
          <w:tcPr>
            <w:tcW w:type="dxa" w:w="5112"/>
          </w:tcPr>
          <w:p>
            <w:r>
              <w:t>Outcome</w:t>
            </w:r>
          </w:p>
        </w:tc>
        <w:tc>
          <w:tcPr>
            <w:tcW w:type="dxa" w:w="5112"/>
          </w:tcPr>
          <w:p>
            <w:r>
              <w:t>Select recovered, recovering, not recovered, fatal, recovered with sequelae or unknown, as applicable.</w:t>
            </w:r>
          </w:p>
        </w:tc>
      </w:tr>
    </w:tbl>
    <w:p>
      <w:pPr>
        <w:pStyle w:val="Heading1"/>
      </w:pPr>
      <w:r>
        <w:t>5. Section C — Suspected Medication(s)</w:t>
      </w:r>
    </w:p>
    <w:p>
      <w:r>
        <w:t>This is one of the most important sections. Enter every medicine suspected of contributing to the reaction, using the information available.</w:t>
      </w:r>
    </w:p>
    <w:p>
      <w:pPr>
        <w:pStyle w:val="ListBullet"/>
      </w:pPr>
      <w:r>
        <w:t>Name: brand name and/or generic name.</w:t>
      </w:r>
    </w:p>
    <w:p>
      <w:pPr>
        <w:pStyle w:val="ListBullet"/>
      </w:pPr>
      <w:r>
        <w:t>Manufacturer: if known.</w:t>
      </w:r>
    </w:p>
    <w:p>
      <w:pPr>
        <w:pStyle w:val="ListBullet"/>
      </w:pPr>
      <w:r>
        <w:t>Batch/Lot number: if known, particularly useful for product-quality investigations.</w:t>
      </w:r>
    </w:p>
    <w:p>
      <w:pPr>
        <w:pStyle w:val="ListBullet"/>
      </w:pPr>
      <w:r>
        <w:t>Expiry date: if known.</w:t>
      </w:r>
    </w:p>
    <w:p>
      <w:pPr>
        <w:pStyle w:val="ListBullet"/>
      </w:pPr>
      <w:r>
        <w:t>Dose used: exact dose where available.</w:t>
      </w:r>
    </w:p>
    <w:p>
      <w:pPr>
        <w:pStyle w:val="ListBullet"/>
      </w:pPr>
      <w:r>
        <w:t>Route: oral, IV, IM, topical, etc.</w:t>
      </w:r>
    </w:p>
    <w:p>
      <w:pPr>
        <w:pStyle w:val="ListBullet"/>
      </w:pPr>
      <w:r>
        <w:t>Frequency: OD, BD, TDS, etc., as applicable.</w:t>
      </w:r>
    </w:p>
    <w:p>
      <w:pPr>
        <w:pStyle w:val="ListBullet"/>
      </w:pPr>
      <w:r>
        <w:t>Therapy dates: date started and date stopped.</w:t>
      </w:r>
    </w:p>
    <w:p>
      <w:pPr>
        <w:pStyle w:val="ListBullet"/>
      </w:pPr>
      <w:r>
        <w:t>Indication: why the medicine was prescribed/used.</w:t>
      </w:r>
    </w:p>
    <w:p>
      <w:pPr>
        <w:pStyle w:val="ListBullet"/>
      </w:pPr>
      <w:r>
        <w:t>Causality assessment: record the applicable assessment according to the method used by the reporting/clinical system.</w:t>
      </w:r>
    </w:p>
    <w:p>
      <w:pPr>
        <w:pStyle w:val="Heading1"/>
      </w:pPr>
      <w:r>
        <w:t>6. Section 9 — Action Taken After the Reaction</w:t>
      </w:r>
    </w:p>
    <w:p>
      <w:r>
        <w:t>For each suspected medicine, indicate what happened to the treatment after the reaction. Options on the current form include drug withdrawn, dose increased, dose reduced, dose not changed, not applicable or unknown.</w:t>
      </w:r>
    </w:p>
    <w:p>
      <w:pPr>
        <w:pStyle w:val="Heading1"/>
      </w:pPr>
      <w:r>
        <w:t>7. Section 10 — Rechallenge / Reappearance</w:t>
      </w:r>
    </w:p>
    <w:p>
      <w:r>
        <w:t>Record whether the reaction reappeared after the suspected medication was reintroduced. The form provides Yes, No or Effect unknown, with the reintroduced dose where applicable. Rechallenge should never be undertaken simply to prove causality when doing so would put the patient at unreasonable risk, particularly after a serious reaction.</w:t>
      </w:r>
    </w:p>
    <w:p>
      <w:pPr>
        <w:pStyle w:val="Heading1"/>
      </w:pPr>
      <w:r>
        <w:t>8. Section 11 — Concomitant Medicines</w:t>
      </w:r>
    </w:p>
    <w:p>
      <w:r>
        <w:t>List other medicines, self-medication and herbal remedies taken during the relevant period, excluding medicines used specifically to treat the reaction. Include name, dose, route, frequency, therapy dates and indication.</w:t>
      </w:r>
    </w:p>
    <w:p>
      <w:pPr>
        <w:pStyle w:val="Heading1"/>
      </w:pPr>
      <w:r>
        <w:t>9. Section D — Reporter Details</w:t>
      </w:r>
    </w:p>
    <w:p>
      <w:pPr>
        <w:pStyle w:val="ListBullet"/>
      </w:pPr>
      <w:r>
        <w:t>Reporter name and address</w:t>
      </w:r>
    </w:p>
    <w:p>
      <w:pPr>
        <w:pStyle w:val="ListBullet"/>
      </w:pPr>
      <w:r>
        <w:t>PIN code</w:t>
      </w:r>
    </w:p>
    <w:p>
      <w:pPr>
        <w:pStyle w:val="ListBullet"/>
      </w:pPr>
      <w:r>
        <w:t>Email</w:t>
      </w:r>
    </w:p>
    <w:p>
      <w:pPr>
        <w:pStyle w:val="ListBullet"/>
      </w:pPr>
      <w:r>
        <w:t>Contact number</w:t>
      </w:r>
    </w:p>
    <w:p>
      <w:pPr>
        <w:pStyle w:val="ListBullet"/>
      </w:pPr>
      <w:r>
        <w:t>Occupation</w:t>
      </w:r>
    </w:p>
    <w:p>
      <w:pPr>
        <w:pStyle w:val="ListBullet"/>
      </w:pPr>
      <w:r>
        <w:t>Signature</w:t>
      </w:r>
    </w:p>
    <w:p>
      <w:pPr>
        <w:pStyle w:val="ListBullet"/>
      </w:pPr>
      <w:r>
        <w:t>Date of report</w:t>
      </w:r>
    </w:p>
    <w:p>
      <w:pPr>
        <w:pStyle w:val="Heading1"/>
      </w:pPr>
      <w:r>
        <w:t>10. Worked Example — Completed ADR Form Data</w:t>
      </w:r>
    </w:p>
    <w:p>
      <w:r>
        <w:t>The following is a fictional educational case created to demonstrate how the form can be completed. It is NOT a real patient report.</w:t>
      </w:r>
    </w:p>
    <w:tbl>
      <w:tblPr>
        <w:tblStyle w:val="TableGrid"/>
        <w:tblW w:type="auto" w:w="0"/>
        <w:tblLook w:firstColumn="1" w:firstRow="1" w:lastColumn="0" w:lastRow="0" w:noHBand="0" w:noVBand="1" w:val="04A0"/>
      </w:tblPr>
      <w:tblGrid>
        <w:gridCol w:w="5112"/>
        <w:gridCol w:w="5112"/>
      </w:tblGrid>
      <w:tr>
        <w:tc>
          <w:tcPr>
            <w:tcW w:type="dxa" w:w="5112"/>
          </w:tcPr>
          <w:p>
            <w:r>
              <w:t>Field</w:t>
            </w:r>
          </w:p>
        </w:tc>
        <w:tc>
          <w:tcPr>
            <w:tcW w:type="dxa" w:w="5112"/>
          </w:tcPr>
          <w:p>
            <w:r>
              <w:t>Fictional example</w:t>
            </w:r>
          </w:p>
        </w:tc>
      </w:tr>
      <w:tr>
        <w:tc>
          <w:tcPr>
            <w:tcW w:type="dxa" w:w="5112"/>
          </w:tcPr>
          <w:p>
            <w:r>
              <w:t>Patient initials</w:t>
            </w:r>
          </w:p>
        </w:tc>
        <w:tc>
          <w:tcPr>
            <w:tcW w:type="dxa" w:w="5112"/>
          </w:tcPr>
          <w:p>
            <w:r>
              <w:t>A.K.</w:t>
            </w:r>
          </w:p>
        </w:tc>
      </w:tr>
      <w:tr>
        <w:tc>
          <w:tcPr>
            <w:tcW w:type="dxa" w:w="5112"/>
          </w:tcPr>
          <w:p>
            <w:r>
              <w:t>Age / gender / weight</w:t>
            </w:r>
          </w:p>
        </w:tc>
        <w:tc>
          <w:tcPr>
            <w:tcW w:type="dxa" w:w="5112"/>
          </w:tcPr>
          <w:p>
            <w:r>
              <w:t>35 years / Female / 60 kg</w:t>
            </w:r>
          </w:p>
        </w:tc>
      </w:tr>
      <w:tr>
        <w:tc>
          <w:tcPr>
            <w:tcW w:type="dxa" w:w="5112"/>
          </w:tcPr>
          <w:p>
            <w:r>
              <w:t>Reaction</w:t>
            </w:r>
          </w:p>
        </w:tc>
        <w:tc>
          <w:tcPr>
            <w:tcW w:type="dxa" w:w="5112"/>
          </w:tcPr>
          <w:p>
            <w:r>
              <w:t>Generalized urticaria with itching</w:t>
            </w:r>
          </w:p>
        </w:tc>
      </w:tr>
      <w:tr>
        <w:tc>
          <w:tcPr>
            <w:tcW w:type="dxa" w:w="5112"/>
          </w:tcPr>
          <w:p>
            <w:r>
              <w:t>Reaction onset</w:t>
            </w:r>
          </w:p>
        </w:tc>
        <w:tc>
          <w:tcPr>
            <w:tcW w:type="dxa" w:w="5112"/>
          </w:tcPr>
          <w:p>
            <w:r>
              <w:t>10/09/2026</w:t>
            </w:r>
          </w:p>
        </w:tc>
      </w:tr>
      <w:tr>
        <w:tc>
          <w:tcPr>
            <w:tcW w:type="dxa" w:w="5112"/>
          </w:tcPr>
          <w:p>
            <w:r>
              <w:t>Suspected drug</w:t>
            </w:r>
          </w:p>
        </w:tc>
        <w:tc>
          <w:tcPr>
            <w:tcW w:type="dxa" w:w="5112"/>
          </w:tcPr>
          <w:p>
            <w:r>
              <w:t>Amoxicillin 500 mg capsule</w:t>
            </w:r>
          </w:p>
        </w:tc>
      </w:tr>
      <w:tr>
        <w:tc>
          <w:tcPr>
            <w:tcW w:type="dxa" w:w="5112"/>
          </w:tcPr>
          <w:p>
            <w:r>
              <w:t>Route / frequency</w:t>
            </w:r>
          </w:p>
        </w:tc>
        <w:tc>
          <w:tcPr>
            <w:tcW w:type="dxa" w:w="5112"/>
          </w:tcPr>
          <w:p>
            <w:r>
              <w:t>Oral / three times daily</w:t>
            </w:r>
          </w:p>
        </w:tc>
      </w:tr>
      <w:tr>
        <w:tc>
          <w:tcPr>
            <w:tcW w:type="dxa" w:w="5112"/>
          </w:tcPr>
          <w:p>
            <w:r>
              <w:t>Therapy</w:t>
            </w:r>
          </w:p>
        </w:tc>
        <w:tc>
          <w:tcPr>
            <w:tcW w:type="dxa" w:w="5112"/>
          </w:tcPr>
          <w:p>
            <w:r>
              <w:t>10/09/2026 – 10/09/2026</w:t>
            </w:r>
          </w:p>
        </w:tc>
      </w:tr>
      <w:tr>
        <w:tc>
          <w:tcPr>
            <w:tcW w:type="dxa" w:w="5112"/>
          </w:tcPr>
          <w:p>
            <w:r>
              <w:t>Indication</w:t>
            </w:r>
          </w:p>
        </w:tc>
        <w:tc>
          <w:tcPr>
            <w:tcW w:type="dxa" w:w="5112"/>
          </w:tcPr>
          <w:p>
            <w:r>
              <w:t>Acute bacterial respiratory infection</w:t>
            </w:r>
          </w:p>
        </w:tc>
      </w:tr>
      <w:tr>
        <w:tc>
          <w:tcPr>
            <w:tcW w:type="dxa" w:w="5112"/>
          </w:tcPr>
          <w:p>
            <w:r>
              <w:t>Action taken</w:t>
            </w:r>
          </w:p>
        </w:tc>
        <w:tc>
          <w:tcPr>
            <w:tcW w:type="dxa" w:w="5112"/>
          </w:tcPr>
          <w:p>
            <w:r>
              <w:t>Drug withdrawn</w:t>
            </w:r>
          </w:p>
        </w:tc>
      </w:tr>
      <w:tr>
        <w:tc>
          <w:tcPr>
            <w:tcW w:type="dxa" w:w="5112"/>
          </w:tcPr>
          <w:p>
            <w:r>
              <w:t>Management</w:t>
            </w:r>
          </w:p>
        </w:tc>
        <w:tc>
          <w:tcPr>
            <w:tcW w:type="dxa" w:w="5112"/>
          </w:tcPr>
          <w:p>
            <w:r>
              <w:t>Antihistamine administered; patient observed</w:t>
            </w:r>
          </w:p>
        </w:tc>
      </w:tr>
      <w:tr>
        <w:tc>
          <w:tcPr>
            <w:tcW w:type="dxa" w:w="5112"/>
          </w:tcPr>
          <w:p>
            <w:r>
              <w:t>Outcome</w:t>
            </w:r>
          </w:p>
        </w:tc>
        <w:tc>
          <w:tcPr>
            <w:tcW w:type="dxa" w:w="5112"/>
          </w:tcPr>
          <w:p>
            <w:r>
              <w:t>Recovering</w:t>
            </w:r>
          </w:p>
        </w:tc>
      </w:tr>
      <w:tr>
        <w:tc>
          <w:tcPr>
            <w:tcW w:type="dxa" w:w="5112"/>
          </w:tcPr>
          <w:p>
            <w:r>
              <w:t>Seriousness</w:t>
            </w:r>
          </w:p>
        </w:tc>
        <w:tc>
          <w:tcPr>
            <w:tcW w:type="dxa" w:w="5112"/>
          </w:tcPr>
          <w:p>
            <w:r>
              <w:t>Not serious in this example</w:t>
            </w:r>
          </w:p>
        </w:tc>
      </w:tr>
      <w:tr>
        <w:tc>
          <w:tcPr>
            <w:tcW w:type="dxa" w:w="5112"/>
          </w:tcPr>
          <w:p>
            <w:r>
              <w:t>Relevant history</w:t>
            </w:r>
          </w:p>
        </w:tc>
        <w:tc>
          <w:tcPr>
            <w:tcW w:type="dxa" w:w="5112"/>
          </w:tcPr>
          <w:p>
            <w:r>
              <w:t>No known drug allergy reported</w:t>
            </w:r>
          </w:p>
        </w:tc>
      </w:tr>
      <w:tr>
        <w:tc>
          <w:tcPr>
            <w:tcW w:type="dxa" w:w="5112"/>
          </w:tcPr>
          <w:p>
            <w:r>
              <w:t>Concomitant medicine</w:t>
            </w:r>
          </w:p>
        </w:tc>
        <w:tc>
          <w:tcPr>
            <w:tcW w:type="dxa" w:w="5112"/>
          </w:tcPr>
          <w:p>
            <w:r>
              <w:t>Paracetamol 500 mg as needed</w:t>
            </w:r>
          </w:p>
        </w:tc>
      </w:tr>
      <w:tr>
        <w:tc>
          <w:tcPr>
            <w:tcW w:type="dxa" w:w="5112"/>
          </w:tcPr>
          <w:p>
            <w:r>
              <w:t>Rechallenge</w:t>
            </w:r>
          </w:p>
        </w:tc>
        <w:tc>
          <w:tcPr>
            <w:tcW w:type="dxa" w:w="5112"/>
          </w:tcPr>
          <w:p>
            <w:r>
              <w:t>No</w:t>
            </w:r>
          </w:p>
        </w:tc>
      </w:tr>
    </w:tbl>
    <w:p>
      <w:pPr>
        <w:pStyle w:val="Heading1"/>
      </w:pPr>
      <w:r>
        <w:t>11. Completed Questions / Tasks</w:t>
      </w:r>
    </w:p>
    <w:p>
      <w:r>
        <w:rPr>
          <w:b/>
        </w:rPr>
        <w:t>Q1. What is the purpose of an ADR reporting form?</w:t>
      </w:r>
    </w:p>
    <w:p>
      <w:r>
        <w:t>To systematically collect information about a suspected adverse reaction so it can be assessed for medicine safety, causality and possible safety signals.</w:t>
      </w:r>
    </w:p>
    <w:p>
      <w:r>
        <w:rPr>
          <w:b/>
        </w:rPr>
        <w:t>Q2. Should causality be proven before reporting?</w:t>
      </w:r>
    </w:p>
    <w:p>
      <w:r>
        <w:t>No. A suspected ADR can be reported without proving causality. Pharmacovigilance systems assess the information after reporting.</w:t>
      </w:r>
    </w:p>
    <w:p>
      <w:r>
        <w:rPr>
          <w:b/>
        </w:rPr>
        <w:t>Q3. Why are patient initials used?</w:t>
      </w:r>
    </w:p>
    <w:p>
      <w:r>
        <w:t>To protect patient confidentiality while still allowing the case to be identified and followed within the reporting system.</w:t>
      </w:r>
    </w:p>
    <w:p>
      <w:r>
        <w:rPr>
          <w:b/>
        </w:rPr>
        <w:t>Q4. What information is required about the suspected medicine?</w:t>
      </w:r>
    </w:p>
    <w:p>
      <w:r>
        <w:t>Name, manufacturer if known, batch/lot if known, expiry date if known, dose, route, frequency, therapy dates, indication and causality assessment.</w:t>
      </w:r>
    </w:p>
    <w:p>
      <w:r>
        <w:rPr>
          <w:b/>
        </w:rPr>
        <w:t>Q5. What is dechallenge?</w:t>
      </w:r>
    </w:p>
    <w:p>
      <w:r>
        <w:t>Withdrawal of the suspected medicine followed by observation of whether the reaction improves.</w:t>
      </w:r>
    </w:p>
    <w:p>
      <w:r>
        <w:rPr>
          <w:b/>
        </w:rPr>
        <w:t>Q6. What is rechallenge?</w:t>
      </w:r>
    </w:p>
    <w:p>
      <w:r>
        <w:t>Re-exposure to the suspected medicine and observation of whether the reaction reappears. It may support causality but should not be performed when it would expose the patient to unacceptable risk.</w:t>
      </w:r>
    </w:p>
    <w:p>
      <w:r>
        <w:rPr>
          <w:b/>
        </w:rPr>
        <w:t>Q7. Why should concomitant medicines be recorded?</w:t>
      </w:r>
    </w:p>
    <w:p>
      <w:r>
        <w:t>Because another medicine may explain the reaction, contribute through an interaction, or affect the causality assessment.</w:t>
      </w:r>
    </w:p>
    <w:p>
      <w:r>
        <w:rPr>
          <w:b/>
        </w:rPr>
        <w:t>Q8. What is meant by a serious ADR?</w:t>
      </w:r>
    </w:p>
    <w:p>
      <w:r>
        <w:t>A reaction meeting serious-event criteria such as death, life-threatening condition, hospitalization/prolongation, disability, congenital anomaly or another medically important event.</w:t>
      </w:r>
    </w:p>
    <w:p>
      <w:r>
        <w:rPr>
          <w:b/>
        </w:rPr>
        <w:t>Q9. What should be written in the reaction description?</w:t>
      </w:r>
    </w:p>
    <w:p>
      <w:r>
        <w:t>A chronological, objective account of onset, symptoms/signs, investigations, management, changes in medication and outcome.</w:t>
      </w:r>
    </w:p>
    <w:p>
      <w:r>
        <w:rPr>
          <w:b/>
        </w:rPr>
        <w:t>Q10. Where can an ADR be reported in India?</w:t>
      </w:r>
    </w:p>
    <w:p>
      <w:r>
        <w:t>Through the PvPI ADR reporting mechanisms, including the Suspected ADR Reporting Form, the nearest ADR Monitoring Centre (AMC), or directly through the National Coordination Centre (NCC) as specified by IPC.</w:t>
      </w:r>
    </w:p>
    <w:p>
      <w:pPr>
        <w:pStyle w:val="Heading1"/>
      </w:pPr>
      <w:r>
        <w:t>12. Step-by-Step Quick Workflow</w:t>
      </w:r>
    </w:p>
    <w:p>
      <w:r>
        <w:t>1. Identify the suspected ADR.</w:t>
      </w:r>
    </w:p>
    <w:p>
      <w:r>
        <w:t>2. Collect patient details and protect confidentiality.</w:t>
      </w:r>
    </w:p>
    <w:p>
      <w:r>
        <w:t>3. Document the event and exact onset/stop dates.</w:t>
      </w:r>
    </w:p>
    <w:p>
      <w:r>
        <w:t>4. List suspected medicine(s) with dose, route, frequency and therapy dates.</w:t>
      </w:r>
    </w:p>
    <w:p>
      <w:r>
        <w:t>5. Record action taken and whether reappearance occurred after reintroduction.</w:t>
      </w:r>
    </w:p>
    <w:p>
      <w:r>
        <w:t>6. List concomitant medicines and relevant history.</w:t>
      </w:r>
    </w:p>
    <w:p>
      <w:r>
        <w:t>7. Add investigations and clinical outcome.</w:t>
      </w:r>
    </w:p>
    <w:p>
      <w:r>
        <w:t>8. Complete reporter details and date/signature.</w:t>
      </w:r>
    </w:p>
    <w:p>
      <w:r>
        <w:t>9. Submit through the appropriate PvPI reporting route/AMC/NCC.</w:t>
      </w:r>
    </w:p>
    <w:p>
      <w:pPr>
        <w:pStyle w:val="Heading1"/>
      </w:pPr>
      <w:r>
        <w:t>13. Common Mistakes to Avoid</w:t>
      </w:r>
    </w:p>
    <w:p>
      <w:pPr>
        <w:pStyle w:val="ListBullet"/>
      </w:pPr>
      <w:r>
        <w:t>Writing the patient's full name instead of initials.</w:t>
      </w:r>
    </w:p>
    <w:p>
      <w:pPr>
        <w:pStyle w:val="ListBullet"/>
      </w:pPr>
      <w:r>
        <w:t>Leaving the medicine start/stop dates blank when they are available.</w:t>
      </w:r>
    </w:p>
    <w:p>
      <w:pPr>
        <w:pStyle w:val="ListBullet"/>
      </w:pPr>
      <w:r>
        <w:t>Writing only 'allergy' or 'rash' without describing the event adequately.</w:t>
      </w:r>
    </w:p>
    <w:p>
      <w:pPr>
        <w:pStyle w:val="ListBullet"/>
      </w:pPr>
      <w:r>
        <w:t>Forgetting dose, route or frequency.</w:t>
      </w:r>
    </w:p>
    <w:p>
      <w:pPr>
        <w:pStyle w:val="ListBullet"/>
      </w:pPr>
      <w:r>
        <w:t>Ignoring concomitant medicines.</w:t>
      </w:r>
    </w:p>
    <w:p>
      <w:pPr>
        <w:pStyle w:val="ListBullet"/>
      </w:pPr>
      <w:r>
        <w:t>Declaring an ADR as definitely caused by a drug without considering alternative explanations.</w:t>
      </w:r>
    </w:p>
    <w:p>
      <w:pPr>
        <w:pStyle w:val="ListBullet"/>
      </w:pPr>
      <w:r>
        <w:t>Failing to document the outcome or management.</w:t>
      </w:r>
    </w:p>
    <w:p>
      <w:pPr>
        <w:pStyle w:val="ListBullet"/>
      </w:pPr>
      <w:r>
        <w:t>Inventing missing batch numbers, dates or laboratory values.</w:t>
      </w:r>
    </w:p>
    <w:p>
      <w:pPr>
        <w:pStyle w:val="Heading1"/>
      </w:pPr>
      <w:r>
        <w:t>14. Exam-Oriented Revision</w:t>
      </w:r>
    </w:p>
    <w:p>
      <w:pPr>
        <w:pStyle w:val="ListBullet"/>
      </w:pPr>
      <w:r>
        <w:t>ADR form = structured collection of suspected medicine-safety information.</w:t>
      </w:r>
    </w:p>
    <w:p>
      <w:pPr>
        <w:pStyle w:val="ListBullet"/>
      </w:pPr>
      <w:r>
        <w:t>Patient information → Reaction → Suspected medicines → Action/rechallenge → Concomitant medicines → Investigations/history → Outcome → Reporter.</w:t>
      </w:r>
    </w:p>
    <w:p>
      <w:pPr>
        <w:pStyle w:val="ListBullet"/>
      </w:pPr>
      <w:r>
        <w:t>Dechallenge = withdrawal and observation.</w:t>
      </w:r>
    </w:p>
    <w:p>
      <w:pPr>
        <w:pStyle w:val="ListBullet"/>
      </w:pPr>
      <w:r>
        <w:t>Rechallenge = reintroduction and observation of recurrence.</w:t>
      </w:r>
    </w:p>
    <w:p>
      <w:pPr>
        <w:pStyle w:val="ListBullet"/>
      </w:pPr>
      <w:r>
        <w:t>Causality is assessed from the evidence; reporting does not require proof of causality.</w:t>
      </w:r>
    </w:p>
    <w:p>
      <w:pPr>
        <w:pStyle w:val="ListBullet"/>
      </w:pPr>
      <w:r>
        <w:t>PvPI operates under the Indian Pharmacopoeia Commission as the National Coordination Centre.</w:t>
      </w:r>
    </w:p>
    <w:p>
      <w:pPr>
        <w:pStyle w:val="ListBullet"/>
      </w:pPr>
      <w:r>
        <w:t>The official Version 1.4 form identifies mandatory fields for suspected ADR reporting.</w:t>
      </w:r>
    </w:p>
    <w:p>
      <w:pPr>
        <w:pStyle w:val="Heading1"/>
      </w:pPr>
      <w:r>
        <w:t>15. Sources</w:t>
      </w:r>
    </w:p>
    <w:p>
      <w:pPr>
        <w:pStyle w:val="ListBullet"/>
      </w:pPr>
      <w:r>
        <w:t>YouTube video: “How to fill ADR form? Step by Step Guide” — source video supplied by the user.</w:t>
      </w:r>
    </w:p>
    <w:p>
      <w:pPr>
        <w:pStyle w:val="ListBullet"/>
      </w:pPr>
      <w:r>
        <w:t>Indian Pharmacopoeia Commission, Suspected Adverse Drug Reaction Reporting Form, Version 1.4.</w:t>
      </w:r>
    </w:p>
    <w:p>
      <w:pPr>
        <w:pStyle w:val="ListBullet"/>
      </w:pPr>
      <w:r>
        <w:t>Indian Pharmacopoeia Commission, PvPI Frequently Asked Questions / ADR reporting information.</w:t>
      </w:r>
    </w:p>
    <w:p>
      <w:pPr>
        <w:pStyle w:val="ListBullet"/>
      </w:pPr>
      <w:r>
        <w:t>Indian Pharmacopoeia Commission, PvPI toolkit and ADR reporting resources.</w:t>
      </w:r>
    </w:p>
    <w:p/>
    <w:p>
      <w:r>
        <w:rPr>
          <w:b/>
        </w:rPr>
        <w:t xml:space="preserve">Educational note: </w:t>
      </w:r>
      <w:r>
        <w:t>This document is for academic/training purposes. For actual patient reporting, use the current official IPC/PvPI form and follow the applicable institutional reporting procedure.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