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42"/>
          <w:szCs w:val="42"/>
          <w:rtl w:val="0"/>
        </w:rPr>
        <w:t xml:space="preserve">ICSR CASE PROCESSING IN PHARMACOVIGILANCE</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i w:val="1"/>
          <w:iCs w:val="1"/>
          <w:sz w:val="22"/>
          <w:szCs w:val="22"/>
          <w:rtl w:val="0"/>
        </w:rPr>
        <w:t xml:space="preserve">Study Notes • Workflow • Task Answers • Interview Revision</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rtl w:val="0"/>
        </w:rPr>
        <w:t xml:space="preserve">Source video: </w:t>
      </w:r>
      <w:r w:rsidDel="00000000" w:rsidR="00000000" w:rsidRPr="00000000">
        <w:rPr>
          <w:rtl w:val="0"/>
        </w:rPr>
        <w:t xml:space="preserve">ICSR Case Steps in Pharmacovigilance: Full Tutorial</w:t>
        <w:br w:type="textWrapping"/>
        <w:t xml:space="preserve">YouTube video ID: ryof8pJbX1o</w:t>
      </w:r>
    </w:p>
    <w:p w:rsidR="00000000" w:rsidDel="00000000" w:rsidP="00000000" w:rsidRDefault="00000000" w:rsidRPr="00000000" w14:paraId="00000004">
      <w:pPr>
        <w:pStyle w:val="Heading1"/>
        <w:rPr/>
      </w:pPr>
      <w:r w:rsidDel="00000000" w:rsidR="00000000" w:rsidRPr="00000000">
        <w:rPr>
          <w:rtl w:val="0"/>
        </w:rPr>
        <w:t xml:space="preserve">Important source note</w:t>
      </w:r>
    </w:p>
    <w:p w:rsidR="00000000" w:rsidDel="00000000" w:rsidP="00000000" w:rsidRDefault="00000000" w:rsidRPr="00000000" w14:paraId="00000005">
      <w:pPr>
        <w:rPr/>
      </w:pPr>
      <w:r w:rsidDel="00000000" w:rsidR="00000000" w:rsidRPr="00000000">
        <w:rPr>
          <w:rtl w:val="0"/>
        </w:rPr>
        <w:t xml:space="preserve">The supplied YouTube video was verified as “ICSR Case Steps in Pharmacovigilance: Full Tutorial” by Drug Safety, published on 28 October 2020. The public video description states that it covers ICSR case-processing steps from initial reporting through assessment and follow-up. The full spoken transcript was not exposed by the available web retrieval, so this document is a structured study guide based on the verified video topic/description and cross-checked ICSR workflow references. It is not a word-for-word transcript of the video.</w:t>
      </w:r>
    </w:p>
    <w:p w:rsidR="00000000" w:rsidDel="00000000" w:rsidP="00000000" w:rsidRDefault="00000000" w:rsidRPr="00000000" w14:paraId="00000006">
      <w:pPr>
        <w:pStyle w:val="Heading1"/>
        <w:rPr/>
      </w:pPr>
      <w:r w:rsidDel="00000000" w:rsidR="00000000" w:rsidRPr="00000000">
        <w:rPr>
          <w:rtl w:val="0"/>
        </w:rPr>
        <w:t xml:space="preserve">1. Quick Summary</w:t>
      </w:r>
    </w:p>
    <w:p w:rsidR="00000000" w:rsidDel="00000000" w:rsidP="00000000" w:rsidRDefault="00000000" w:rsidRPr="00000000" w14:paraId="00000007">
      <w:pPr>
        <w:rPr/>
      </w:pPr>
      <w:r w:rsidDel="00000000" w:rsidR="00000000" w:rsidRPr="00000000">
        <w:rPr>
          <w:rtl w:val="0"/>
        </w:rPr>
        <w:t xml:space="preserve">An Individual Case Safety Report (ICSR) is an individual report containing information about a patient, a reporter, a medicinal product, and an adverse event/reaction. ICSR processing converts incoming safety information into a structured, assessed and quality-checked case that can be used for regulatory reporting and ongoing pharmacovigilance.</w:t>
      </w:r>
    </w:p>
    <w:p w:rsidR="00000000" w:rsidDel="00000000" w:rsidP="00000000" w:rsidRDefault="00000000" w:rsidRPr="00000000" w14:paraId="00000008">
      <w:pPr>
        <w:pStyle w:val="Heading1"/>
        <w:rPr/>
      </w:pPr>
      <w:r w:rsidDel="00000000" w:rsidR="00000000" w:rsidRPr="00000000">
        <w:rPr>
          <w:rtl w:val="0"/>
        </w:rPr>
        <w:t xml:space="preserve">2. End-to-End ICSR Workflow</w:t>
      </w:r>
    </w:p>
    <w:tbl>
      <w:tblPr>
        <w:tblStyle w:val="Table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p w:rsidR="00000000" w:rsidDel="00000000" w:rsidP="00000000" w:rsidRDefault="00000000" w:rsidRPr="00000000" w14:paraId="00000009">
            <w:pPr>
              <w:rPr/>
            </w:pPr>
            <w:r w:rsidDel="00000000" w:rsidR="00000000" w:rsidRPr="00000000">
              <w:rPr>
                <w:rtl w:val="0"/>
              </w:rPr>
              <w:t xml:space="preserve">Step</w:t>
            </w:r>
          </w:p>
        </w:tc>
        <w:tc>
          <w:tcPr/>
          <w:p w:rsidR="00000000" w:rsidDel="00000000" w:rsidP="00000000" w:rsidRDefault="00000000" w:rsidRPr="00000000" w14:paraId="0000000A">
            <w:pPr>
              <w:rPr/>
            </w:pPr>
            <w:r w:rsidDel="00000000" w:rsidR="00000000" w:rsidRPr="00000000">
              <w:rPr>
                <w:rtl w:val="0"/>
              </w:rPr>
              <w:t xml:space="preserve">Activity</w:t>
            </w:r>
          </w:p>
        </w:tc>
        <w:tc>
          <w:tcPr/>
          <w:p w:rsidR="00000000" w:rsidDel="00000000" w:rsidP="00000000" w:rsidRDefault="00000000" w:rsidRPr="00000000" w14:paraId="0000000B">
            <w:pPr>
              <w:rPr/>
            </w:pPr>
            <w:r w:rsidDel="00000000" w:rsidR="00000000" w:rsidRPr="00000000">
              <w:rPr>
                <w:rtl w:val="0"/>
              </w:rPr>
              <w:t xml:space="preserve">What happens</w:t>
            </w:r>
          </w:p>
        </w:tc>
      </w:tr>
      <w:tr>
        <w:trPr>
          <w:cantSplit w:val="0"/>
          <w:tblHeader w:val="0"/>
        </w:trPr>
        <w:tc>
          <w:tcPr>
            <w:vAlign w:val="center"/>
          </w:tcPr>
          <w:p w:rsidR="00000000" w:rsidDel="00000000" w:rsidP="00000000" w:rsidRDefault="00000000" w:rsidRPr="00000000" w14:paraId="0000000C">
            <w:pPr>
              <w:rPr/>
            </w:pPr>
            <w:r w:rsidDel="00000000" w:rsidR="00000000" w:rsidRPr="00000000">
              <w:rPr>
                <w:rtl w:val="0"/>
              </w:rPr>
              <w:t xml:space="preserve">1</w:t>
            </w:r>
          </w:p>
        </w:tc>
        <w:tc>
          <w:tcPr>
            <w:vAlign w:val="center"/>
          </w:tcPr>
          <w:p w:rsidR="00000000" w:rsidDel="00000000" w:rsidP="00000000" w:rsidRDefault="00000000" w:rsidRPr="00000000" w14:paraId="0000000D">
            <w:pPr>
              <w:rPr/>
            </w:pPr>
            <w:r w:rsidDel="00000000" w:rsidR="00000000" w:rsidRPr="00000000">
              <w:rPr>
                <w:rtl w:val="0"/>
              </w:rPr>
              <w:t xml:space="preserve">Case receipt / intake</w:t>
            </w:r>
          </w:p>
        </w:tc>
        <w:tc>
          <w:tcPr>
            <w:vAlign w:val="center"/>
          </w:tcPr>
          <w:p w:rsidR="00000000" w:rsidDel="00000000" w:rsidP="00000000" w:rsidRDefault="00000000" w:rsidRPr="00000000" w14:paraId="0000000E">
            <w:pPr>
              <w:rPr/>
            </w:pPr>
            <w:r w:rsidDel="00000000" w:rsidR="00000000" w:rsidRPr="00000000">
              <w:rPr>
                <w:rtl w:val="0"/>
              </w:rPr>
              <w:t xml:space="preserve">Receive the safety report and record the initial receipt date/source.</w:t>
            </w:r>
          </w:p>
        </w:tc>
      </w:tr>
      <w:tr>
        <w:trPr>
          <w:cantSplit w:val="0"/>
          <w:tblHeader w:val="0"/>
        </w:trPr>
        <w:tc>
          <w:tcPr>
            <w:vAlign w:val="center"/>
          </w:tcPr>
          <w:p w:rsidR="00000000" w:rsidDel="00000000" w:rsidP="00000000" w:rsidRDefault="00000000" w:rsidRPr="00000000" w14:paraId="0000000F">
            <w:pPr>
              <w:rPr/>
            </w:pPr>
            <w:r w:rsidDel="00000000" w:rsidR="00000000" w:rsidRPr="00000000">
              <w:rPr>
                <w:rtl w:val="0"/>
              </w:rPr>
              <w:t xml:space="preserve">2</w:t>
            </w:r>
          </w:p>
        </w:tc>
        <w:tc>
          <w:tcPr>
            <w:vAlign w:val="center"/>
          </w:tcPr>
          <w:p w:rsidR="00000000" w:rsidDel="00000000" w:rsidP="00000000" w:rsidRDefault="00000000" w:rsidRPr="00000000" w14:paraId="00000010">
            <w:pPr>
              <w:rPr/>
            </w:pPr>
            <w:r w:rsidDel="00000000" w:rsidR="00000000" w:rsidRPr="00000000">
              <w:rPr>
                <w:rtl w:val="0"/>
              </w:rPr>
              <w:t xml:space="preserve">Validity check</w:t>
            </w:r>
          </w:p>
        </w:tc>
        <w:tc>
          <w:tcPr>
            <w:vAlign w:val="center"/>
          </w:tcPr>
          <w:p w:rsidR="00000000" w:rsidDel="00000000" w:rsidP="00000000" w:rsidRDefault="00000000" w:rsidRPr="00000000" w14:paraId="00000011">
            <w:pPr>
              <w:rPr/>
            </w:pPr>
            <w:r w:rsidDel="00000000" w:rsidR="00000000" w:rsidRPr="00000000">
              <w:rPr>
                <w:rtl w:val="0"/>
              </w:rPr>
              <w:t xml:space="preserve">Confirm the minimum information needed for a valid safety case.</w:t>
            </w:r>
          </w:p>
        </w:tc>
      </w:tr>
      <w:tr>
        <w:trPr>
          <w:cantSplit w:val="0"/>
          <w:tblHeader w:val="0"/>
        </w:trPr>
        <w:tc>
          <w:tcPr>
            <w:vAlign w:val="center"/>
          </w:tcPr>
          <w:p w:rsidR="00000000" w:rsidDel="00000000" w:rsidP="00000000" w:rsidRDefault="00000000" w:rsidRPr="00000000" w14:paraId="00000012">
            <w:pPr>
              <w:rPr/>
            </w:pPr>
            <w:r w:rsidDel="00000000" w:rsidR="00000000" w:rsidRPr="00000000">
              <w:rPr>
                <w:rtl w:val="0"/>
              </w:rPr>
              <w:t xml:space="preserve">3</w:t>
            </w:r>
          </w:p>
        </w:tc>
        <w:tc>
          <w:tcPr>
            <w:vAlign w:val="center"/>
          </w:tcPr>
          <w:p w:rsidR="00000000" w:rsidDel="00000000" w:rsidP="00000000" w:rsidRDefault="00000000" w:rsidRPr="00000000" w14:paraId="00000013">
            <w:pPr>
              <w:rPr/>
            </w:pPr>
            <w:r w:rsidDel="00000000" w:rsidR="00000000" w:rsidRPr="00000000">
              <w:rPr>
                <w:rtl w:val="0"/>
              </w:rPr>
              <w:t xml:space="preserve">Triage</w:t>
            </w:r>
          </w:p>
        </w:tc>
        <w:tc>
          <w:tcPr>
            <w:vAlign w:val="center"/>
          </w:tcPr>
          <w:p w:rsidR="00000000" w:rsidDel="00000000" w:rsidP="00000000" w:rsidRDefault="00000000" w:rsidRPr="00000000" w14:paraId="00000014">
            <w:pPr>
              <w:rPr/>
            </w:pPr>
            <w:r w:rsidDel="00000000" w:rsidR="00000000" w:rsidRPr="00000000">
              <w:rPr>
                <w:rtl w:val="0"/>
              </w:rPr>
              <w:t xml:space="preserve">Prioritize and classify the case, including seriousness and other relevant characteristics.</w:t>
            </w:r>
          </w:p>
        </w:tc>
      </w:tr>
      <w:tr>
        <w:trPr>
          <w:cantSplit w:val="0"/>
          <w:tblHeader w:val="0"/>
        </w:trPr>
        <w:tc>
          <w:tcPr>
            <w:vAlign w:val="center"/>
          </w:tcPr>
          <w:p w:rsidR="00000000" w:rsidDel="00000000" w:rsidP="00000000" w:rsidRDefault="00000000" w:rsidRPr="00000000" w14:paraId="00000015">
            <w:pPr>
              <w:rPr/>
            </w:pPr>
            <w:r w:rsidDel="00000000" w:rsidR="00000000" w:rsidRPr="00000000">
              <w:rPr>
                <w:rtl w:val="0"/>
              </w:rPr>
              <w:t xml:space="preserve">4</w:t>
            </w:r>
          </w:p>
        </w:tc>
        <w:tc>
          <w:tcPr>
            <w:vAlign w:val="center"/>
          </w:tcPr>
          <w:p w:rsidR="00000000" w:rsidDel="00000000" w:rsidP="00000000" w:rsidRDefault="00000000" w:rsidRPr="00000000" w14:paraId="00000016">
            <w:pPr>
              <w:rPr/>
            </w:pPr>
            <w:r w:rsidDel="00000000" w:rsidR="00000000" w:rsidRPr="00000000">
              <w:rPr>
                <w:rtl w:val="0"/>
              </w:rPr>
              <w:t xml:space="preserve">Duplicate check</w:t>
            </w:r>
          </w:p>
        </w:tc>
        <w:tc>
          <w:tcPr>
            <w:vAlign w:val="center"/>
          </w:tcPr>
          <w:p w:rsidR="00000000" w:rsidDel="00000000" w:rsidP="00000000" w:rsidRDefault="00000000" w:rsidRPr="00000000" w14:paraId="00000017">
            <w:pPr>
              <w:rPr/>
            </w:pPr>
            <w:r w:rsidDel="00000000" w:rsidR="00000000" w:rsidRPr="00000000">
              <w:rPr>
                <w:rtl w:val="0"/>
              </w:rPr>
              <w:t xml:space="preserve">Search for an existing case to avoid duplicate processing.</w:t>
            </w:r>
          </w:p>
        </w:tc>
      </w:tr>
      <w:tr>
        <w:trPr>
          <w:cantSplit w:val="0"/>
          <w:tblHeader w:val="0"/>
        </w:trPr>
        <w:tc>
          <w:tcPr>
            <w:vAlign w:val="center"/>
          </w:tcPr>
          <w:p w:rsidR="00000000" w:rsidDel="00000000" w:rsidP="00000000" w:rsidRDefault="00000000" w:rsidRPr="00000000" w14:paraId="00000018">
            <w:pPr>
              <w:rPr/>
            </w:pPr>
            <w:r w:rsidDel="00000000" w:rsidR="00000000" w:rsidRPr="00000000">
              <w:rPr>
                <w:rtl w:val="0"/>
              </w:rPr>
              <w:t xml:space="preserve">5</w:t>
            </w:r>
          </w:p>
        </w:tc>
        <w:tc>
          <w:tcPr>
            <w:vAlign w:val="center"/>
          </w:tcPr>
          <w:p w:rsidR="00000000" w:rsidDel="00000000" w:rsidP="00000000" w:rsidRDefault="00000000" w:rsidRPr="00000000" w14:paraId="00000019">
            <w:pPr>
              <w:rPr/>
            </w:pPr>
            <w:r w:rsidDel="00000000" w:rsidR="00000000" w:rsidRPr="00000000">
              <w:rPr>
                <w:rtl w:val="0"/>
              </w:rPr>
              <w:t xml:space="preserve">Case creation &amp; data entry</w:t>
            </w:r>
          </w:p>
        </w:tc>
        <w:tc>
          <w:tcPr>
            <w:vAlign w:val="center"/>
          </w:tcPr>
          <w:p w:rsidR="00000000" w:rsidDel="00000000" w:rsidP="00000000" w:rsidRDefault="00000000" w:rsidRPr="00000000" w14:paraId="0000001A">
            <w:pPr>
              <w:rPr/>
            </w:pPr>
            <w:r w:rsidDel="00000000" w:rsidR="00000000" w:rsidRPr="00000000">
              <w:rPr>
                <w:rtl w:val="0"/>
              </w:rPr>
              <w:t xml:space="preserve">Enter available patient, reporter, product, event and clinical information into the safety database.</w:t>
            </w:r>
          </w:p>
        </w:tc>
      </w:tr>
      <w:tr>
        <w:trPr>
          <w:cantSplit w:val="0"/>
          <w:tblHeader w:val="0"/>
        </w:trPr>
        <w:tc>
          <w:tcPr>
            <w:vAlign w:val="center"/>
          </w:tcPr>
          <w:p w:rsidR="00000000" w:rsidDel="00000000" w:rsidP="00000000" w:rsidRDefault="00000000" w:rsidRPr="00000000" w14:paraId="0000001B">
            <w:pPr>
              <w:rPr/>
            </w:pPr>
            <w:r w:rsidDel="00000000" w:rsidR="00000000" w:rsidRPr="00000000">
              <w:rPr>
                <w:rtl w:val="0"/>
              </w:rPr>
              <w:t xml:space="preserve">6</w:t>
            </w:r>
          </w:p>
        </w:tc>
        <w:tc>
          <w:tcPr>
            <w:vAlign w:val="center"/>
          </w:tcPr>
          <w:p w:rsidR="00000000" w:rsidDel="00000000" w:rsidP="00000000" w:rsidRDefault="00000000" w:rsidRPr="00000000" w14:paraId="0000001C">
            <w:pPr>
              <w:rPr/>
            </w:pPr>
            <w:r w:rsidDel="00000000" w:rsidR="00000000" w:rsidRPr="00000000">
              <w:rPr>
                <w:rtl w:val="0"/>
              </w:rPr>
              <w:t xml:space="preserve">Medical coding</w:t>
            </w:r>
          </w:p>
        </w:tc>
        <w:tc>
          <w:tcPr>
            <w:vAlign w:val="center"/>
          </w:tcPr>
          <w:p w:rsidR="00000000" w:rsidDel="00000000" w:rsidP="00000000" w:rsidRDefault="00000000" w:rsidRPr="00000000" w14:paraId="0000001D">
            <w:pPr>
              <w:rPr/>
            </w:pPr>
            <w:r w:rsidDel="00000000" w:rsidR="00000000" w:rsidRPr="00000000">
              <w:rPr>
                <w:rtl w:val="0"/>
              </w:rPr>
              <w:t xml:space="preserve">Code adverse events/medical concepts with MedDRA and medicinal products using the applicable drug dictionary.</w:t>
            </w:r>
          </w:p>
        </w:tc>
      </w:tr>
      <w:tr>
        <w:trPr>
          <w:cantSplit w:val="0"/>
          <w:tblHeader w:val="0"/>
        </w:trPr>
        <w:tc>
          <w:tcPr>
            <w:vAlign w:val="center"/>
          </w:tcPr>
          <w:p w:rsidR="00000000" w:rsidDel="00000000" w:rsidP="00000000" w:rsidRDefault="00000000" w:rsidRPr="00000000" w14:paraId="0000001E">
            <w:pPr>
              <w:rPr/>
            </w:pPr>
            <w:r w:rsidDel="00000000" w:rsidR="00000000" w:rsidRPr="00000000">
              <w:rPr>
                <w:rtl w:val="0"/>
              </w:rPr>
              <w:t xml:space="preserve">7</w:t>
            </w:r>
          </w:p>
        </w:tc>
        <w:tc>
          <w:tcPr>
            <w:vAlign w:val="center"/>
          </w:tcPr>
          <w:p w:rsidR="00000000" w:rsidDel="00000000" w:rsidP="00000000" w:rsidRDefault="00000000" w:rsidRPr="00000000" w14:paraId="0000001F">
            <w:pPr>
              <w:rPr/>
            </w:pPr>
            <w:r w:rsidDel="00000000" w:rsidR="00000000" w:rsidRPr="00000000">
              <w:rPr>
                <w:rtl w:val="0"/>
              </w:rPr>
              <w:t xml:space="preserve">Assessment</w:t>
            </w:r>
          </w:p>
        </w:tc>
        <w:tc>
          <w:tcPr>
            <w:vAlign w:val="center"/>
          </w:tcPr>
          <w:p w:rsidR="00000000" w:rsidDel="00000000" w:rsidP="00000000" w:rsidRDefault="00000000" w:rsidRPr="00000000" w14:paraId="00000020">
            <w:pPr>
              <w:rPr/>
            </w:pPr>
            <w:r w:rsidDel="00000000" w:rsidR="00000000" w:rsidRPr="00000000">
              <w:rPr>
                <w:rtl w:val="0"/>
              </w:rPr>
              <w:t xml:space="preserve">Assess seriousness, expectedness, causality/relatedness and other applicable case attributes.</w:t>
            </w:r>
          </w:p>
        </w:tc>
      </w:tr>
      <w:tr>
        <w:trPr>
          <w:cantSplit w:val="0"/>
          <w:tblHeader w:val="0"/>
        </w:trPr>
        <w:tc>
          <w:tcPr>
            <w:vAlign w:val="center"/>
          </w:tcPr>
          <w:p w:rsidR="00000000" w:rsidDel="00000000" w:rsidP="00000000" w:rsidRDefault="00000000" w:rsidRPr="00000000" w14:paraId="00000021">
            <w:pPr>
              <w:rPr/>
            </w:pPr>
            <w:r w:rsidDel="00000000" w:rsidR="00000000" w:rsidRPr="00000000">
              <w:rPr>
                <w:rtl w:val="0"/>
              </w:rPr>
              <w:t xml:space="preserve">8</w:t>
            </w:r>
          </w:p>
        </w:tc>
        <w:tc>
          <w:tcPr>
            <w:vAlign w:val="center"/>
          </w:tcPr>
          <w:p w:rsidR="00000000" w:rsidDel="00000000" w:rsidP="00000000" w:rsidRDefault="00000000" w:rsidRPr="00000000" w14:paraId="00000022">
            <w:pPr>
              <w:rPr/>
            </w:pPr>
            <w:r w:rsidDel="00000000" w:rsidR="00000000" w:rsidRPr="00000000">
              <w:rPr>
                <w:rtl w:val="0"/>
              </w:rPr>
              <w:t xml:space="preserve">Narrative writing</w:t>
            </w:r>
          </w:p>
        </w:tc>
        <w:tc>
          <w:tcPr>
            <w:vAlign w:val="center"/>
          </w:tcPr>
          <w:p w:rsidR="00000000" w:rsidDel="00000000" w:rsidP="00000000" w:rsidRDefault="00000000" w:rsidRPr="00000000" w14:paraId="00000023">
            <w:pPr>
              <w:rPr/>
            </w:pPr>
            <w:r w:rsidDel="00000000" w:rsidR="00000000" w:rsidRPr="00000000">
              <w:rPr>
                <w:rtl w:val="0"/>
              </w:rPr>
              <w:t xml:space="preserve">Create a clear, chronological, medically accurate case narrative.</w:t>
            </w:r>
          </w:p>
        </w:tc>
      </w:tr>
      <w:tr>
        <w:trPr>
          <w:cantSplit w:val="0"/>
          <w:tblHeader w:val="0"/>
        </w:trPr>
        <w:tc>
          <w:tcPr>
            <w:vAlign w:val="center"/>
          </w:tcPr>
          <w:p w:rsidR="00000000" w:rsidDel="00000000" w:rsidP="00000000" w:rsidRDefault="00000000" w:rsidRPr="00000000" w14:paraId="00000024">
            <w:pPr>
              <w:rPr/>
            </w:pPr>
            <w:r w:rsidDel="00000000" w:rsidR="00000000" w:rsidRPr="00000000">
              <w:rPr>
                <w:rtl w:val="0"/>
              </w:rPr>
              <w:t xml:space="preserve">9</w:t>
            </w:r>
          </w:p>
        </w:tc>
        <w:tc>
          <w:tcPr>
            <w:vAlign w:val="center"/>
          </w:tcPr>
          <w:p w:rsidR="00000000" w:rsidDel="00000000" w:rsidP="00000000" w:rsidRDefault="00000000" w:rsidRPr="00000000" w14:paraId="00000025">
            <w:pPr>
              <w:rPr/>
            </w:pPr>
            <w:r w:rsidDel="00000000" w:rsidR="00000000" w:rsidRPr="00000000">
              <w:rPr>
                <w:rtl w:val="0"/>
              </w:rPr>
              <w:t xml:space="preserve">Quality/peer review</w:t>
            </w:r>
          </w:p>
        </w:tc>
        <w:tc>
          <w:tcPr>
            <w:vAlign w:val="center"/>
          </w:tcPr>
          <w:p w:rsidR="00000000" w:rsidDel="00000000" w:rsidP="00000000" w:rsidRDefault="00000000" w:rsidRPr="00000000" w14:paraId="00000026">
            <w:pPr>
              <w:rPr/>
            </w:pPr>
            <w:r w:rsidDel="00000000" w:rsidR="00000000" w:rsidRPr="00000000">
              <w:rPr>
                <w:rtl w:val="0"/>
              </w:rPr>
              <w:t xml:space="preserve">Check accuracy, completeness, consistency, coding, narrative and required assessments.</w:t>
            </w:r>
          </w:p>
        </w:tc>
      </w:tr>
      <w:tr>
        <w:trPr>
          <w:cantSplit w:val="0"/>
          <w:tblHeader w:val="0"/>
        </w:trPr>
        <w:tc>
          <w:tcPr>
            <w:vAlign w:val="center"/>
          </w:tcPr>
          <w:p w:rsidR="00000000" w:rsidDel="00000000" w:rsidP="00000000" w:rsidRDefault="00000000" w:rsidRPr="00000000" w14:paraId="00000027">
            <w:pPr>
              <w:rPr/>
            </w:pPr>
            <w:r w:rsidDel="00000000" w:rsidR="00000000" w:rsidRPr="00000000">
              <w:rPr>
                <w:rtl w:val="0"/>
              </w:rPr>
              <w:t xml:space="preserve">10</w:t>
            </w:r>
          </w:p>
        </w:tc>
        <w:tc>
          <w:tcPr>
            <w:vAlign w:val="center"/>
          </w:tcPr>
          <w:p w:rsidR="00000000" w:rsidDel="00000000" w:rsidP="00000000" w:rsidRDefault="00000000" w:rsidRPr="00000000" w14:paraId="00000028">
            <w:pPr>
              <w:rPr/>
            </w:pPr>
            <w:r w:rsidDel="00000000" w:rsidR="00000000" w:rsidRPr="00000000">
              <w:rPr>
                <w:rtl w:val="0"/>
              </w:rPr>
              <w:t xml:space="preserve">Medical review</w:t>
            </w:r>
          </w:p>
        </w:tc>
        <w:tc>
          <w:tcPr>
            <w:vAlign w:val="center"/>
          </w:tcPr>
          <w:p w:rsidR="00000000" w:rsidDel="00000000" w:rsidP="00000000" w:rsidRDefault="00000000" w:rsidRPr="00000000" w14:paraId="00000029">
            <w:pPr>
              <w:rPr/>
            </w:pPr>
            <w:r w:rsidDel="00000000" w:rsidR="00000000" w:rsidRPr="00000000">
              <w:rPr>
                <w:rtl w:val="0"/>
              </w:rPr>
              <w:t xml:space="preserve">Where required, conduct/complete clinical review and resolve medical questions.</w:t>
            </w:r>
          </w:p>
        </w:tc>
      </w:tr>
      <w:tr>
        <w:trPr>
          <w:cantSplit w:val="0"/>
          <w:tblHeader w:val="0"/>
        </w:trPr>
        <w:tc>
          <w:tcPr>
            <w:vAlign w:val="center"/>
          </w:tcPr>
          <w:p w:rsidR="00000000" w:rsidDel="00000000" w:rsidP="00000000" w:rsidRDefault="00000000" w:rsidRPr="00000000" w14:paraId="0000002A">
            <w:pPr>
              <w:rPr/>
            </w:pPr>
            <w:r w:rsidDel="00000000" w:rsidR="00000000" w:rsidRPr="00000000">
              <w:rPr>
                <w:rtl w:val="0"/>
              </w:rPr>
              <w:t xml:space="preserve">11</w:t>
            </w:r>
          </w:p>
        </w:tc>
        <w:tc>
          <w:tcPr>
            <w:vAlign w:val="center"/>
          </w:tcPr>
          <w:p w:rsidR="00000000" w:rsidDel="00000000" w:rsidP="00000000" w:rsidRDefault="00000000" w:rsidRPr="00000000" w14:paraId="0000002B">
            <w:pPr>
              <w:rPr/>
            </w:pPr>
            <w:r w:rsidDel="00000000" w:rsidR="00000000" w:rsidRPr="00000000">
              <w:rPr>
                <w:rtl w:val="0"/>
              </w:rPr>
              <w:t xml:space="preserve">Regulatory reporting</w:t>
            </w:r>
          </w:p>
        </w:tc>
        <w:tc>
          <w:tcPr>
            <w:vAlign w:val="center"/>
          </w:tcPr>
          <w:p w:rsidR="00000000" w:rsidDel="00000000" w:rsidP="00000000" w:rsidRDefault="00000000" w:rsidRPr="00000000" w14:paraId="0000002C">
            <w:pPr>
              <w:rPr/>
            </w:pPr>
            <w:r w:rsidDel="00000000" w:rsidR="00000000" w:rsidRPr="00000000">
              <w:rPr>
                <w:rtl w:val="0"/>
              </w:rPr>
              <w:t xml:space="preserve">Submit the report to the applicable authority/partner within the required reporting timeline.</w:t>
            </w:r>
          </w:p>
        </w:tc>
      </w:tr>
      <w:tr>
        <w:trPr>
          <w:cantSplit w:val="0"/>
          <w:tblHeader w:val="0"/>
        </w:trPr>
        <w:tc>
          <w:tcPr>
            <w:vAlign w:val="center"/>
          </w:tcPr>
          <w:p w:rsidR="00000000" w:rsidDel="00000000" w:rsidP="00000000" w:rsidRDefault="00000000" w:rsidRPr="00000000" w14:paraId="0000002D">
            <w:pPr>
              <w:rPr/>
            </w:pPr>
            <w:r w:rsidDel="00000000" w:rsidR="00000000" w:rsidRPr="00000000">
              <w:rPr>
                <w:rtl w:val="0"/>
              </w:rPr>
              <w:t xml:space="preserve">12</w:t>
            </w:r>
          </w:p>
        </w:tc>
        <w:tc>
          <w:tcPr>
            <w:vAlign w:val="center"/>
          </w:tcPr>
          <w:p w:rsidR="00000000" w:rsidDel="00000000" w:rsidP="00000000" w:rsidRDefault="00000000" w:rsidRPr="00000000" w14:paraId="0000002E">
            <w:pPr>
              <w:rPr/>
            </w:pPr>
            <w:r w:rsidDel="00000000" w:rsidR="00000000" w:rsidRPr="00000000">
              <w:rPr>
                <w:rtl w:val="0"/>
              </w:rPr>
              <w:t xml:space="preserve">Follow-up &amp; closure</w:t>
            </w:r>
          </w:p>
        </w:tc>
        <w:tc>
          <w:tcPr>
            <w:vAlign w:val="center"/>
          </w:tcPr>
          <w:p w:rsidR="00000000" w:rsidDel="00000000" w:rsidP="00000000" w:rsidRDefault="00000000" w:rsidRPr="00000000" w14:paraId="0000002F">
            <w:pPr>
              <w:rPr/>
            </w:pPr>
            <w:r w:rsidDel="00000000" w:rsidR="00000000" w:rsidRPr="00000000">
              <w:rPr>
                <w:rtl w:val="0"/>
              </w:rPr>
              <w:t xml:space="preserve">Request missing information, update the case when new information arrives, and close/archive according to procedure.</w:t>
            </w:r>
          </w:p>
        </w:tc>
      </w:tr>
    </w:tbl>
    <w:p w:rsidR="00000000" w:rsidDel="00000000" w:rsidP="00000000" w:rsidRDefault="00000000" w:rsidRPr="00000000" w14:paraId="00000030">
      <w:pPr>
        <w:pStyle w:val="Heading1"/>
        <w:rPr/>
      </w:pPr>
      <w:r w:rsidDel="00000000" w:rsidR="00000000" w:rsidRPr="00000000">
        <w:rPr>
          <w:rtl w:val="0"/>
        </w:rPr>
        <w:t xml:space="preserve">3. Valid ICSR — Four Minimum Elements</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Identifiable patient</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Identifiable reporter</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Suspect medicinal product</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Adverse event/reaction</w:t>
      </w:r>
    </w:p>
    <w:p w:rsidR="00000000" w:rsidDel="00000000" w:rsidP="00000000" w:rsidRDefault="00000000" w:rsidRPr="00000000" w14:paraId="00000035">
      <w:pPr>
        <w:rPr/>
      </w:pPr>
      <w:r w:rsidDel="00000000" w:rsidR="00000000" w:rsidRPr="00000000">
        <w:rPr>
          <w:rtl w:val="0"/>
        </w:rPr>
        <w:t xml:space="preserve">If one of these essential elements is missing, the report may not meet the minimum validity requirements for an ICSR. Company SOPs and applicable regulatory requirements determine the exact handling of incomplete reports.</w:t>
      </w:r>
    </w:p>
    <w:p w:rsidR="00000000" w:rsidDel="00000000" w:rsidP="00000000" w:rsidRDefault="00000000" w:rsidRPr="00000000" w14:paraId="00000036">
      <w:pPr>
        <w:pStyle w:val="Heading1"/>
        <w:rPr/>
      </w:pPr>
      <w:r w:rsidDel="00000000" w:rsidR="00000000" w:rsidRPr="00000000">
        <w:rPr>
          <w:rtl w:val="0"/>
        </w:rPr>
        <w:t xml:space="preserve">4. Case Receipt / Intake</w:t>
      </w:r>
    </w:p>
    <w:p w:rsidR="00000000" w:rsidDel="00000000" w:rsidP="00000000" w:rsidRDefault="00000000" w:rsidRPr="00000000" w14:paraId="00000037">
      <w:pPr>
        <w:rPr/>
      </w:pPr>
      <w:r w:rsidDel="00000000" w:rsidR="00000000" w:rsidRPr="00000000">
        <w:rPr>
          <w:rtl w:val="0"/>
        </w:rPr>
        <w:t xml:space="preserve">Typical sources can include:</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Spontaneous reports from patients or healthcare professionals</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Clinical trials and other solicited sources</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Literature</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Regulatory authorities</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Business partners and other organized data sources</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Email, web forms, telephone or other reporting channels</w:t>
      </w:r>
    </w:p>
    <w:p w:rsidR="00000000" w:rsidDel="00000000" w:rsidP="00000000" w:rsidRDefault="00000000" w:rsidRPr="00000000" w14:paraId="0000003E">
      <w:pPr>
        <w:rPr/>
      </w:pPr>
      <w:r w:rsidDel="00000000" w:rsidR="00000000" w:rsidRPr="00000000">
        <w:rPr>
          <w:rtl w:val="0"/>
        </w:rPr>
        <w:t xml:space="preserve">The initial receipt date is operationally important because regulatory reporting clocks can be linked to when a valid case or relevant new information is received, depending on the applicable reporting framework.</w:t>
      </w:r>
    </w:p>
    <w:p w:rsidR="00000000" w:rsidDel="00000000" w:rsidP="00000000" w:rsidRDefault="00000000" w:rsidRPr="00000000" w14:paraId="0000003F">
      <w:pPr>
        <w:pStyle w:val="Heading1"/>
        <w:rPr/>
      </w:pPr>
      <w:r w:rsidDel="00000000" w:rsidR="00000000" w:rsidRPr="00000000">
        <w:rPr>
          <w:rtl w:val="0"/>
        </w:rPr>
        <w:t xml:space="preserve">5. Triage</w:t>
      </w:r>
    </w:p>
    <w:p w:rsidR="00000000" w:rsidDel="00000000" w:rsidP="00000000" w:rsidRDefault="00000000" w:rsidRPr="00000000" w14:paraId="00000040">
      <w:pPr>
        <w:rPr/>
      </w:pPr>
      <w:r w:rsidDel="00000000" w:rsidR="00000000" w:rsidRPr="00000000">
        <w:rPr>
          <w:rtl w:val="0"/>
        </w:rPr>
        <w:t xml:space="preserve">Triage determines how the incoming report should be handled and prioritized. Important checks include:</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Validity</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Seriousness</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Expectedness/listedness, where applicable</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Potential reporting obligation and timeline</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Case type and source</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Special situations or cases of special interest</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Need for urgent escalation</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Potential duplicate/follow-up status</w:t>
      </w:r>
    </w:p>
    <w:p w:rsidR="00000000" w:rsidDel="00000000" w:rsidP="00000000" w:rsidRDefault="00000000" w:rsidRPr="00000000" w14:paraId="00000049">
      <w:pPr>
        <w:pStyle w:val="Heading1"/>
        <w:rPr/>
      </w:pPr>
      <w:r w:rsidDel="00000000" w:rsidR="00000000" w:rsidRPr="00000000">
        <w:rPr>
          <w:rtl w:val="0"/>
        </w:rPr>
        <w:t xml:space="preserve">6. Duplicate Check</w:t>
      </w:r>
    </w:p>
    <w:p w:rsidR="00000000" w:rsidDel="00000000" w:rsidP="00000000" w:rsidRDefault="00000000" w:rsidRPr="00000000" w14:paraId="0000004A">
      <w:pPr>
        <w:rPr/>
      </w:pPr>
      <w:r w:rsidDel="00000000" w:rsidR="00000000" w:rsidRPr="00000000">
        <w:rPr>
          <w:rtl w:val="0"/>
        </w:rPr>
        <w:t xml:space="preserve">A duplicate check compares the incoming report with existing cases to determine whether it is a new case, a follow-up to an existing case, or a duplicate. Useful matching information can include patient characteristics, reporter, suspect product, event, dates and source information.</w:t>
      </w:r>
    </w:p>
    <w:p w:rsidR="00000000" w:rsidDel="00000000" w:rsidP="00000000" w:rsidRDefault="00000000" w:rsidRPr="00000000" w14:paraId="0000004B">
      <w:pPr>
        <w:pStyle w:val="Heading1"/>
        <w:rPr/>
      </w:pPr>
      <w:r w:rsidDel="00000000" w:rsidR="00000000" w:rsidRPr="00000000">
        <w:rPr>
          <w:rtl w:val="0"/>
        </w:rPr>
        <w:t xml:space="preserve">7. Data Entry / Case Creation</w:t>
      </w:r>
    </w:p>
    <w:p w:rsidR="00000000" w:rsidDel="00000000" w:rsidP="00000000" w:rsidRDefault="00000000" w:rsidRPr="00000000" w14:paraId="0000004C">
      <w:pPr>
        <w:rPr/>
      </w:pPr>
      <w:r w:rsidDel="00000000" w:rsidR="00000000" w:rsidRPr="00000000">
        <w:rPr>
          <w:rtl w:val="0"/>
        </w:rPr>
        <w:t xml:space="preserve">Important data categories include:</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Patient demographics and identifiers permitted by privacy requirements</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Reporter details and reporter qualification</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Suspect and concomitant medicinal products</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Indication and dosage information</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Adverse event/reaction details</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Relevant medical history and risk factors</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Laboratory/investigation findings</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Treatment provided</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Action taken with the suspect product</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Dechallenge/rechallenge information, when available</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Outcome and relevant dates</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Source documents and attachments</w:t>
      </w:r>
    </w:p>
    <w:p w:rsidR="00000000" w:rsidDel="00000000" w:rsidP="00000000" w:rsidRDefault="00000000" w:rsidRPr="00000000" w14:paraId="00000059">
      <w:pPr>
        <w:pStyle w:val="Heading1"/>
        <w:rPr/>
      </w:pPr>
      <w:r w:rsidDel="00000000" w:rsidR="00000000" w:rsidRPr="00000000">
        <w:rPr>
          <w:rtl w:val="0"/>
        </w:rPr>
        <w:t xml:space="preserve">8. Medical Coding</w:t>
      </w:r>
    </w:p>
    <w:p w:rsidR="00000000" w:rsidDel="00000000" w:rsidP="00000000" w:rsidRDefault="00000000" w:rsidRPr="00000000" w14:paraId="0000005A">
      <w:pPr>
        <w:rPr/>
      </w:pPr>
      <w:r w:rsidDel="00000000" w:rsidR="00000000" w:rsidRPr="00000000">
        <w:rPr>
          <w:rtl w:val="0"/>
        </w:rPr>
        <w:t xml:space="preserve">Medical coding standardizes clinical concepts so safety information can be consistently stored, searched and analyzed. Adverse events and medical concepts are commonly coded using MedDRA. Medicinal products are coded using the applicable drug dictionary, such as WHODrug in many pharmacovigilance environments.</w:t>
      </w:r>
    </w:p>
    <w:p w:rsidR="00000000" w:rsidDel="00000000" w:rsidP="00000000" w:rsidRDefault="00000000" w:rsidRPr="00000000" w14:paraId="0000005B">
      <w:pPr>
        <w:pStyle w:val="Heading1"/>
        <w:rPr/>
      </w:pPr>
      <w:r w:rsidDel="00000000" w:rsidR="00000000" w:rsidRPr="00000000">
        <w:rPr>
          <w:rtl w:val="0"/>
        </w:rPr>
        <w:t xml:space="preserve">9. Seriousness vs Severity</w:t>
      </w:r>
    </w:p>
    <w:p w:rsidR="00000000" w:rsidDel="00000000" w:rsidP="00000000" w:rsidRDefault="00000000" w:rsidRPr="00000000" w14:paraId="0000005C">
      <w:pPr>
        <w:rPr/>
      </w:pPr>
      <w:r w:rsidDel="00000000" w:rsidR="00000000" w:rsidRPr="00000000">
        <w:rPr>
          <w:rtl w:val="0"/>
        </w:rPr>
        <w:t xml:space="preserve">These terms should not be confused. Severity describes the intensity of an event (for example, mild, moderate or severe). Seriousness is a regulatory classification based on defined outcome/medical criteria. An event can be severe without being serious, and a serious event is not necessarily described as severe.</w:t>
      </w:r>
    </w:p>
    <w:p w:rsidR="00000000" w:rsidDel="00000000" w:rsidP="00000000" w:rsidRDefault="00000000" w:rsidRPr="00000000" w14:paraId="0000005D">
      <w:pPr>
        <w:pStyle w:val="Heading1"/>
        <w:rPr/>
      </w:pPr>
      <w:r w:rsidDel="00000000" w:rsidR="00000000" w:rsidRPr="00000000">
        <w:rPr>
          <w:rtl w:val="0"/>
        </w:rPr>
        <w:t xml:space="preserve">10. Seriousness Assessment</w:t>
      </w:r>
    </w:p>
    <w:p w:rsidR="00000000" w:rsidDel="00000000" w:rsidP="00000000" w:rsidRDefault="00000000" w:rsidRPr="00000000" w14:paraId="0000005E">
      <w:pPr>
        <w:rPr/>
      </w:pPr>
      <w:r w:rsidDel="00000000" w:rsidR="00000000" w:rsidRPr="00000000">
        <w:rPr>
          <w:rtl w:val="0"/>
        </w:rPr>
        <w:t xml:space="preserve">Common seriousness criteria include outcomes or circumstances such as death, life-threatening condition, hospitalization or prolongation of hospitalization, persistent/significant disability or incapacity, congenital anomaly/birth defect, and other medically important conditions according to the applicable definition.</w:t>
      </w:r>
    </w:p>
    <w:p w:rsidR="00000000" w:rsidDel="00000000" w:rsidP="00000000" w:rsidRDefault="00000000" w:rsidRPr="00000000" w14:paraId="0000005F">
      <w:pPr>
        <w:pStyle w:val="Heading1"/>
        <w:rPr/>
      </w:pPr>
      <w:r w:rsidDel="00000000" w:rsidR="00000000" w:rsidRPr="00000000">
        <w:rPr>
          <w:rtl w:val="0"/>
        </w:rPr>
        <w:t xml:space="preserve">11. Expectedness / Listedness</w:t>
      </w:r>
    </w:p>
    <w:p w:rsidR="00000000" w:rsidDel="00000000" w:rsidP="00000000" w:rsidRDefault="00000000" w:rsidRPr="00000000" w14:paraId="00000060">
      <w:pPr>
        <w:rPr/>
      </w:pPr>
      <w:r w:rsidDel="00000000" w:rsidR="00000000" w:rsidRPr="00000000">
        <w:rPr>
          <w:rtl w:val="0"/>
        </w:rPr>
        <w:t xml:space="preserve">Expectedness is evaluated against the applicable reference safety information or product information. The exact reference document and terminology depend on the regulatory setting and company procedure. The assessment should be evidence-based and documented.</w:t>
      </w:r>
    </w:p>
    <w:p w:rsidR="00000000" w:rsidDel="00000000" w:rsidP="00000000" w:rsidRDefault="00000000" w:rsidRPr="00000000" w14:paraId="00000061">
      <w:pPr>
        <w:pStyle w:val="Heading1"/>
        <w:rPr/>
      </w:pPr>
      <w:r w:rsidDel="00000000" w:rsidR="00000000" w:rsidRPr="00000000">
        <w:rPr>
          <w:rtl w:val="0"/>
        </w:rPr>
        <w:t xml:space="preserve">12. Causality / Relatedness Assessment</w:t>
      </w:r>
    </w:p>
    <w:p w:rsidR="00000000" w:rsidDel="00000000" w:rsidP="00000000" w:rsidRDefault="00000000" w:rsidRPr="00000000" w14:paraId="00000062">
      <w:pPr>
        <w:rPr/>
      </w:pPr>
      <w:r w:rsidDel="00000000" w:rsidR="00000000" w:rsidRPr="00000000">
        <w:rPr>
          <w:rtl w:val="0"/>
        </w:rPr>
        <w:t xml:space="preserve">Causality assessment considers whether the medicinal product could reasonably be related to the reported event. The assessment may consider temporal relationship, alternative causes, dechallenge/rechallenge, known pharmacology, medical history and other available evidence. The method used depends on the applicable procedure; examples include WHO-UMC criteria, Naranjo-type approaches, or medical judgment.</w:t>
      </w:r>
    </w:p>
    <w:p w:rsidR="00000000" w:rsidDel="00000000" w:rsidP="00000000" w:rsidRDefault="00000000" w:rsidRPr="00000000" w14:paraId="00000063">
      <w:pPr>
        <w:pStyle w:val="Heading1"/>
        <w:rPr/>
      </w:pPr>
      <w:r w:rsidDel="00000000" w:rsidR="00000000" w:rsidRPr="00000000">
        <w:rPr>
          <w:rtl w:val="0"/>
        </w:rPr>
        <w:t xml:space="preserve">13. Narrative Writing</w:t>
      </w:r>
    </w:p>
    <w:p w:rsidR="00000000" w:rsidDel="00000000" w:rsidP="00000000" w:rsidRDefault="00000000" w:rsidRPr="00000000" w14:paraId="00000064">
      <w:pPr>
        <w:rPr/>
      </w:pPr>
      <w:r w:rsidDel="00000000" w:rsidR="00000000" w:rsidRPr="00000000">
        <w:rPr>
          <w:rtl w:val="0"/>
        </w:rPr>
        <w:t xml:space="preserve">The narrative should function as a concise, stand-alone clinical story. It should be factual, chronological, medically clear and consistent with the source information. Avoid adding facts that were not reported.</w:t>
      </w:r>
    </w:p>
    <w:p w:rsidR="00000000" w:rsidDel="00000000" w:rsidP="00000000" w:rsidRDefault="00000000" w:rsidRPr="00000000" w14:paraId="00000065">
      <w:pPr>
        <w:rPr/>
      </w:pPr>
      <w:r w:rsidDel="00000000" w:rsidR="00000000" w:rsidRPr="00000000">
        <w:rPr>
          <w:rtl w:val="0"/>
        </w:rPr>
        <w:t xml:space="preserve">A useful narrative structure:</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Patient profile and relevant medical history</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Reason for treatment / indication</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Suspect product, dose and treatment dates</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Concomitant products</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Onset and description of the event</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Investigations/laboratory findings</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Treatment/intervention</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Action taken with suspect product</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Dechallenge/rechallenge, if available</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Outcome</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Relevant reporter comments and follow-up information</w:t>
      </w:r>
    </w:p>
    <w:p w:rsidR="00000000" w:rsidDel="00000000" w:rsidP="00000000" w:rsidRDefault="00000000" w:rsidRPr="00000000" w14:paraId="00000071">
      <w:pPr>
        <w:pStyle w:val="Heading1"/>
        <w:rPr/>
      </w:pPr>
      <w:r w:rsidDel="00000000" w:rsidR="00000000" w:rsidRPr="00000000">
        <w:rPr>
          <w:rtl w:val="0"/>
        </w:rPr>
        <w:t xml:space="preserve">14. Quality Check / Peer Review</w:t>
      </w:r>
    </w:p>
    <w:p w:rsidR="00000000" w:rsidDel="00000000" w:rsidP="00000000" w:rsidRDefault="00000000" w:rsidRPr="00000000" w14:paraId="00000072">
      <w:pPr>
        <w:rPr/>
      </w:pPr>
      <w:r w:rsidDel="00000000" w:rsidR="00000000" w:rsidRPr="00000000">
        <w:rPr>
          <w:rtl w:val="0"/>
        </w:rPr>
        <w:t xml:space="preserve">The reviewer should check:</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Accuracy against source documents</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Completeness of required fields</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Internal consistency of dates and facts</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Correct medical/product coding</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Correct seriousness and other assessments</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Narrative consistency with database fields</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Appropriate documentation of follow-up</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Regulatory/reporting readiness</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Compliance with applicable SOPs and timelines</w:t>
      </w:r>
    </w:p>
    <w:p w:rsidR="00000000" w:rsidDel="00000000" w:rsidP="00000000" w:rsidRDefault="00000000" w:rsidRPr="00000000" w14:paraId="0000007C">
      <w:pPr>
        <w:pStyle w:val="Heading1"/>
        <w:rPr/>
      </w:pPr>
      <w:r w:rsidDel="00000000" w:rsidR="00000000" w:rsidRPr="00000000">
        <w:rPr>
          <w:rtl w:val="0"/>
        </w:rPr>
        <w:t xml:space="preserve">15. Follow-up</w:t>
      </w:r>
    </w:p>
    <w:p w:rsidR="00000000" w:rsidDel="00000000" w:rsidP="00000000" w:rsidRDefault="00000000" w:rsidRPr="00000000" w14:paraId="0000007D">
      <w:pPr>
        <w:rPr/>
      </w:pPr>
      <w:r w:rsidDel="00000000" w:rsidR="00000000" w:rsidRPr="00000000">
        <w:rPr>
          <w:rtl w:val="0"/>
        </w:rPr>
        <w:t xml:space="preserve">Follow-up is used to obtain clinically or regulatorily important missing information. The case may be updated when new information is received. Examples include clarification of diagnosis, laboratory results, outcome, hospitalization details, dose/treatment dates, concomitant medicines, dechallenge/rechallenge or reporter contact information.</w:t>
      </w:r>
    </w:p>
    <w:p w:rsidR="00000000" w:rsidDel="00000000" w:rsidP="00000000" w:rsidRDefault="00000000" w:rsidRPr="00000000" w14:paraId="0000007E">
      <w:pPr>
        <w:pStyle w:val="Heading1"/>
        <w:rPr/>
      </w:pPr>
      <w:r w:rsidDel="00000000" w:rsidR="00000000" w:rsidRPr="00000000">
        <w:rPr>
          <w:rtl w:val="0"/>
        </w:rPr>
        <w:t xml:space="preserve">16. Regulatory Submission</w:t>
      </w:r>
    </w:p>
    <w:p w:rsidR="00000000" w:rsidDel="00000000" w:rsidP="00000000" w:rsidRDefault="00000000" w:rsidRPr="00000000" w14:paraId="0000007F">
      <w:pPr>
        <w:rPr/>
      </w:pPr>
      <w:r w:rsidDel="00000000" w:rsidR="00000000" w:rsidRPr="00000000">
        <w:rPr>
          <w:rtl w:val="0"/>
        </w:rPr>
        <w:t xml:space="preserve">After required processing, assessment and quality checks, reportable cases are submitted through the applicable regulatory process. Submission requirements and timelines vary by jurisdiction, product type, seriousness, source and reporting framework. Do not memorize one universal deadline for every ICSR; always follow the applicable regulation and company SOP.</w:t>
      </w:r>
    </w:p>
    <w:p w:rsidR="00000000" w:rsidDel="00000000" w:rsidP="00000000" w:rsidRDefault="00000000" w:rsidRPr="00000000" w14:paraId="00000080">
      <w:pPr>
        <w:pStyle w:val="Heading1"/>
        <w:rPr/>
      </w:pPr>
      <w:r w:rsidDel="00000000" w:rsidR="00000000" w:rsidRPr="00000000">
        <w:rPr>
          <w:rtl w:val="0"/>
        </w:rPr>
        <w:t xml:space="preserve">17. Worked Mini-Example</w:t>
      </w:r>
    </w:p>
    <w:p w:rsidR="00000000" w:rsidDel="00000000" w:rsidP="00000000" w:rsidRDefault="00000000" w:rsidRPr="00000000" w14:paraId="00000081">
      <w:pPr>
        <w:rPr/>
      </w:pPr>
      <w:r w:rsidDel="00000000" w:rsidR="00000000" w:rsidRPr="00000000">
        <w:rPr>
          <w:rtl w:val="0"/>
        </w:rPr>
        <w:t xml:space="preserve">Example case: A patient receives amoxicillin for an infection and later reports a generalized rash. The patient is identifiable, the reporter is identifiable, amoxicillin is identified as the suspect product, and the rash is reported. The case can therefore be evaluated against the validity criteria. The processor then checks for duplicates, enters the available information, codes the reaction and product, assesses seriousness/expectedness/causality as applicable, writes the chronological narrative, completes quality review, and determines whether regulatory reporting and follow-up are required.</w:t>
      </w:r>
    </w:p>
    <w:p w:rsidR="00000000" w:rsidDel="00000000" w:rsidP="00000000" w:rsidRDefault="00000000" w:rsidRPr="00000000" w14:paraId="00000082">
      <w:pPr>
        <w:pStyle w:val="Heading1"/>
        <w:rPr/>
      </w:pPr>
      <w:r w:rsidDel="00000000" w:rsidR="00000000" w:rsidRPr="00000000">
        <w:rPr>
          <w:rtl w:val="0"/>
        </w:rPr>
        <w:t xml:space="preserve">18. Task / Revision Questions with Answers</w:t>
      </w:r>
    </w:p>
    <w:p w:rsidR="00000000" w:rsidDel="00000000" w:rsidP="00000000" w:rsidRDefault="00000000" w:rsidRPr="00000000" w14:paraId="00000083">
      <w:pPr>
        <w:rPr/>
      </w:pPr>
      <w:r w:rsidDel="00000000" w:rsidR="00000000" w:rsidRPr="00000000">
        <w:rPr>
          <w:b w:val="1"/>
          <w:bCs w:val="1"/>
          <w:rtl w:val="0"/>
        </w:rPr>
        <w:t xml:space="preserve">Q1. What is an ICSR?</w:t>
      </w: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An Individual Case Safety Report is a report containing information about an individual patient and a suspected adverse event/reaction associated with a medicinal product, together with identifiable reporter and product information as applicable.</w:t>
      </w:r>
    </w:p>
    <w:p w:rsidR="00000000" w:rsidDel="00000000" w:rsidP="00000000" w:rsidRDefault="00000000" w:rsidRPr="00000000" w14:paraId="00000085">
      <w:pPr>
        <w:rPr/>
      </w:pPr>
      <w:r w:rsidDel="00000000" w:rsidR="00000000" w:rsidRPr="00000000">
        <w:rPr>
          <w:b w:val="1"/>
          <w:bCs w:val="1"/>
          <w:rtl w:val="0"/>
        </w:rPr>
        <w:t xml:space="preserve">Q2. What are the four minimum elements of a valid safety case?</w:t>
      </w: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Identifiable patient, identifiable reporter, suspect medicinal product, and adverse event/reaction.</w:t>
      </w:r>
    </w:p>
    <w:p w:rsidR="00000000" w:rsidDel="00000000" w:rsidP="00000000" w:rsidRDefault="00000000" w:rsidRPr="00000000" w14:paraId="00000087">
      <w:pPr>
        <w:rPr/>
      </w:pPr>
      <w:r w:rsidDel="00000000" w:rsidR="00000000" w:rsidRPr="00000000">
        <w:rPr>
          <w:b w:val="1"/>
          <w:bCs w:val="1"/>
          <w:rtl w:val="0"/>
        </w:rPr>
        <w:t xml:space="preserve">Q3. Why is triage performed?</w:t>
      </w: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To validate, classify and prioritize incoming safety information and identify cases requiring particular handling, escalation or timely reporting.</w:t>
      </w:r>
    </w:p>
    <w:p w:rsidR="00000000" w:rsidDel="00000000" w:rsidP="00000000" w:rsidRDefault="00000000" w:rsidRPr="00000000" w14:paraId="00000089">
      <w:pPr>
        <w:rPr/>
      </w:pPr>
      <w:r w:rsidDel="00000000" w:rsidR="00000000" w:rsidRPr="00000000">
        <w:rPr>
          <w:b w:val="1"/>
          <w:bCs w:val="1"/>
          <w:rtl w:val="0"/>
        </w:rPr>
        <w:t xml:space="preserve">Q4. Why is a duplicate check necessary?</w:t>
      </w: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To prevent the same safety experience from being processed as multiple independent cases and to ensure follow-up information is attached to the correct existing case.</w:t>
      </w:r>
    </w:p>
    <w:p w:rsidR="00000000" w:rsidDel="00000000" w:rsidP="00000000" w:rsidRDefault="00000000" w:rsidRPr="00000000" w14:paraId="0000008B">
      <w:pPr>
        <w:rPr/>
      </w:pPr>
      <w:r w:rsidDel="00000000" w:rsidR="00000000" w:rsidRPr="00000000">
        <w:rPr>
          <w:b w:val="1"/>
          <w:bCs w:val="1"/>
          <w:rtl w:val="0"/>
        </w:rPr>
        <w:t xml:space="preserve">Q5. What is MedDRA used for?</w:t>
      </w: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MedDRA provides standardized terminology for coding medical concepts, including adverse events and medical conditions, to support consistent safety-data analysis.</w:t>
      </w:r>
    </w:p>
    <w:p w:rsidR="00000000" w:rsidDel="00000000" w:rsidP="00000000" w:rsidRDefault="00000000" w:rsidRPr="00000000" w14:paraId="0000008D">
      <w:pPr>
        <w:rPr/>
      </w:pPr>
      <w:r w:rsidDel="00000000" w:rsidR="00000000" w:rsidRPr="00000000">
        <w:rPr>
          <w:b w:val="1"/>
          <w:bCs w:val="1"/>
          <w:rtl w:val="0"/>
        </w:rPr>
        <w:t xml:space="preserve">Q6. What is the difference between seriousness and severity?</w:t>
      </w: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Severity describes intensity; seriousness is a regulatory classification based on defined criteria such as death, life-threatening condition, hospitalization, disability, congenital anomaly or other medically important conditions.</w:t>
      </w:r>
    </w:p>
    <w:p w:rsidR="00000000" w:rsidDel="00000000" w:rsidP="00000000" w:rsidRDefault="00000000" w:rsidRPr="00000000" w14:paraId="0000008F">
      <w:pPr>
        <w:rPr/>
      </w:pPr>
      <w:r w:rsidDel="00000000" w:rsidR="00000000" w:rsidRPr="00000000">
        <w:rPr>
          <w:b w:val="1"/>
          <w:bCs w:val="1"/>
          <w:rtl w:val="0"/>
        </w:rPr>
        <w:t xml:space="preserve">Q7. What is expectedness?</w:t>
      </w: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It is the assessment of whether the reported event is consistent with the applicable reference safety information/product information.</w:t>
      </w:r>
    </w:p>
    <w:p w:rsidR="00000000" w:rsidDel="00000000" w:rsidP="00000000" w:rsidRDefault="00000000" w:rsidRPr="00000000" w14:paraId="00000091">
      <w:pPr>
        <w:rPr/>
      </w:pPr>
      <w:r w:rsidDel="00000000" w:rsidR="00000000" w:rsidRPr="00000000">
        <w:rPr>
          <w:b w:val="1"/>
          <w:bCs w:val="1"/>
          <w:rtl w:val="0"/>
        </w:rPr>
        <w:t xml:space="preserve">Q8. What is causality assessment?</w:t>
      </w: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It is an assessment of the likelihood that the suspect medicinal product is related to the reported event, considering the available clinical evidence and alternative explanations.</w:t>
      </w:r>
    </w:p>
    <w:p w:rsidR="00000000" w:rsidDel="00000000" w:rsidP="00000000" w:rsidRDefault="00000000" w:rsidRPr="00000000" w14:paraId="00000093">
      <w:pPr>
        <w:rPr/>
      </w:pPr>
      <w:r w:rsidDel="00000000" w:rsidR="00000000" w:rsidRPr="00000000">
        <w:rPr>
          <w:b w:val="1"/>
          <w:bCs w:val="1"/>
          <w:rtl w:val="0"/>
        </w:rPr>
        <w:t xml:space="preserve">Q9. What is the purpose of an ICSR narrative?</w:t>
      </w: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To present the relevant case information as a clear, accurate, chronological clinical story that can be understood without repeatedly referring to the raw source.</w:t>
      </w:r>
    </w:p>
    <w:p w:rsidR="00000000" w:rsidDel="00000000" w:rsidP="00000000" w:rsidRDefault="00000000" w:rsidRPr="00000000" w14:paraId="00000095">
      <w:pPr>
        <w:rPr/>
      </w:pPr>
      <w:r w:rsidDel="00000000" w:rsidR="00000000" w:rsidRPr="00000000">
        <w:rPr>
          <w:b w:val="1"/>
          <w:bCs w:val="1"/>
          <w:rtl w:val="0"/>
        </w:rPr>
        <w:t xml:space="preserve">Q10. What should be checked during QC?</w:t>
      </w: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Accuracy, completeness, consistency, coding, assessments, narrative, source-document agreement, follow-up information and readiness for reporting.</w:t>
      </w:r>
    </w:p>
    <w:p w:rsidR="00000000" w:rsidDel="00000000" w:rsidP="00000000" w:rsidRDefault="00000000" w:rsidRPr="00000000" w14:paraId="00000097">
      <w:pPr>
        <w:rPr/>
      </w:pPr>
      <w:r w:rsidDel="00000000" w:rsidR="00000000" w:rsidRPr="00000000">
        <w:rPr>
          <w:b w:val="1"/>
          <w:bCs w:val="1"/>
          <w:rtl w:val="0"/>
        </w:rPr>
        <w:t xml:space="preserve">Q11. When is follow-up needed?</w:t>
      </w: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When important information is missing, unclear or needs clarification, particularly when the missing information could affect case assessment, medical understanding or reporting.</w:t>
      </w:r>
    </w:p>
    <w:p w:rsidR="00000000" w:rsidDel="00000000" w:rsidP="00000000" w:rsidRDefault="00000000" w:rsidRPr="00000000" w14:paraId="00000099">
      <w:pPr>
        <w:rPr/>
      </w:pPr>
      <w:r w:rsidDel="00000000" w:rsidR="00000000" w:rsidRPr="00000000">
        <w:rPr>
          <w:b w:val="1"/>
          <w:bCs w:val="1"/>
          <w:rtl w:val="0"/>
        </w:rPr>
        <w:t xml:space="preserve">Q12. Is every severe event serious?</w:t>
      </w: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No. Severity and seriousness are different concepts. A severe event may not meet a seriousness criterion, while a serious event may not necessarily be described as severe.</w:t>
      </w:r>
    </w:p>
    <w:p w:rsidR="00000000" w:rsidDel="00000000" w:rsidP="00000000" w:rsidRDefault="00000000" w:rsidRPr="00000000" w14:paraId="0000009B">
      <w:pPr>
        <w:pStyle w:val="Heading1"/>
        <w:rPr/>
      </w:pPr>
      <w:r w:rsidDel="00000000" w:rsidR="00000000" w:rsidRPr="00000000">
        <w:rPr>
          <w:rtl w:val="0"/>
        </w:rPr>
        <w:t xml:space="preserve">19. Interview-Ready 30-Second Answer</w:t>
      </w:r>
    </w:p>
    <w:p w:rsidR="00000000" w:rsidDel="00000000" w:rsidP="00000000" w:rsidRDefault="00000000" w:rsidRPr="00000000" w14:paraId="0000009C">
      <w:pPr>
        <w:rPr/>
      </w:pPr>
      <w:r w:rsidDel="00000000" w:rsidR="00000000" w:rsidRPr="00000000">
        <w:rPr>
          <w:rtl w:val="0"/>
        </w:rPr>
        <w:t xml:space="preserve">“ICSR case processing is the end-to-end handling of an individual safety report. It generally starts with case receipt and validity checking, followed by triage and duplicate checking. The case is then created and data are entered, medical and product information are coded, and seriousness, expectedness and causality are assessed as applicable. A chronological narrative is prepared, the case undergoes quality and medical review, and reportable cases are submitted within the applicable timeline. Follow-up information is obtained when needed and the case is updated and closed according to procedure.”</w:t>
      </w:r>
    </w:p>
    <w:p w:rsidR="00000000" w:rsidDel="00000000" w:rsidP="00000000" w:rsidRDefault="00000000" w:rsidRPr="00000000" w14:paraId="0000009D">
      <w:pPr>
        <w:pStyle w:val="Heading1"/>
        <w:rPr/>
      </w:pPr>
      <w:r w:rsidDel="00000000" w:rsidR="00000000" w:rsidRPr="00000000">
        <w:rPr>
          <w:rtl w:val="0"/>
        </w:rPr>
        <w:t xml:space="preserve">20. One-Page Revision Flow</w:t>
      </w:r>
    </w:p>
    <w:p w:rsidR="00000000" w:rsidDel="00000000" w:rsidP="00000000" w:rsidRDefault="00000000" w:rsidRPr="00000000" w14:paraId="0000009E">
      <w:pPr>
        <w:jc w:val="center"/>
        <w:rPr/>
      </w:pPr>
      <w:r w:rsidDel="00000000" w:rsidR="00000000" w:rsidRPr="00000000">
        <w:rPr>
          <w:b w:val="1"/>
          <w:bCs w:val="1"/>
          <w:rtl w:val="0"/>
        </w:rPr>
        <w:t xml:space="preserve">CASE RECEIPT → VALIDITY → TRIAGE → DUPLICATE CHECK → DATA ENTRY → CODING → ASSESSMENT → NARRATIVE → QC/PEER REVIEW → MEDICAL REVIEW → SUBMISSION → FOLLOW-UP → CASE CLOSURE</w:t>
      </w:r>
      <w:r w:rsidDel="00000000" w:rsidR="00000000" w:rsidRPr="00000000">
        <w:rPr>
          <w:rtl w:val="0"/>
        </w:rPr>
      </w:r>
    </w:p>
    <w:p w:rsidR="00000000" w:rsidDel="00000000" w:rsidP="00000000" w:rsidRDefault="00000000" w:rsidRPr="00000000" w14:paraId="0000009F">
      <w:pPr>
        <w:pStyle w:val="Heading1"/>
        <w:rPr/>
      </w:pPr>
      <w:r w:rsidDel="00000000" w:rsidR="00000000" w:rsidRPr="00000000">
        <w:rPr>
          <w:rtl w:val="0"/>
        </w:rPr>
        <w:t xml:space="preserve">21. Key Takeaways</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Always establish whether the report meets the applicable validity requirements.</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Do not confuse seriousness with severity.</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Use standardized coding to make safety data analyzable.</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Do not invent or infer clinical facts that are not supported by the source.</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Keep the narrative chronological, factual and consistent with the case data.</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Quality review is a critical patient-safety and compliance checkpoint.</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Reporting timelines depend on the applicable regulatory framework and company SOP.</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Follow-up can materially change the assessment and reporting status of a case.</w:t>
      </w:r>
    </w:p>
    <w:p w:rsidR="00000000" w:rsidDel="00000000" w:rsidP="00000000" w:rsidRDefault="00000000" w:rsidRPr="00000000" w14:paraId="000000A8">
      <w:pPr>
        <w:pStyle w:val="Heading1"/>
        <w:rPr/>
      </w:pPr>
      <w:r w:rsidDel="00000000" w:rsidR="00000000" w:rsidRPr="00000000">
        <w:rPr>
          <w:rtl w:val="0"/>
        </w:rPr>
        <w:t xml:space="preserve">References / verification sources</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Supplied YouTube video: ICSR Case Steps in Pharmacovigilance: Full Tutorial — Drug Safety (2020).</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TransCelerate member-company survey/report on ICSR process steps and automation opportunities (Pharmaceutical Medicine, 2019).</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Additional pharmacovigilance educational references consulted for cross-checking terminology and workflow.</w:t>
      </w:r>
    </w:p>
    <w:sectPr>
      <w:pgSz w:h="15840" w:w="12240" w:orient="portrait"/>
      <w:pgMar w:bottom="936" w:top="936"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color w:val="366091"/>
      <w:sz w:val="30"/>
      <w:szCs w:val="30"/>
    </w:rPr>
  </w:style>
  <w:style w:type="paragraph" w:styleId="Heading2">
    <w:name w:val="heading 2"/>
    <w:basedOn w:val="Normal"/>
    <w:next w:val="Normal"/>
    <w:pPr>
      <w:keepNext w:val="1"/>
      <w:keepLines w:val="1"/>
      <w:spacing w:after="0" w:before="200" w:lineRule="auto"/>
    </w:pPr>
    <w:rPr>
      <w:rFonts w:ascii="Arial" w:cs="Arial" w:eastAsia="Arial" w:hAnsi="Arial"/>
      <w:b w:val="1"/>
      <w:bCs w:val="1"/>
      <w:color w:val="4f81bd"/>
      <w:sz w:val="25"/>
      <w:szCs w:val="25"/>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Arial" w:cs="Arial" w:eastAsia="Arial" w:hAnsi="Arial"/>
      <w:color w:val="17365d"/>
      <w:sz w:val="44"/>
      <w:szCs w:val="44"/>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