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ayout w:type="fixed"/>
        <w:tblLook w:firstColumn="1" w:firstRow="1" w:lastColumn="0" w:lastRow="0" w:noHBand="0" w:noVBand="1" w:val="04A0"/>
      </w:tblPr>
      <w:tblGrid>
        <w:gridCol w:w="2551"/>
        <w:gridCol w:w="2551"/>
        <w:gridCol w:w="2551"/>
        <w:gridCol w:w="2551"/>
      </w:tblGrid>
      <w:tr>
        <w:trPr>
          <w:tblHeader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작성자(학번 이름)</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2022182006 김성찬</w:t>
            </w:r>
          </w:p>
        </w:tc>
      </w:tr>
      <w:tr>
        <w:trPr>
          <w:tblHeader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팀명</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Claustrophobia</w:t>
            </w:r>
          </w:p>
        </w:tc>
      </w:tr>
      <w:tr>
        <w:trPr>
          <w:cantSplit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주차</w:t>
            </w:r>
          </w:p>
        </w:tc>
        <w:tc>
          <w:tcPr>
            <w:tcW w:type="dxa" w:w="204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5주차</w:t>
            </w:r>
          </w:p>
        </w:tc>
        <w:tc>
          <w:tcPr>
            <w:tcW w:type="dxa" w:w="1360"/>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기간</w:t>
            </w:r>
          </w:p>
        </w:tc>
        <w:tc>
          <w:tcPr>
            <w:tcW w:type="dxa" w:w="510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2026.10.01</w:t>
              <w:br/>
            </w:r>
            <w:r>
              <w:rPr>
                <w:rFonts w:ascii="맑은 고딕" w:hAnsi="맑은 고딕" w:eastAsia="맑은 고딕"/>
                <w:b w:val="0"/>
                <w:color w:val="000000"/>
                <w:sz w:val="18"/>
              </w:rPr>
              <w:t>~</w:t>
              <w:br/>
            </w:r>
            <w:r>
              <w:rPr>
                <w:rFonts w:ascii="맑은 고딕" w:hAnsi="맑은 고딕" w:eastAsia="맑은 고딕"/>
                <w:b w:val="0"/>
                <w:color w:val="000000"/>
                <w:sz w:val="18"/>
              </w:rPr>
              <w:t>2026.10.07</w:t>
            </w:r>
          </w:p>
        </w:tc>
      </w:tr>
      <w:tr>
        <w:trPr>
          <w:cantSplit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지도교수</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(서명)</w:t>
            </w:r>
          </w:p>
        </w:tc>
      </w:tr>
      <w:tr>
        <w:trPr>
          <w:cantSplit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이번주 한일</w:t>
              <w:br/>
            </w:r>
            <w:r>
              <w:rPr>
                <w:rFonts w:ascii="맑은 고딕" w:hAnsi="맑은 고딕" w:eastAsia="맑은 고딕"/>
                <w:b/>
                <w:color w:val="000000"/>
                <w:sz w:val="18"/>
              </w:rPr>
              <w:t>요약</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1. 플레이어 전차 행동 및 메커니즘 설계 구체화</w:t>
              <w:br/>
            </w:r>
            <w:r>
              <w:rPr>
                <w:rFonts w:ascii="맑은 고딕" w:hAnsi="맑은 고딕" w:eastAsia="맑은 고딕"/>
                <w:b w:val="0"/>
                <w:color w:val="000000"/>
                <w:sz w:val="18"/>
              </w:rPr>
              <w:t>2. 지휘관형 Director AI 판단 및 Job 선택 구조 구체화</w:t>
            </w:r>
          </w:p>
        </w:tc>
      </w:tr>
      <w:tr>
        <w:trPr>
          <w:cantSplit w:val="true"/>
        </w:trPr>
        <w:tc>
          <w:tcPr>
            <w:tcW w:type="dxa" w:w="10205"/>
            <w:gridSpan w:val="4"/>
            <w:tcMar>
              <w:top w:w="70" w:type="dxa"/>
              <w:start w:w="90" w:type="dxa"/>
              <w:bottom w:w="70" w:type="dxa"/>
              <w:end w:w="90" w:type="dxa"/>
            </w:tcMar>
            <w:vAlign w:val="top"/>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9"/>
              </w:rPr>
              <w:t>&lt;상세 수행내용&gt;</w:t>
            </w:r>
          </w:p>
        </w:tc>
      </w:tr>
      <w:tr>
        <w:tc>
          <w:tcPr>
            <w:tcW w:type="dxa" w:w="10205"/>
            <w:gridSpan w:val="4"/>
            <w:tcMar>
              <w:top w:w="70" w:type="dxa"/>
              <w:start w:w="90" w:type="dxa"/>
              <w:bottom w:w="70" w:type="dxa"/>
              <w:end w:w="90" w:type="dxa"/>
            </w:tcMar>
            <w:vAlign w:val="top"/>
            <w:tcBorders>
              <w:top w:val="single" w:sz="6" w:color="000000"/>
              <w:left w:val="single" w:sz="6" w:color="000000"/>
              <w:bottom w:val="single" w:sz="6" w:color="000000"/>
              <w:right w:val="single" w:sz="6" w:color="000000"/>
              <w:insideH w:val="single" w:sz="6" w:color="000000"/>
              <w:insideV w:val="single" w:sz="6" w:color="000000"/>
            </w:tcBorders>
          </w:tcPr>
          <w:p>
            <w:pPr>
              <w:spacing w:before="0" w:after="60" w:line="269" w:lineRule="auto"/>
            </w:pPr>
            <w:r/>
            <w:r>
              <w:rPr>
                <w:rFonts w:ascii="맑은 고딕" w:hAnsi="맑은 고딕" w:eastAsia="맑은 고딕"/>
                <w:b/>
                <w:color w:val="000000"/>
                <w:sz w:val="20"/>
              </w:rPr>
              <w:t>1. 플레이어 전차 행동 및 메커니즘 설계 구체화</w:t>
            </w:r>
          </w:p>
          <w:p>
            <w:pPr>
              <w:spacing w:before="0" w:after="80" w:line="276" w:lineRule="auto"/>
            </w:pPr>
            <w:r>
              <w:rPr>
                <w:rFonts w:ascii="맑은 고딕" w:hAnsi="맑은 고딕" w:eastAsia="맑은 고딕"/>
                <w:b w:val="0"/>
                <w:color w:val="000000"/>
                <w:sz w:val="18"/>
              </w:rPr>
              <w:t>팀 회의를 통해 플레이어가 전차 내부에서 수행하는 주요 행동을 실제 구현 기준으로 정리하였다. 좌우 궤도 레버를 각각 -1~+1의 아날로그 입력으로 두고, 입력 조합에 따라 전진·후진·선회·제자리 회전이 발생하도록 하였다. 또한 입력값과 실제 속도를 분리하여 가감속, 경사, 접지 상태, 벽·건물·다른 전차와의 충돌이 최종 움직임에 영향을 주도록 정리하였다.</w:t>
            </w:r>
          </w:p>
          <w:p>
            <w:pPr>
              <w:spacing w:before="0" w:after="80" w:line="276" w:lineRule="auto"/>
            </w:pPr>
            <w:r>
              <w:rPr>
                <w:rFonts w:ascii="맑은 고딕" w:hAnsi="맑은 고딕" w:eastAsia="맑은 고딕"/>
                <w:b w:val="0"/>
                <w:color w:val="000000"/>
                <w:sz w:val="18"/>
              </w:rPr>
              <w:t>장전과 사격은 포탄 삽입 → 약실 닫기 → 발사 준비 → 발사 → 반동 복귀·탄피 배출 → 다음 장전의 순환으로 정리하였다. 포탑·포신 조준, 조준경, 전차장 잠망경, 주포·기관총의 동작 조건도 함께 구분하였다. 이동 중 조준·장전처럼 동시에 가능한 행동과 장전 미완료 상태의 주포 발사처럼 반드시 제한해야 하는 행동을 나누어, 구현 시 참고할 수 있는 행동 규칙으로 문서화하였다.</w:t>
            </w:r>
          </w:p>
          <w:p>
            <w:pPr>
              <w:spacing w:before="0" w:after="60" w:line="269" w:lineRule="auto"/>
            </w:pPr>
            <w:r>
              <w:rPr>
                <w:rFonts w:ascii="맑은 고딕" w:hAnsi="맑은 고딕" w:eastAsia="맑은 고딕"/>
                <w:b/>
                <w:color w:val="000000"/>
                <w:sz w:val="20"/>
              </w:rPr>
              <w:t>2. 지휘관형 Director AI 판단 및 Job 선택 구조 구체화</w:t>
            </w:r>
          </w:p>
          <w:p>
            <w:pPr>
              <w:spacing w:before="0" w:after="80" w:line="276" w:lineRule="auto"/>
            </w:pPr>
            <w:r>
              <w:rPr>
                <w:rFonts w:ascii="맑은 고딕" w:hAnsi="맑은 고딕" w:eastAsia="맑은 고딕"/>
                <w:b w:val="0"/>
                <w:color w:val="000000"/>
                <w:sz w:val="18"/>
              </w:rPr>
              <w:t>지난주 조사한 Utility AI를 지휘관형 Director AI에 실제로 적용하기 위해 판단 구조를 구체화하였다. 전차 상태, 거점 및 병력 배정 상태, 현재 교전 상태, 플레이어의 접촉·수색 이력 등을 WorldState로 관리하고, 이를 이용해 병력 부족도, 현재 압박도, 개입 필요도, 수색 우선도, 이동 정체 정도 등을 계산하도록 정리하였다.</w:t>
            </w:r>
          </w:p>
          <w:p>
            <w:pPr>
              <w:spacing w:before="0" w:after="80" w:line="276" w:lineRule="auto"/>
            </w:pPr>
            <w:r>
              <w:rPr>
                <w:rFonts w:ascii="맑은 고딕" w:hAnsi="맑은 고딕" w:eastAsia="맑은 고딕"/>
                <w:b w:val="0"/>
                <w:color w:val="000000"/>
                <w:sz w:val="18"/>
              </w:rPr>
              <w:t>지원·수색·재배치 Job별 Utility 점수와 선택 기준을 초기안으로 작성하고, A 거점의 방어 병력이 부족한 대표 상황에 값을 적용해 지원 Job이 선택되는 과정을 확인하였다. 이후 담당 전차를 예약하고 이동·도착·교전·복귀 보고를 다시 WorldState에 반영하여 다음 판단으로 이어지는 흐름까지 정리하였다. 현재 수치와 가중치는 검토용 초기값이며 실제 테스트를 통해 조정할 예정이다.</w:t>
            </w:r>
          </w:p>
        </w:tc>
      </w:tr>
      <w:t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문제점 정리</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1. 전차 이동 속도·가감속·포탄 낙차 등 실제 동작에 필요한 세부 수치는 구현 후 테스트가 필요하다.</w:t>
              <w:br/>
            </w:r>
            <w:r>
              <w:rPr>
                <w:rFonts w:ascii="맑은 고딕" w:hAnsi="맑은 고딕" w:eastAsia="맑은 고딕"/>
                <w:b w:val="0"/>
                <w:color w:val="000000"/>
                <w:sz w:val="18"/>
              </w:rPr>
              <w:t>2. Director AI의 Utility 점수식과 가중치는 초기값이므로 여러 전투 상황에서도 의도한 Job이 선택되는지 검증이 필요하다.</w:t>
            </w:r>
          </w:p>
        </w:tc>
      </w:tr>
      <w:t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해결방안</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1. 전차 행동은 입력과 상태 전환 규칙을 우선 확정하고, 세부 수치는 프로토타입에서 조정하기로 하였다.</w:t>
              <w:br/>
            </w:r>
            <w:r>
              <w:rPr>
                <w:rFonts w:ascii="맑은 고딕" w:hAnsi="맑은 고딕" w:eastAsia="맑은 고딕"/>
                <w:b w:val="0"/>
                <w:color w:val="000000"/>
                <w:sz w:val="18"/>
              </w:rPr>
              <w:t>2. 대표 상황의 계산 결과를 확인한 뒤 다른 상황 예시를 추가하여 가중치와 Job 선택 규칙을 보완하기로 하였다.</w:t>
            </w:r>
          </w:p>
        </w:tc>
      </w:tr>
      <w:tr>
        <w:trPr>
          <w:cantSplit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진행 상황</w:t>
              <w:br/>
            </w:r>
            <w:r>
              <w:rPr>
                <w:rFonts w:ascii="맑은 고딕" w:hAnsi="맑은 고딕" w:eastAsia="맑은 고딕"/>
                <w:b/>
                <w:color w:val="000000"/>
                <w:sz w:val="18"/>
              </w:rPr>
              <w:t>유튜브 링크</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r>
          </w:p>
        </w:tc>
      </w:tr>
      <w:tr>
        <w:trPr>
          <w:cantSplit w:val="true"/>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다음주차</w:t>
            </w:r>
          </w:p>
        </w:tc>
        <w:tc>
          <w:tcPr>
            <w:tcW w:type="dxa" w:w="204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6주차</w:t>
            </w:r>
          </w:p>
        </w:tc>
        <w:tc>
          <w:tcPr>
            <w:tcW w:type="dxa" w:w="1360"/>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다음기간</w:t>
            </w:r>
          </w:p>
        </w:tc>
        <w:tc>
          <w:tcPr>
            <w:tcW w:type="dxa" w:w="510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2026.10.08</w:t>
              <w:br/>
            </w:r>
            <w:r>
              <w:rPr>
                <w:rFonts w:ascii="맑은 고딕" w:hAnsi="맑은 고딕" w:eastAsia="맑은 고딕"/>
                <w:b w:val="0"/>
                <w:color w:val="000000"/>
                <w:sz w:val="18"/>
              </w:rPr>
              <w:t>~</w:t>
              <w:br/>
            </w:r>
            <w:r>
              <w:rPr>
                <w:rFonts w:ascii="맑은 고딕" w:hAnsi="맑은 고딕" w:eastAsia="맑은 고딕"/>
                <w:b w:val="0"/>
                <w:color w:val="000000"/>
                <w:sz w:val="18"/>
              </w:rPr>
              <w:t>2026.10.14</w:t>
            </w:r>
          </w:p>
        </w:tc>
      </w:tr>
      <w:t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다음주 할일</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t>1. 정리한 전차 행동·메커니즘을 바탕으로 구현에 필요한 미정 사항과 세부 수치를 팀원들과 추가 검토한다.</w:t>
              <w:br/>
            </w:r>
            <w:r>
              <w:rPr>
                <w:rFonts w:ascii="맑은 고딕" w:hAnsi="맑은 고딕" w:eastAsia="맑은 고딕"/>
                <w:b w:val="0"/>
                <w:color w:val="000000"/>
                <w:sz w:val="18"/>
              </w:rPr>
              <w:t>2. Director AI의 Job 평가 방식과 대표 상황을 추가 검증하고 Unity 구현 구조와 연결할 항목을 정리한다.</w:t>
            </w:r>
          </w:p>
        </w:tc>
      </w:tr>
      <w:tr>
        <w:trPr>
          <w:trHeight w:val="650" w:hRule="atLeast"/>
        </w:trPr>
        <w:tc>
          <w:tcPr>
            <w:tcW w:type="dxa" w:w="1701"/>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40" w:lineRule="auto"/>
              <w:jc w:val="center"/>
            </w:pPr>
            <w:r/>
            <w:r>
              <w:rPr>
                <w:rFonts w:ascii="맑은 고딕" w:hAnsi="맑은 고딕" w:eastAsia="맑은 고딕"/>
                <w:b/>
                <w:color w:val="000000"/>
                <w:sz w:val="18"/>
              </w:rPr>
              <w:t>지도 교수</w:t>
              <w:br/>
            </w:r>
            <w:r>
              <w:rPr>
                <w:rFonts w:ascii="맑은 고딕" w:hAnsi="맑은 고딕" w:eastAsia="맑은 고딕"/>
                <w:b/>
                <w:color w:val="000000"/>
                <w:sz w:val="18"/>
              </w:rPr>
              <w:t>Comment</w:t>
            </w:r>
          </w:p>
        </w:tc>
        <w:tc>
          <w:tcPr>
            <w:tcW w:type="dxa" w:w="8504"/>
            <w:gridSpan w:val="3"/>
            <w:tcMar>
              <w:top w:w="70" w:type="dxa"/>
              <w:start w:w="90" w:type="dxa"/>
              <w:bottom w:w="70" w:type="dxa"/>
              <w:end w:w="90" w:type="dxa"/>
            </w:tcMar>
            <w:vAlign w:val="center"/>
            <w:shd w:fill="FFFFFF"/>
            <w:tcBorders>
              <w:top w:val="single" w:sz="6" w:color="000000"/>
              <w:left w:val="single" w:sz="6" w:color="000000"/>
              <w:bottom w:val="single" w:sz="6" w:color="000000"/>
              <w:right w:val="single" w:sz="6" w:color="000000"/>
              <w:insideH w:val="single" w:sz="6" w:color="000000"/>
              <w:insideV w:val="single" w:sz="6" w:color="000000"/>
            </w:tcBorders>
          </w:tcPr>
          <w:p>
            <w:pPr>
              <w:spacing w:after="0" w:before="0" w:line="269" w:lineRule="auto"/>
              <w:jc w:val="left"/>
            </w:pPr>
            <w:r/>
            <w:r>
              <w:rPr>
                <w:rFonts w:ascii="맑은 고딕" w:hAnsi="맑은 고딕" w:eastAsia="맑은 고딕"/>
                <w:b w:val="0"/>
                <w:color w:val="000000"/>
                <w:sz w:val="18"/>
              </w:rPr>
              <w:br/>
            </w:r>
            <w:r>
              <w:rPr>
                <w:rFonts w:ascii="맑은 고딕" w:hAnsi="맑은 고딕" w:eastAsia="맑은 고딕"/>
                <w:b w:val="0"/>
                <w:color w:val="000000"/>
                <w:sz w:val="18"/>
              </w:rPr>
              <w:br/>
            </w:r>
            <w:r>
              <w:rPr>
                <w:rFonts w:ascii="맑은 고딕" w:hAnsi="맑은 고딕" w:eastAsia="맑은 고딕"/>
                <w:b w:val="0"/>
                <w:color w:val="000000"/>
                <w:sz w:val="18"/>
              </w:rPr>
            </w:r>
          </w:p>
        </w:tc>
      </w:tr>
    </w:tbl>
    <w:p>
      <w:pPr>
        <w:spacing w:before="0" w:after="0"/>
      </w:pPr>
      <w:r>
        <w:rPr>
          <w:rFonts w:ascii="맑은 고딕" w:hAnsi="맑은 고딕" w:eastAsia="맑은 고딕"/>
          <w:b w:val="0"/>
          <w:color w:val="000000"/>
          <w:sz w:val="2"/>
        </w:rPr>
      </w:r>
    </w:p>
    <w:sectPr w:rsidR="00FC693F" w:rsidRPr="0006063C" w:rsidSect="00034616">
      <w:pgSz w:w="11906" w:h="16838"/>
      <w:pgMar w:top="737" w:right="850" w:bottom="737" w:left="85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